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45FC" w14:textId="77777777" w:rsidR="00A0600C" w:rsidRDefault="00A0600C" w:rsidP="00573B9D">
      <w:pPr>
        <w:suppressAutoHyphens/>
        <w:ind w:left="-2255"/>
        <w:rPr>
          <w:rFonts w:cs="Arial"/>
          <w:b/>
        </w:rPr>
      </w:pPr>
    </w:p>
    <w:p w14:paraId="0DF0B5E2" w14:textId="77777777" w:rsidR="00863264" w:rsidRDefault="00863264" w:rsidP="00EB1281">
      <w:pPr>
        <w:suppressAutoHyphens/>
        <w:ind w:left="-2255"/>
        <w:rPr>
          <w:rFonts w:cs="Arial"/>
          <w:b/>
        </w:rPr>
      </w:pPr>
    </w:p>
    <w:p w14:paraId="667E50B4" w14:textId="77777777" w:rsidR="00EB1281" w:rsidRDefault="009929B9" w:rsidP="00EB1281">
      <w:pPr>
        <w:suppressAutoHyphens/>
        <w:ind w:left="-2255"/>
        <w:rPr>
          <w:rFonts w:cs="Arial"/>
          <w:b/>
        </w:rPr>
      </w:pPr>
      <w:r>
        <w:rPr>
          <w:rFonts w:cs="Arial"/>
          <w:b/>
        </w:rPr>
        <w:t>€</w:t>
      </w:r>
    </w:p>
    <w:p w14:paraId="16EAECAC" w14:textId="77777777" w:rsidR="00465DC7" w:rsidRDefault="00465DC7" w:rsidP="00EB1281">
      <w:pPr>
        <w:suppressAutoHyphens/>
        <w:ind w:left="-2255"/>
        <w:rPr>
          <w:rFonts w:cs="Arial"/>
          <w:b/>
        </w:rPr>
      </w:pPr>
    </w:p>
    <w:p w14:paraId="4D864FCF" w14:textId="77777777" w:rsidR="0018563C" w:rsidRPr="001602B1" w:rsidRDefault="0018563C" w:rsidP="00EB1281">
      <w:pPr>
        <w:suppressAutoHyphens/>
        <w:ind w:left="-2255"/>
        <w:rPr>
          <w:rFonts w:cs="Arial"/>
          <w:b/>
        </w:rPr>
      </w:pPr>
    </w:p>
    <w:p w14:paraId="34B0A36C" w14:textId="77777777" w:rsidR="00476D7C" w:rsidRPr="00820267" w:rsidRDefault="00476D7C" w:rsidP="00476D7C">
      <w:pPr>
        <w:jc w:val="both"/>
        <w:rPr>
          <w:b/>
        </w:rPr>
      </w:pPr>
      <w:r w:rsidRPr="00820267">
        <w:rPr>
          <w:b/>
        </w:rPr>
        <w:t>TRANSPORT FOR EDINBURGH LIMITED</w:t>
      </w:r>
    </w:p>
    <w:p w14:paraId="777A3D4C" w14:textId="77777777" w:rsidR="00476D7C" w:rsidRPr="00820267" w:rsidRDefault="00476D7C" w:rsidP="00476D7C">
      <w:pPr>
        <w:jc w:val="both"/>
        <w:rPr>
          <w:b/>
        </w:rPr>
      </w:pPr>
    </w:p>
    <w:p w14:paraId="278E8F5C" w14:textId="77777777" w:rsidR="00476D7C" w:rsidRPr="00820267" w:rsidRDefault="00476D7C" w:rsidP="00476D7C">
      <w:pPr>
        <w:jc w:val="both"/>
        <w:rPr>
          <w:b/>
        </w:rPr>
      </w:pPr>
      <w:r w:rsidRPr="00820267">
        <w:rPr>
          <w:b/>
        </w:rPr>
        <w:t>Consolidated Financial Statements</w:t>
      </w:r>
    </w:p>
    <w:p w14:paraId="231E94EA" w14:textId="77777777" w:rsidR="00476D7C" w:rsidRPr="00820267" w:rsidRDefault="00476D7C" w:rsidP="00476D7C">
      <w:pPr>
        <w:jc w:val="both"/>
        <w:rPr>
          <w:b/>
        </w:rPr>
      </w:pPr>
    </w:p>
    <w:p w14:paraId="67439C56" w14:textId="77777777" w:rsidR="00476D7C" w:rsidRPr="00820267" w:rsidRDefault="00476D7C" w:rsidP="00476D7C">
      <w:pPr>
        <w:jc w:val="both"/>
        <w:rPr>
          <w:b/>
        </w:rPr>
      </w:pPr>
      <w:r w:rsidRPr="00820267">
        <w:rPr>
          <w:b/>
        </w:rPr>
        <w:t xml:space="preserve">For the </w:t>
      </w:r>
      <w:r w:rsidR="00D90B89">
        <w:rPr>
          <w:b/>
        </w:rPr>
        <w:t>period</w:t>
      </w:r>
      <w:r w:rsidRPr="00820267">
        <w:rPr>
          <w:b/>
        </w:rPr>
        <w:t xml:space="preserve"> ended </w:t>
      </w:r>
      <w:r w:rsidR="00D90B89">
        <w:rPr>
          <w:b/>
        </w:rPr>
        <w:t>28</w:t>
      </w:r>
      <w:r w:rsidRPr="00820267">
        <w:rPr>
          <w:b/>
        </w:rPr>
        <w:t xml:space="preserve"> December 20</w:t>
      </w:r>
      <w:r w:rsidR="001F1B1A" w:rsidRPr="00820267">
        <w:rPr>
          <w:b/>
        </w:rPr>
        <w:t>2</w:t>
      </w:r>
      <w:r w:rsidR="00820267" w:rsidRPr="00820267">
        <w:rPr>
          <w:b/>
        </w:rPr>
        <w:t>4</w:t>
      </w:r>
    </w:p>
    <w:p w14:paraId="27D18C73" w14:textId="77777777" w:rsidR="00476D7C" w:rsidRPr="00820267" w:rsidRDefault="00476D7C" w:rsidP="00476D7C">
      <w:pPr>
        <w:jc w:val="both"/>
        <w:rPr>
          <w:b/>
        </w:rPr>
      </w:pPr>
    </w:p>
    <w:p w14:paraId="2D05DF43" w14:textId="77777777" w:rsidR="00476D7C" w:rsidRPr="00820267" w:rsidRDefault="00476D7C" w:rsidP="00476D7C">
      <w:pPr>
        <w:jc w:val="both"/>
        <w:rPr>
          <w:b/>
        </w:rPr>
      </w:pPr>
      <w:r w:rsidRPr="00820267">
        <w:rPr>
          <w:b/>
        </w:rPr>
        <w:t>Registered number SC443895</w:t>
      </w:r>
    </w:p>
    <w:p w14:paraId="5552CBC1" w14:textId="77777777" w:rsidR="00476D7C" w:rsidRPr="00820267" w:rsidRDefault="00476D7C" w:rsidP="00476D7C">
      <w:pPr>
        <w:jc w:val="both"/>
      </w:pPr>
    </w:p>
    <w:p w14:paraId="645F90B7" w14:textId="77777777" w:rsidR="00476D7C" w:rsidRPr="00C328EF" w:rsidRDefault="00476D7C" w:rsidP="00476D7C">
      <w:pPr>
        <w:jc w:val="both"/>
        <w:rPr>
          <w:highlight w:val="yellow"/>
        </w:rPr>
      </w:pPr>
    </w:p>
    <w:p w14:paraId="413FA202" w14:textId="77777777" w:rsidR="00476D7C" w:rsidRPr="00C328EF" w:rsidRDefault="00476D7C" w:rsidP="00476D7C">
      <w:pPr>
        <w:jc w:val="both"/>
        <w:rPr>
          <w:sz w:val="24"/>
          <w:szCs w:val="24"/>
          <w:highlight w:val="yellow"/>
        </w:rPr>
      </w:pPr>
    </w:p>
    <w:p w14:paraId="41370549" w14:textId="77777777" w:rsidR="00476D7C" w:rsidRPr="00C328EF" w:rsidRDefault="00476D7C" w:rsidP="00476D7C">
      <w:pPr>
        <w:jc w:val="both"/>
        <w:rPr>
          <w:highlight w:val="yellow"/>
        </w:rPr>
      </w:pPr>
    </w:p>
    <w:p w14:paraId="76D2A432" w14:textId="77777777" w:rsidR="00476D7C" w:rsidRPr="00C328EF" w:rsidRDefault="00476D7C" w:rsidP="00476D7C">
      <w:pPr>
        <w:jc w:val="both"/>
        <w:rPr>
          <w:highlight w:val="yellow"/>
        </w:rPr>
      </w:pPr>
    </w:p>
    <w:p w14:paraId="09F21AD6" w14:textId="77777777" w:rsidR="00476D7C" w:rsidRPr="00C328EF" w:rsidRDefault="00476D7C" w:rsidP="00476D7C">
      <w:pPr>
        <w:jc w:val="both"/>
        <w:rPr>
          <w:highlight w:val="yellow"/>
        </w:rPr>
      </w:pPr>
    </w:p>
    <w:p w14:paraId="27FC4335" w14:textId="77777777" w:rsidR="00476D7C" w:rsidRPr="00C328EF" w:rsidRDefault="00476D7C" w:rsidP="00476D7C">
      <w:pPr>
        <w:jc w:val="both"/>
        <w:rPr>
          <w:highlight w:val="yellow"/>
        </w:rPr>
      </w:pPr>
    </w:p>
    <w:p w14:paraId="13AB1C54" w14:textId="77777777" w:rsidR="00476D7C" w:rsidRPr="00C328EF" w:rsidRDefault="00476D7C" w:rsidP="00430BA6">
      <w:pPr>
        <w:jc w:val="center"/>
        <w:rPr>
          <w:highlight w:val="yellow"/>
        </w:rPr>
      </w:pPr>
    </w:p>
    <w:p w14:paraId="266A6E5A" w14:textId="77777777" w:rsidR="00476D7C" w:rsidRPr="00C328EF" w:rsidRDefault="00476D7C" w:rsidP="00476D7C">
      <w:pPr>
        <w:jc w:val="both"/>
        <w:rPr>
          <w:highlight w:val="yellow"/>
        </w:rPr>
      </w:pPr>
    </w:p>
    <w:p w14:paraId="5C183023" w14:textId="77777777" w:rsidR="00476D7C" w:rsidRPr="00C328EF" w:rsidRDefault="00476D7C" w:rsidP="00476D7C">
      <w:pPr>
        <w:jc w:val="both"/>
        <w:rPr>
          <w:highlight w:val="yellow"/>
        </w:rPr>
      </w:pPr>
    </w:p>
    <w:p w14:paraId="26FB8675" w14:textId="77777777" w:rsidR="00476D7C" w:rsidRPr="00C328EF" w:rsidRDefault="00476D7C" w:rsidP="00476D7C">
      <w:pPr>
        <w:jc w:val="both"/>
        <w:rPr>
          <w:highlight w:val="yellow"/>
        </w:rPr>
      </w:pPr>
    </w:p>
    <w:p w14:paraId="1A6204E2" w14:textId="77777777" w:rsidR="00476D7C" w:rsidRPr="00C328EF" w:rsidRDefault="00476D7C" w:rsidP="00476D7C">
      <w:pPr>
        <w:jc w:val="both"/>
        <w:rPr>
          <w:highlight w:val="yellow"/>
        </w:rPr>
      </w:pPr>
    </w:p>
    <w:p w14:paraId="3D62056E" w14:textId="77777777" w:rsidR="00476D7C" w:rsidRPr="00C328EF" w:rsidRDefault="00476D7C" w:rsidP="00476D7C">
      <w:pPr>
        <w:jc w:val="both"/>
        <w:rPr>
          <w:highlight w:val="yellow"/>
        </w:rPr>
      </w:pPr>
    </w:p>
    <w:p w14:paraId="747710B1" w14:textId="77777777" w:rsidR="00476D7C" w:rsidRPr="00C328EF" w:rsidRDefault="00476D7C" w:rsidP="00476D7C">
      <w:pPr>
        <w:jc w:val="both"/>
        <w:rPr>
          <w:highlight w:val="yellow"/>
        </w:rPr>
      </w:pPr>
    </w:p>
    <w:p w14:paraId="16C85E4C" w14:textId="77777777" w:rsidR="00476D7C" w:rsidRPr="00C328EF" w:rsidRDefault="00476D7C" w:rsidP="00476D7C">
      <w:pPr>
        <w:jc w:val="both"/>
        <w:rPr>
          <w:highlight w:val="yellow"/>
        </w:rPr>
      </w:pPr>
    </w:p>
    <w:p w14:paraId="1FD6572A" w14:textId="77777777" w:rsidR="00476D7C" w:rsidRPr="00C328EF" w:rsidRDefault="00476D7C" w:rsidP="00476D7C">
      <w:pPr>
        <w:jc w:val="both"/>
        <w:rPr>
          <w:highlight w:val="yellow"/>
        </w:rPr>
      </w:pPr>
    </w:p>
    <w:p w14:paraId="7CDA99A8" w14:textId="77777777" w:rsidR="00476D7C" w:rsidRPr="00C328EF" w:rsidRDefault="00476D7C" w:rsidP="00476D7C">
      <w:pPr>
        <w:jc w:val="both"/>
        <w:rPr>
          <w:highlight w:val="yellow"/>
        </w:rPr>
      </w:pPr>
    </w:p>
    <w:p w14:paraId="6945B319" w14:textId="77777777" w:rsidR="00476D7C" w:rsidRPr="00C328EF" w:rsidRDefault="00476D7C" w:rsidP="00476D7C">
      <w:pPr>
        <w:jc w:val="both"/>
        <w:rPr>
          <w:highlight w:val="yellow"/>
        </w:rPr>
      </w:pPr>
    </w:p>
    <w:p w14:paraId="31F4A3AB" w14:textId="77777777" w:rsidR="00476D7C" w:rsidRPr="00C328EF" w:rsidRDefault="00476D7C" w:rsidP="00476D7C">
      <w:pPr>
        <w:jc w:val="both"/>
        <w:rPr>
          <w:highlight w:val="yellow"/>
        </w:rPr>
      </w:pPr>
    </w:p>
    <w:p w14:paraId="1137ABF1" w14:textId="77777777" w:rsidR="00476D7C" w:rsidRPr="00C328EF" w:rsidRDefault="00476D7C" w:rsidP="00476D7C">
      <w:pPr>
        <w:jc w:val="both"/>
        <w:rPr>
          <w:highlight w:val="yellow"/>
        </w:rPr>
      </w:pPr>
    </w:p>
    <w:p w14:paraId="1FCC07B5" w14:textId="77777777" w:rsidR="00476D7C" w:rsidRPr="00C328EF" w:rsidRDefault="00476D7C" w:rsidP="00476D7C">
      <w:pPr>
        <w:jc w:val="both"/>
        <w:rPr>
          <w:highlight w:val="yellow"/>
        </w:rPr>
      </w:pPr>
    </w:p>
    <w:p w14:paraId="71506558" w14:textId="77777777" w:rsidR="00476D7C" w:rsidRPr="00C328EF" w:rsidRDefault="00476D7C" w:rsidP="00476D7C">
      <w:pPr>
        <w:jc w:val="both"/>
        <w:rPr>
          <w:highlight w:val="yellow"/>
        </w:rPr>
      </w:pPr>
    </w:p>
    <w:p w14:paraId="344CE2D2" w14:textId="77777777" w:rsidR="00476D7C" w:rsidRPr="00C328EF" w:rsidRDefault="00476D7C" w:rsidP="00476D7C">
      <w:pPr>
        <w:jc w:val="both"/>
        <w:rPr>
          <w:highlight w:val="yellow"/>
        </w:rPr>
      </w:pPr>
    </w:p>
    <w:p w14:paraId="04A663E4" w14:textId="77777777" w:rsidR="00476D7C" w:rsidRPr="00C328EF" w:rsidRDefault="00476D7C" w:rsidP="00476D7C">
      <w:pPr>
        <w:jc w:val="both"/>
        <w:rPr>
          <w:highlight w:val="yellow"/>
        </w:rPr>
      </w:pPr>
    </w:p>
    <w:p w14:paraId="7E52CDE2" w14:textId="77777777" w:rsidR="00476D7C" w:rsidRPr="00C328EF" w:rsidRDefault="00476D7C" w:rsidP="00476D7C">
      <w:pPr>
        <w:jc w:val="both"/>
        <w:rPr>
          <w:highlight w:val="yellow"/>
        </w:rPr>
      </w:pPr>
    </w:p>
    <w:p w14:paraId="49B14FD0" w14:textId="77777777" w:rsidR="00476D7C" w:rsidRPr="00C328EF" w:rsidRDefault="00476D7C" w:rsidP="00476D7C">
      <w:pPr>
        <w:jc w:val="both"/>
        <w:rPr>
          <w:highlight w:val="yellow"/>
        </w:rPr>
      </w:pPr>
    </w:p>
    <w:p w14:paraId="324FAA04" w14:textId="77777777" w:rsidR="00476D7C" w:rsidRPr="00C328EF" w:rsidRDefault="00476D7C" w:rsidP="00476D7C">
      <w:pPr>
        <w:jc w:val="both"/>
        <w:rPr>
          <w:highlight w:val="yellow"/>
        </w:rPr>
      </w:pPr>
    </w:p>
    <w:p w14:paraId="353A31EC" w14:textId="77777777" w:rsidR="00476D7C" w:rsidRPr="00C328EF" w:rsidRDefault="00476D7C" w:rsidP="00476D7C">
      <w:pPr>
        <w:jc w:val="both"/>
        <w:rPr>
          <w:highlight w:val="yellow"/>
        </w:rPr>
      </w:pPr>
    </w:p>
    <w:p w14:paraId="1499F5BE" w14:textId="77777777" w:rsidR="00476D7C" w:rsidRPr="00C328EF" w:rsidRDefault="00476D7C" w:rsidP="00476D7C">
      <w:pPr>
        <w:jc w:val="both"/>
        <w:rPr>
          <w:highlight w:val="yellow"/>
        </w:rPr>
      </w:pPr>
    </w:p>
    <w:p w14:paraId="717526AE" w14:textId="77777777" w:rsidR="00476D7C" w:rsidRPr="00C328EF" w:rsidRDefault="00476D7C" w:rsidP="00476D7C">
      <w:pPr>
        <w:jc w:val="both"/>
        <w:rPr>
          <w:highlight w:val="yellow"/>
        </w:rPr>
      </w:pPr>
    </w:p>
    <w:p w14:paraId="3659C4F1" w14:textId="77777777" w:rsidR="00476D7C" w:rsidRPr="00C328EF" w:rsidRDefault="00476D7C" w:rsidP="00476D7C">
      <w:pPr>
        <w:rPr>
          <w:b/>
          <w:highlight w:val="yellow"/>
        </w:rPr>
        <w:sectPr w:rsidR="00476D7C" w:rsidRPr="00C328EF" w:rsidSect="00AD1041">
          <w:pgSz w:w="11906" w:h="16838" w:code="9"/>
          <w:pgMar w:top="4479" w:right="1644" w:bottom="1418" w:left="1644" w:header="1077" w:footer="318" w:gutter="0"/>
          <w:cols w:space="720"/>
          <w:docGrid w:linePitch="212"/>
        </w:sectPr>
      </w:pPr>
    </w:p>
    <w:p w14:paraId="2CE52266" w14:textId="77777777" w:rsidR="00476D7C" w:rsidRPr="00820267" w:rsidRDefault="00476D7C" w:rsidP="00476D7C">
      <w:pPr>
        <w:jc w:val="center"/>
        <w:rPr>
          <w:b/>
        </w:rPr>
      </w:pPr>
      <w:r w:rsidRPr="00820267">
        <w:rPr>
          <w:b/>
        </w:rPr>
        <w:lastRenderedPageBreak/>
        <w:t>TRANSPORT FOR EDINBURGH LIMITED</w:t>
      </w:r>
    </w:p>
    <w:p w14:paraId="6D657C84" w14:textId="77777777" w:rsidR="00476D7C" w:rsidRPr="00820267" w:rsidRDefault="00476D7C" w:rsidP="00476D7C">
      <w:pPr>
        <w:jc w:val="center"/>
        <w:rPr>
          <w:b/>
        </w:rPr>
      </w:pPr>
    </w:p>
    <w:p w14:paraId="6966CF82" w14:textId="77777777" w:rsidR="00476D7C" w:rsidRPr="00820267" w:rsidRDefault="00476D7C" w:rsidP="00476D7C">
      <w:pPr>
        <w:jc w:val="center"/>
        <w:rPr>
          <w:b/>
        </w:rPr>
      </w:pPr>
      <w:r w:rsidRPr="00820267">
        <w:rPr>
          <w:b/>
        </w:rPr>
        <w:t>Consolidated Financial Statements</w:t>
      </w:r>
    </w:p>
    <w:p w14:paraId="28339C4C" w14:textId="77777777" w:rsidR="00476D7C" w:rsidRPr="00820267" w:rsidRDefault="00476D7C" w:rsidP="00476D7C">
      <w:pPr>
        <w:jc w:val="center"/>
        <w:rPr>
          <w:b/>
        </w:rPr>
      </w:pPr>
    </w:p>
    <w:p w14:paraId="5EFFE2EE" w14:textId="77777777" w:rsidR="00476D7C" w:rsidRPr="00820267" w:rsidRDefault="00476D7C" w:rsidP="00476D7C">
      <w:pPr>
        <w:jc w:val="center"/>
        <w:rPr>
          <w:b/>
        </w:rPr>
      </w:pPr>
      <w:bookmarkStart w:id="0" w:name="_Hlk193463021"/>
      <w:r w:rsidRPr="00FC284E">
        <w:rPr>
          <w:b/>
        </w:rPr>
        <w:t xml:space="preserve">For the </w:t>
      </w:r>
      <w:r w:rsidR="00D90B89" w:rsidRPr="00FC284E">
        <w:rPr>
          <w:b/>
        </w:rPr>
        <w:t>period</w:t>
      </w:r>
      <w:r w:rsidRPr="00FC284E">
        <w:rPr>
          <w:b/>
        </w:rPr>
        <w:t xml:space="preserve"> ended </w:t>
      </w:r>
      <w:r w:rsidR="00D90B89" w:rsidRPr="00FC284E">
        <w:rPr>
          <w:b/>
        </w:rPr>
        <w:t>28</w:t>
      </w:r>
      <w:r w:rsidRPr="00FC284E">
        <w:rPr>
          <w:b/>
        </w:rPr>
        <w:t xml:space="preserve"> December 20</w:t>
      </w:r>
      <w:r w:rsidR="001F1B1A" w:rsidRPr="00FC284E">
        <w:rPr>
          <w:b/>
        </w:rPr>
        <w:t>2</w:t>
      </w:r>
      <w:r w:rsidR="00820267" w:rsidRPr="00FC284E">
        <w:rPr>
          <w:b/>
        </w:rPr>
        <w:t>4</w:t>
      </w:r>
      <w:bookmarkEnd w:id="0"/>
    </w:p>
    <w:p w14:paraId="19B19DB4" w14:textId="77777777" w:rsidR="00476D7C" w:rsidRPr="00820267" w:rsidRDefault="00476D7C" w:rsidP="00476D7C">
      <w:pPr>
        <w:jc w:val="center"/>
      </w:pPr>
    </w:p>
    <w:p w14:paraId="4DFBC2AE" w14:textId="77777777" w:rsidR="00476D7C" w:rsidRPr="00820267" w:rsidRDefault="00476D7C" w:rsidP="00476D7C">
      <w:pPr>
        <w:jc w:val="center"/>
      </w:pPr>
    </w:p>
    <w:p w14:paraId="4E686134" w14:textId="77777777" w:rsidR="00476D7C" w:rsidRPr="00820267" w:rsidRDefault="00476D7C" w:rsidP="00476D7C">
      <w:pPr>
        <w:jc w:val="center"/>
      </w:pPr>
    </w:p>
    <w:tbl>
      <w:tblPr>
        <w:tblW w:w="0" w:type="auto"/>
        <w:tblLook w:val="0000" w:firstRow="0" w:lastRow="0" w:firstColumn="0" w:lastColumn="0" w:noHBand="0" w:noVBand="0"/>
      </w:tblPr>
      <w:tblGrid>
        <w:gridCol w:w="8186"/>
        <w:gridCol w:w="1806"/>
      </w:tblGrid>
      <w:tr w:rsidR="00476D7C" w:rsidRPr="00820267" w14:paraId="792FF709" w14:textId="77777777" w:rsidTr="00C01F83">
        <w:tc>
          <w:tcPr>
            <w:tcW w:w="8330" w:type="dxa"/>
          </w:tcPr>
          <w:p w14:paraId="1565F97C" w14:textId="77777777" w:rsidR="00476D7C" w:rsidRPr="00820267" w:rsidRDefault="00476D7C" w:rsidP="00C01F83">
            <w:pPr>
              <w:jc w:val="both"/>
              <w:rPr>
                <w:b/>
              </w:rPr>
            </w:pPr>
            <w:r w:rsidRPr="00820267">
              <w:rPr>
                <w:b/>
              </w:rPr>
              <w:t>Contents</w:t>
            </w:r>
          </w:p>
        </w:tc>
        <w:tc>
          <w:tcPr>
            <w:tcW w:w="1830" w:type="dxa"/>
          </w:tcPr>
          <w:p w14:paraId="0420CB9D" w14:textId="77777777" w:rsidR="00476D7C" w:rsidRPr="00026ABD" w:rsidRDefault="00476D7C" w:rsidP="00C01F83">
            <w:pPr>
              <w:jc w:val="both"/>
              <w:rPr>
                <w:b/>
              </w:rPr>
            </w:pPr>
            <w:r w:rsidRPr="00026ABD">
              <w:rPr>
                <w:b/>
              </w:rPr>
              <w:t>Page</w:t>
            </w:r>
          </w:p>
        </w:tc>
      </w:tr>
      <w:tr w:rsidR="00476D7C" w:rsidRPr="00820267" w14:paraId="0D30FC57" w14:textId="77777777" w:rsidTr="00C01F83">
        <w:tc>
          <w:tcPr>
            <w:tcW w:w="8330" w:type="dxa"/>
          </w:tcPr>
          <w:p w14:paraId="40250C88" w14:textId="77777777" w:rsidR="00476D7C" w:rsidRPr="00820267" w:rsidRDefault="00476D7C" w:rsidP="00C01F83">
            <w:pPr>
              <w:jc w:val="both"/>
            </w:pPr>
          </w:p>
        </w:tc>
        <w:tc>
          <w:tcPr>
            <w:tcW w:w="1830" w:type="dxa"/>
          </w:tcPr>
          <w:p w14:paraId="685E8569" w14:textId="77777777" w:rsidR="00476D7C" w:rsidRPr="00026ABD" w:rsidRDefault="00476D7C" w:rsidP="00C01F83">
            <w:pPr>
              <w:jc w:val="both"/>
            </w:pPr>
          </w:p>
        </w:tc>
      </w:tr>
      <w:tr w:rsidR="00476D7C" w:rsidRPr="00820267" w14:paraId="2A3FE850" w14:textId="77777777" w:rsidTr="00C01F83">
        <w:tc>
          <w:tcPr>
            <w:tcW w:w="8330" w:type="dxa"/>
          </w:tcPr>
          <w:p w14:paraId="2B4D5E5D" w14:textId="77777777" w:rsidR="00476D7C" w:rsidRPr="00820267" w:rsidRDefault="00476D7C" w:rsidP="00C01F83">
            <w:pPr>
              <w:jc w:val="both"/>
            </w:pPr>
            <w:r w:rsidRPr="00820267">
              <w:t>Company Information</w:t>
            </w:r>
          </w:p>
        </w:tc>
        <w:tc>
          <w:tcPr>
            <w:tcW w:w="1830" w:type="dxa"/>
          </w:tcPr>
          <w:p w14:paraId="5229D792" w14:textId="77777777" w:rsidR="00476D7C" w:rsidRPr="00FC284E" w:rsidRDefault="00476D7C" w:rsidP="00C01F83">
            <w:pPr>
              <w:jc w:val="both"/>
            </w:pPr>
            <w:r w:rsidRPr="00FC284E">
              <w:t>2</w:t>
            </w:r>
          </w:p>
        </w:tc>
      </w:tr>
      <w:tr w:rsidR="00476D7C" w:rsidRPr="00C328EF" w14:paraId="084C42F4" w14:textId="77777777" w:rsidTr="00C01F83">
        <w:tc>
          <w:tcPr>
            <w:tcW w:w="8330" w:type="dxa"/>
          </w:tcPr>
          <w:p w14:paraId="70C00A98" w14:textId="77777777" w:rsidR="00476D7C" w:rsidRPr="00C328EF" w:rsidRDefault="00476D7C" w:rsidP="00C01F83">
            <w:pPr>
              <w:jc w:val="both"/>
              <w:rPr>
                <w:highlight w:val="yellow"/>
              </w:rPr>
            </w:pPr>
          </w:p>
        </w:tc>
        <w:tc>
          <w:tcPr>
            <w:tcW w:w="1830" w:type="dxa"/>
          </w:tcPr>
          <w:p w14:paraId="126358A4" w14:textId="77777777" w:rsidR="00476D7C" w:rsidRPr="00FC284E" w:rsidRDefault="00476D7C" w:rsidP="00C01F83">
            <w:pPr>
              <w:jc w:val="both"/>
            </w:pPr>
          </w:p>
        </w:tc>
      </w:tr>
      <w:tr w:rsidR="00476D7C" w:rsidRPr="00C328EF" w14:paraId="5CF7B17E" w14:textId="77777777" w:rsidTr="00C01F83">
        <w:tc>
          <w:tcPr>
            <w:tcW w:w="8330" w:type="dxa"/>
          </w:tcPr>
          <w:p w14:paraId="70B14708" w14:textId="77777777" w:rsidR="00476D7C" w:rsidRPr="00820267" w:rsidRDefault="00476D7C" w:rsidP="00C01F83">
            <w:pPr>
              <w:jc w:val="both"/>
            </w:pPr>
            <w:r w:rsidRPr="00820267">
              <w:t>Strategic Report</w:t>
            </w:r>
          </w:p>
        </w:tc>
        <w:tc>
          <w:tcPr>
            <w:tcW w:w="1830" w:type="dxa"/>
          </w:tcPr>
          <w:p w14:paraId="5BFEE72E" w14:textId="77777777" w:rsidR="00476D7C" w:rsidRPr="00FC284E" w:rsidRDefault="00476D7C" w:rsidP="00C01F83">
            <w:pPr>
              <w:jc w:val="both"/>
            </w:pPr>
            <w:r w:rsidRPr="00FC284E">
              <w:t xml:space="preserve">3 – </w:t>
            </w:r>
            <w:r w:rsidR="00D1188F" w:rsidRPr="00FC284E">
              <w:t>1</w:t>
            </w:r>
            <w:r w:rsidR="00FD0B28" w:rsidRPr="00FC284E">
              <w:t>8</w:t>
            </w:r>
          </w:p>
        </w:tc>
      </w:tr>
      <w:tr w:rsidR="00476D7C" w:rsidRPr="00C328EF" w14:paraId="5C49E8D9" w14:textId="77777777" w:rsidTr="00C01F83">
        <w:tc>
          <w:tcPr>
            <w:tcW w:w="8330" w:type="dxa"/>
          </w:tcPr>
          <w:p w14:paraId="25610A30" w14:textId="77777777" w:rsidR="00476D7C" w:rsidRPr="00820267" w:rsidRDefault="00476D7C" w:rsidP="00C01F83">
            <w:pPr>
              <w:jc w:val="both"/>
            </w:pPr>
          </w:p>
        </w:tc>
        <w:tc>
          <w:tcPr>
            <w:tcW w:w="1830" w:type="dxa"/>
          </w:tcPr>
          <w:p w14:paraId="16D09DFE" w14:textId="77777777" w:rsidR="00476D7C" w:rsidRPr="00FC284E" w:rsidRDefault="00476D7C" w:rsidP="00C01F83">
            <w:pPr>
              <w:jc w:val="both"/>
            </w:pPr>
          </w:p>
        </w:tc>
      </w:tr>
      <w:tr w:rsidR="00476D7C" w:rsidRPr="00C328EF" w14:paraId="629DB763" w14:textId="77777777" w:rsidTr="00C01F83">
        <w:tc>
          <w:tcPr>
            <w:tcW w:w="8330" w:type="dxa"/>
          </w:tcPr>
          <w:p w14:paraId="1A76A2ED" w14:textId="77777777" w:rsidR="00476D7C" w:rsidRPr="00820267" w:rsidRDefault="00476D7C" w:rsidP="00C01F83">
            <w:pPr>
              <w:jc w:val="both"/>
            </w:pPr>
            <w:r w:rsidRPr="00820267">
              <w:t>Corporate Governance Report</w:t>
            </w:r>
          </w:p>
        </w:tc>
        <w:tc>
          <w:tcPr>
            <w:tcW w:w="1830" w:type="dxa"/>
          </w:tcPr>
          <w:p w14:paraId="54552C9F" w14:textId="77777777" w:rsidR="00476D7C" w:rsidRPr="00FC284E" w:rsidRDefault="00D1188F" w:rsidP="00C01F83">
            <w:pPr>
              <w:jc w:val="both"/>
            </w:pPr>
            <w:r w:rsidRPr="00FC284E">
              <w:t>1</w:t>
            </w:r>
            <w:r w:rsidR="00FD0B28" w:rsidRPr="00FC284E">
              <w:t>9</w:t>
            </w:r>
            <w:r w:rsidR="00476D7C" w:rsidRPr="00FC284E">
              <w:t xml:space="preserve"> – </w:t>
            </w:r>
            <w:r w:rsidR="00583A5D" w:rsidRPr="00FC284E">
              <w:t>2</w:t>
            </w:r>
            <w:r w:rsidR="00FD0B28" w:rsidRPr="00FC284E">
              <w:t>6</w:t>
            </w:r>
          </w:p>
        </w:tc>
      </w:tr>
      <w:tr w:rsidR="00476D7C" w:rsidRPr="00C328EF" w14:paraId="508980EB" w14:textId="77777777" w:rsidTr="00C01F83">
        <w:tc>
          <w:tcPr>
            <w:tcW w:w="8330" w:type="dxa"/>
          </w:tcPr>
          <w:p w14:paraId="579132D2" w14:textId="77777777" w:rsidR="00476D7C" w:rsidRPr="00820267" w:rsidRDefault="00476D7C" w:rsidP="00C01F83">
            <w:pPr>
              <w:jc w:val="both"/>
            </w:pPr>
          </w:p>
        </w:tc>
        <w:tc>
          <w:tcPr>
            <w:tcW w:w="1830" w:type="dxa"/>
          </w:tcPr>
          <w:p w14:paraId="785784AB" w14:textId="77777777" w:rsidR="00476D7C" w:rsidRPr="00FC284E" w:rsidRDefault="00476D7C" w:rsidP="00C01F83">
            <w:pPr>
              <w:jc w:val="both"/>
            </w:pPr>
          </w:p>
        </w:tc>
      </w:tr>
      <w:tr w:rsidR="00476D7C" w:rsidRPr="00C328EF" w14:paraId="32F1D4B5" w14:textId="77777777" w:rsidTr="00C01F83">
        <w:tc>
          <w:tcPr>
            <w:tcW w:w="8330" w:type="dxa"/>
          </w:tcPr>
          <w:p w14:paraId="46238752" w14:textId="77777777" w:rsidR="00476D7C" w:rsidRPr="00820267" w:rsidRDefault="00476D7C" w:rsidP="00C01F83">
            <w:pPr>
              <w:jc w:val="both"/>
            </w:pPr>
            <w:r w:rsidRPr="00820267">
              <w:t>Directors’ Report</w:t>
            </w:r>
          </w:p>
        </w:tc>
        <w:tc>
          <w:tcPr>
            <w:tcW w:w="1830" w:type="dxa"/>
          </w:tcPr>
          <w:p w14:paraId="5C0B275C" w14:textId="77777777" w:rsidR="00476D7C" w:rsidRPr="00FC284E" w:rsidRDefault="009E7DC5" w:rsidP="00C01F83">
            <w:pPr>
              <w:jc w:val="both"/>
            </w:pPr>
            <w:r w:rsidRPr="00FC284E">
              <w:t>2</w:t>
            </w:r>
            <w:r w:rsidR="00FD0B28" w:rsidRPr="00FC284E">
              <w:t>7</w:t>
            </w:r>
            <w:r w:rsidR="00476D7C" w:rsidRPr="00FC284E">
              <w:t xml:space="preserve"> – </w:t>
            </w:r>
            <w:r w:rsidR="00D1188F" w:rsidRPr="00FC284E">
              <w:t>2</w:t>
            </w:r>
            <w:r w:rsidR="00FD0B28" w:rsidRPr="00FC284E">
              <w:t>8</w:t>
            </w:r>
          </w:p>
        </w:tc>
      </w:tr>
      <w:tr w:rsidR="00476D7C" w:rsidRPr="00C328EF" w14:paraId="7EE68C58" w14:textId="77777777" w:rsidTr="00C01F83">
        <w:tc>
          <w:tcPr>
            <w:tcW w:w="8330" w:type="dxa"/>
          </w:tcPr>
          <w:p w14:paraId="0279E6E5" w14:textId="77777777" w:rsidR="00476D7C" w:rsidRPr="00820267" w:rsidRDefault="00476D7C" w:rsidP="00C01F83">
            <w:pPr>
              <w:jc w:val="both"/>
            </w:pPr>
          </w:p>
        </w:tc>
        <w:tc>
          <w:tcPr>
            <w:tcW w:w="1830" w:type="dxa"/>
          </w:tcPr>
          <w:p w14:paraId="199B8914" w14:textId="77777777" w:rsidR="00476D7C" w:rsidRPr="00FC284E" w:rsidRDefault="00476D7C" w:rsidP="00C01F83">
            <w:pPr>
              <w:jc w:val="both"/>
            </w:pPr>
          </w:p>
        </w:tc>
      </w:tr>
      <w:tr w:rsidR="00476D7C" w:rsidRPr="00C328EF" w14:paraId="413F2695" w14:textId="77777777" w:rsidTr="00C01F83">
        <w:tc>
          <w:tcPr>
            <w:tcW w:w="8330" w:type="dxa"/>
          </w:tcPr>
          <w:p w14:paraId="6DA31922" w14:textId="77777777" w:rsidR="00476D7C" w:rsidRPr="00820267" w:rsidRDefault="00476D7C" w:rsidP="00C01F83">
            <w:pPr>
              <w:jc w:val="both"/>
            </w:pPr>
            <w:r w:rsidRPr="00820267">
              <w:t>Independent Auditor’s Report to the Members of Transport for Edinburgh Limited</w:t>
            </w:r>
          </w:p>
        </w:tc>
        <w:tc>
          <w:tcPr>
            <w:tcW w:w="1830" w:type="dxa"/>
          </w:tcPr>
          <w:p w14:paraId="25080F49" w14:textId="77777777" w:rsidR="00476D7C" w:rsidRPr="00FC284E" w:rsidRDefault="00D1188F" w:rsidP="00C01F83">
            <w:pPr>
              <w:jc w:val="both"/>
            </w:pPr>
            <w:r w:rsidRPr="00FC284E">
              <w:t>2</w:t>
            </w:r>
            <w:r w:rsidR="00FD0B28" w:rsidRPr="00FC284E">
              <w:t>9</w:t>
            </w:r>
            <w:r w:rsidR="00476D7C" w:rsidRPr="00FC284E">
              <w:t xml:space="preserve"> – </w:t>
            </w:r>
            <w:r w:rsidR="00FD0B28" w:rsidRPr="00FC284E">
              <w:t>31</w:t>
            </w:r>
          </w:p>
        </w:tc>
      </w:tr>
      <w:tr w:rsidR="00476D7C" w:rsidRPr="00C328EF" w14:paraId="7C8E10C1" w14:textId="77777777" w:rsidTr="00C01F83">
        <w:trPr>
          <w:trHeight w:val="138"/>
        </w:trPr>
        <w:tc>
          <w:tcPr>
            <w:tcW w:w="8330" w:type="dxa"/>
          </w:tcPr>
          <w:p w14:paraId="2EB7EB69" w14:textId="77777777" w:rsidR="00476D7C" w:rsidRPr="00820267" w:rsidRDefault="00476D7C" w:rsidP="00C01F83">
            <w:pPr>
              <w:jc w:val="both"/>
            </w:pPr>
          </w:p>
        </w:tc>
        <w:tc>
          <w:tcPr>
            <w:tcW w:w="1830" w:type="dxa"/>
          </w:tcPr>
          <w:p w14:paraId="60CEE758" w14:textId="77777777" w:rsidR="00476D7C" w:rsidRPr="00FC284E" w:rsidRDefault="00476D7C" w:rsidP="00C01F83">
            <w:pPr>
              <w:jc w:val="both"/>
            </w:pPr>
          </w:p>
        </w:tc>
      </w:tr>
      <w:tr w:rsidR="00476D7C" w:rsidRPr="00C328EF" w14:paraId="75057738" w14:textId="77777777" w:rsidTr="00C01F83">
        <w:tc>
          <w:tcPr>
            <w:tcW w:w="8330" w:type="dxa"/>
          </w:tcPr>
          <w:p w14:paraId="7125AAA1" w14:textId="77777777" w:rsidR="00476D7C" w:rsidRPr="00820267" w:rsidRDefault="00476D7C" w:rsidP="00C01F83">
            <w:pPr>
              <w:jc w:val="both"/>
            </w:pPr>
            <w:r w:rsidRPr="00820267">
              <w:t xml:space="preserve">Consolidated and </w:t>
            </w:r>
            <w:r w:rsidR="00B77919">
              <w:t xml:space="preserve">Parent </w:t>
            </w:r>
            <w:r w:rsidRPr="00820267">
              <w:t>Company Statement of Profit or Loss and Other Comprehensive Income</w:t>
            </w:r>
          </w:p>
        </w:tc>
        <w:tc>
          <w:tcPr>
            <w:tcW w:w="1830" w:type="dxa"/>
          </w:tcPr>
          <w:p w14:paraId="4D0FDFB1" w14:textId="77777777" w:rsidR="00476D7C" w:rsidRPr="00FC284E" w:rsidRDefault="00F8382F" w:rsidP="00C01F83">
            <w:pPr>
              <w:jc w:val="both"/>
            </w:pPr>
            <w:r w:rsidRPr="00FC284E">
              <w:t>3</w:t>
            </w:r>
            <w:r w:rsidR="00FD0B28" w:rsidRPr="00FC284E">
              <w:t>2</w:t>
            </w:r>
          </w:p>
        </w:tc>
      </w:tr>
      <w:tr w:rsidR="00476D7C" w:rsidRPr="00C328EF" w14:paraId="2F520176" w14:textId="77777777" w:rsidTr="00C01F83">
        <w:tc>
          <w:tcPr>
            <w:tcW w:w="8330" w:type="dxa"/>
          </w:tcPr>
          <w:p w14:paraId="6DBB8B17" w14:textId="77777777" w:rsidR="00476D7C" w:rsidRPr="00820267" w:rsidRDefault="00476D7C" w:rsidP="00C01F83">
            <w:pPr>
              <w:jc w:val="both"/>
            </w:pPr>
          </w:p>
        </w:tc>
        <w:tc>
          <w:tcPr>
            <w:tcW w:w="1830" w:type="dxa"/>
          </w:tcPr>
          <w:p w14:paraId="4ED3D2FD" w14:textId="77777777" w:rsidR="00476D7C" w:rsidRPr="00FC284E" w:rsidRDefault="00476D7C" w:rsidP="00C01F83">
            <w:pPr>
              <w:jc w:val="both"/>
            </w:pPr>
          </w:p>
        </w:tc>
      </w:tr>
      <w:tr w:rsidR="00476D7C" w:rsidRPr="00C328EF" w14:paraId="15E21F2D" w14:textId="77777777" w:rsidTr="00C01F83">
        <w:tc>
          <w:tcPr>
            <w:tcW w:w="8330" w:type="dxa"/>
          </w:tcPr>
          <w:p w14:paraId="780EE5A1" w14:textId="77777777" w:rsidR="00476D7C" w:rsidRPr="00820267" w:rsidRDefault="00476D7C" w:rsidP="00C01F83">
            <w:pPr>
              <w:jc w:val="both"/>
            </w:pPr>
            <w:r w:rsidRPr="00820267">
              <w:t xml:space="preserve">Consolidated and </w:t>
            </w:r>
            <w:r w:rsidR="00B77919">
              <w:t xml:space="preserve">Parent </w:t>
            </w:r>
            <w:r w:rsidRPr="00820267">
              <w:t>Company Statement of Financial Position</w:t>
            </w:r>
          </w:p>
        </w:tc>
        <w:tc>
          <w:tcPr>
            <w:tcW w:w="1830" w:type="dxa"/>
          </w:tcPr>
          <w:p w14:paraId="6E8C428D" w14:textId="77777777" w:rsidR="00476D7C" w:rsidRPr="00FC284E" w:rsidRDefault="00F8382F" w:rsidP="00C01F83">
            <w:pPr>
              <w:jc w:val="both"/>
            </w:pPr>
            <w:r w:rsidRPr="00FC284E">
              <w:t>3</w:t>
            </w:r>
            <w:r w:rsidR="00FD0B28" w:rsidRPr="00FC284E">
              <w:t>3</w:t>
            </w:r>
          </w:p>
        </w:tc>
      </w:tr>
      <w:tr w:rsidR="00476D7C" w:rsidRPr="00C328EF" w14:paraId="330A00C2" w14:textId="77777777" w:rsidTr="00C01F83">
        <w:tc>
          <w:tcPr>
            <w:tcW w:w="8330" w:type="dxa"/>
          </w:tcPr>
          <w:p w14:paraId="1ED2AFE1" w14:textId="77777777" w:rsidR="00476D7C" w:rsidRPr="00820267" w:rsidRDefault="00476D7C" w:rsidP="00C01F83">
            <w:pPr>
              <w:jc w:val="both"/>
            </w:pPr>
          </w:p>
        </w:tc>
        <w:tc>
          <w:tcPr>
            <w:tcW w:w="1830" w:type="dxa"/>
          </w:tcPr>
          <w:p w14:paraId="13B21CDD" w14:textId="77777777" w:rsidR="00476D7C" w:rsidRPr="00FC284E" w:rsidRDefault="00476D7C" w:rsidP="00C01F83">
            <w:pPr>
              <w:jc w:val="both"/>
            </w:pPr>
          </w:p>
        </w:tc>
      </w:tr>
      <w:tr w:rsidR="00476D7C" w:rsidRPr="00C328EF" w14:paraId="73451084" w14:textId="77777777" w:rsidTr="00C01F83">
        <w:tc>
          <w:tcPr>
            <w:tcW w:w="8330" w:type="dxa"/>
          </w:tcPr>
          <w:p w14:paraId="21CBEE57" w14:textId="77777777" w:rsidR="00476D7C" w:rsidRPr="00820267" w:rsidRDefault="00476D7C" w:rsidP="00C01F83">
            <w:pPr>
              <w:jc w:val="both"/>
            </w:pPr>
            <w:r w:rsidRPr="00820267">
              <w:t xml:space="preserve">Consolidated Statement of Changes in Equity </w:t>
            </w:r>
          </w:p>
        </w:tc>
        <w:tc>
          <w:tcPr>
            <w:tcW w:w="1830" w:type="dxa"/>
          </w:tcPr>
          <w:p w14:paraId="27834D9C" w14:textId="77777777" w:rsidR="00476D7C" w:rsidRPr="00FC284E" w:rsidRDefault="00F8382F" w:rsidP="00C01F83">
            <w:pPr>
              <w:jc w:val="both"/>
            </w:pPr>
            <w:r w:rsidRPr="00FC284E">
              <w:t>3</w:t>
            </w:r>
            <w:r w:rsidR="00FD0B28" w:rsidRPr="00FC284E">
              <w:t>4</w:t>
            </w:r>
          </w:p>
        </w:tc>
      </w:tr>
      <w:tr w:rsidR="00476D7C" w:rsidRPr="00C328EF" w14:paraId="3B8B2657" w14:textId="77777777" w:rsidTr="00C01F83">
        <w:tc>
          <w:tcPr>
            <w:tcW w:w="8330" w:type="dxa"/>
          </w:tcPr>
          <w:p w14:paraId="3B9796A8" w14:textId="77777777" w:rsidR="00476D7C" w:rsidRPr="00820267" w:rsidRDefault="00476D7C" w:rsidP="00C01F83">
            <w:pPr>
              <w:jc w:val="both"/>
            </w:pPr>
          </w:p>
        </w:tc>
        <w:tc>
          <w:tcPr>
            <w:tcW w:w="1830" w:type="dxa"/>
          </w:tcPr>
          <w:p w14:paraId="417B8ADD" w14:textId="77777777" w:rsidR="00476D7C" w:rsidRPr="00FC284E" w:rsidRDefault="00476D7C" w:rsidP="00C01F83">
            <w:pPr>
              <w:jc w:val="both"/>
            </w:pPr>
          </w:p>
        </w:tc>
      </w:tr>
      <w:tr w:rsidR="00013DEA" w:rsidRPr="00C328EF" w14:paraId="4E44CF47" w14:textId="77777777" w:rsidTr="00C01F83">
        <w:tc>
          <w:tcPr>
            <w:tcW w:w="8330" w:type="dxa"/>
          </w:tcPr>
          <w:p w14:paraId="644A9A37" w14:textId="77777777" w:rsidR="00013DEA" w:rsidRPr="00820267" w:rsidRDefault="00013DEA" w:rsidP="00C01F83">
            <w:pPr>
              <w:jc w:val="both"/>
            </w:pPr>
            <w:r>
              <w:t xml:space="preserve">Parent Company Statement of Changes in Equity </w:t>
            </w:r>
          </w:p>
        </w:tc>
        <w:tc>
          <w:tcPr>
            <w:tcW w:w="1830" w:type="dxa"/>
          </w:tcPr>
          <w:p w14:paraId="1D0B1C2E" w14:textId="77777777" w:rsidR="00013DEA" w:rsidRPr="00FC284E" w:rsidRDefault="00013DEA" w:rsidP="00C01F83">
            <w:pPr>
              <w:jc w:val="both"/>
            </w:pPr>
            <w:r w:rsidRPr="00FC284E">
              <w:t>3</w:t>
            </w:r>
            <w:r w:rsidR="00FD0B28" w:rsidRPr="00FC284E">
              <w:t>5</w:t>
            </w:r>
          </w:p>
        </w:tc>
      </w:tr>
      <w:tr w:rsidR="00013DEA" w:rsidRPr="00C328EF" w14:paraId="7278EE8B" w14:textId="77777777" w:rsidTr="00C01F83">
        <w:tc>
          <w:tcPr>
            <w:tcW w:w="8330" w:type="dxa"/>
          </w:tcPr>
          <w:p w14:paraId="40D0A3F8" w14:textId="77777777" w:rsidR="00013DEA" w:rsidRPr="00820267" w:rsidRDefault="00013DEA" w:rsidP="00C01F83">
            <w:pPr>
              <w:jc w:val="both"/>
            </w:pPr>
          </w:p>
        </w:tc>
        <w:tc>
          <w:tcPr>
            <w:tcW w:w="1830" w:type="dxa"/>
          </w:tcPr>
          <w:p w14:paraId="1F2F3E62" w14:textId="77777777" w:rsidR="00013DEA" w:rsidRPr="00FC284E" w:rsidRDefault="00013DEA" w:rsidP="00C01F83">
            <w:pPr>
              <w:jc w:val="both"/>
            </w:pPr>
          </w:p>
        </w:tc>
      </w:tr>
      <w:tr w:rsidR="00476D7C" w:rsidRPr="00C328EF" w14:paraId="04E327AB" w14:textId="77777777" w:rsidTr="00C01F83">
        <w:tc>
          <w:tcPr>
            <w:tcW w:w="8330" w:type="dxa"/>
          </w:tcPr>
          <w:p w14:paraId="24644C80" w14:textId="77777777" w:rsidR="00476D7C" w:rsidRPr="00820267" w:rsidRDefault="00476D7C" w:rsidP="00C01F83">
            <w:pPr>
              <w:jc w:val="both"/>
            </w:pPr>
            <w:r w:rsidRPr="00820267">
              <w:t xml:space="preserve">Consolidated </w:t>
            </w:r>
            <w:r w:rsidR="00413346" w:rsidRPr="00820267">
              <w:t xml:space="preserve">and </w:t>
            </w:r>
            <w:r w:rsidR="00B77919">
              <w:t xml:space="preserve">Parent </w:t>
            </w:r>
            <w:r w:rsidR="00413346" w:rsidRPr="00820267">
              <w:t xml:space="preserve">Company </w:t>
            </w:r>
            <w:r w:rsidRPr="00820267">
              <w:t>Statement of Cash Flows</w:t>
            </w:r>
          </w:p>
        </w:tc>
        <w:tc>
          <w:tcPr>
            <w:tcW w:w="1830" w:type="dxa"/>
          </w:tcPr>
          <w:p w14:paraId="36D783AC" w14:textId="77777777" w:rsidR="00476D7C" w:rsidRPr="00FC284E" w:rsidRDefault="005627BD" w:rsidP="00C01F83">
            <w:pPr>
              <w:jc w:val="both"/>
            </w:pPr>
            <w:r w:rsidRPr="00FC284E">
              <w:t>3</w:t>
            </w:r>
            <w:r w:rsidR="00FD0B28" w:rsidRPr="00FC284E">
              <w:t>6</w:t>
            </w:r>
          </w:p>
        </w:tc>
      </w:tr>
      <w:tr w:rsidR="00476D7C" w:rsidRPr="00C328EF" w14:paraId="3DF1ADD8" w14:textId="77777777" w:rsidTr="00C01F83">
        <w:tc>
          <w:tcPr>
            <w:tcW w:w="8330" w:type="dxa"/>
          </w:tcPr>
          <w:p w14:paraId="197577DB" w14:textId="77777777" w:rsidR="00476D7C" w:rsidRPr="00820267" w:rsidRDefault="00476D7C" w:rsidP="00C01F83">
            <w:pPr>
              <w:jc w:val="both"/>
            </w:pPr>
          </w:p>
        </w:tc>
        <w:tc>
          <w:tcPr>
            <w:tcW w:w="1830" w:type="dxa"/>
          </w:tcPr>
          <w:p w14:paraId="4A83D0E5" w14:textId="77777777" w:rsidR="00476D7C" w:rsidRPr="00FC284E" w:rsidRDefault="00476D7C" w:rsidP="00C01F83">
            <w:pPr>
              <w:jc w:val="both"/>
            </w:pPr>
          </w:p>
        </w:tc>
      </w:tr>
      <w:tr w:rsidR="00476D7C" w:rsidRPr="00C328EF" w14:paraId="2924FF25" w14:textId="77777777" w:rsidTr="00C01F83">
        <w:tc>
          <w:tcPr>
            <w:tcW w:w="8330" w:type="dxa"/>
          </w:tcPr>
          <w:p w14:paraId="7BA70A56" w14:textId="77777777" w:rsidR="00476D7C" w:rsidRPr="00820267" w:rsidRDefault="00476D7C" w:rsidP="00C01F83">
            <w:pPr>
              <w:jc w:val="both"/>
            </w:pPr>
            <w:r w:rsidRPr="00820267">
              <w:t>Notes to the Financial Statements</w:t>
            </w:r>
          </w:p>
        </w:tc>
        <w:tc>
          <w:tcPr>
            <w:tcW w:w="1830" w:type="dxa"/>
          </w:tcPr>
          <w:p w14:paraId="52448166" w14:textId="77777777" w:rsidR="00476D7C" w:rsidRPr="00FC284E" w:rsidRDefault="00583A5D" w:rsidP="00C01F83">
            <w:pPr>
              <w:jc w:val="both"/>
            </w:pPr>
            <w:r w:rsidRPr="00FC284E">
              <w:t>3</w:t>
            </w:r>
            <w:r w:rsidR="00FD0B28" w:rsidRPr="00FC284E">
              <w:t>7</w:t>
            </w:r>
            <w:r w:rsidR="00476D7C" w:rsidRPr="00FC284E">
              <w:t xml:space="preserve"> – </w:t>
            </w:r>
            <w:r w:rsidR="008D25F6" w:rsidRPr="00FC284E">
              <w:t>7</w:t>
            </w:r>
            <w:r w:rsidR="00FD0B28" w:rsidRPr="00FC284E">
              <w:t>2</w:t>
            </w:r>
          </w:p>
        </w:tc>
      </w:tr>
      <w:tr w:rsidR="00476D7C" w:rsidRPr="00C328EF" w14:paraId="1095010C" w14:textId="77777777" w:rsidTr="00C01F83">
        <w:tc>
          <w:tcPr>
            <w:tcW w:w="8330" w:type="dxa"/>
          </w:tcPr>
          <w:p w14:paraId="0B5D0729" w14:textId="77777777" w:rsidR="00476D7C" w:rsidRPr="00820267" w:rsidRDefault="00476D7C" w:rsidP="00C01F83">
            <w:pPr>
              <w:jc w:val="both"/>
            </w:pPr>
          </w:p>
        </w:tc>
        <w:tc>
          <w:tcPr>
            <w:tcW w:w="1830" w:type="dxa"/>
          </w:tcPr>
          <w:p w14:paraId="0AE865C6" w14:textId="77777777" w:rsidR="00476D7C" w:rsidRPr="00C328EF" w:rsidRDefault="00476D7C" w:rsidP="00C01F83">
            <w:pPr>
              <w:jc w:val="both"/>
              <w:rPr>
                <w:highlight w:val="yellow"/>
              </w:rPr>
            </w:pPr>
          </w:p>
        </w:tc>
      </w:tr>
    </w:tbl>
    <w:p w14:paraId="3F55F1F7" w14:textId="77777777" w:rsidR="00476D7C" w:rsidRPr="00C328EF" w:rsidRDefault="00476D7C" w:rsidP="00476D7C">
      <w:pPr>
        <w:rPr>
          <w:highlight w:val="yellow"/>
        </w:rPr>
        <w:sectPr w:rsidR="00476D7C" w:rsidRPr="00C328EF" w:rsidSect="00AD1041">
          <w:headerReference w:type="even" r:id="rId11"/>
          <w:headerReference w:type="default" r:id="rId12"/>
          <w:footerReference w:type="default" r:id="rId13"/>
          <w:headerReference w:type="first" r:id="rId14"/>
          <w:endnotePr>
            <w:numFmt w:val="decimal"/>
          </w:endnotePr>
          <w:pgSz w:w="11906" w:h="16838"/>
          <w:pgMar w:top="1080" w:right="957" w:bottom="316" w:left="957" w:header="1080" w:footer="316" w:gutter="0"/>
          <w:pgNumType w:start="1"/>
          <w:cols w:space="720"/>
          <w:noEndnote/>
          <w:docGrid w:linePitch="243"/>
        </w:sectPr>
      </w:pPr>
    </w:p>
    <w:p w14:paraId="5F306AF1" w14:textId="77777777" w:rsidR="00476D7C" w:rsidRPr="00C328EF" w:rsidRDefault="00476D7C" w:rsidP="00476D7C">
      <w:pPr>
        <w:suppressAutoHyphens/>
        <w:jc w:val="both"/>
        <w:rPr>
          <w:rFonts w:cs="Arial"/>
          <w:spacing w:val="-2"/>
          <w:highlight w:val="yellow"/>
        </w:rPr>
        <w:sectPr w:rsidR="00476D7C" w:rsidRPr="00C328EF" w:rsidSect="00AD1041">
          <w:headerReference w:type="even" r:id="rId15"/>
          <w:headerReference w:type="default" r:id="rId16"/>
          <w:footerReference w:type="default" r:id="rId17"/>
          <w:headerReference w:type="first" r:id="rId18"/>
          <w:endnotePr>
            <w:numFmt w:val="decimal"/>
          </w:endnotePr>
          <w:type w:val="continuous"/>
          <w:pgSz w:w="11906" w:h="16838" w:code="9"/>
          <w:pgMar w:top="1077" w:right="958" w:bottom="318" w:left="958" w:header="1077" w:footer="318" w:gutter="0"/>
          <w:pgNumType w:start="1"/>
          <w:cols w:space="720"/>
          <w:noEndnote/>
          <w:docGrid w:linePitch="243"/>
        </w:sectPr>
      </w:pPr>
    </w:p>
    <w:p w14:paraId="5F839410" w14:textId="77777777" w:rsidR="00476D7C" w:rsidRPr="00820267" w:rsidRDefault="00476D7C" w:rsidP="00476D7C">
      <w:pPr>
        <w:jc w:val="center"/>
        <w:rPr>
          <w:b/>
        </w:rPr>
      </w:pPr>
      <w:r w:rsidRPr="00820267">
        <w:rPr>
          <w:b/>
        </w:rPr>
        <w:lastRenderedPageBreak/>
        <w:t>TRANSPORT FOR EDINBURGH LIMITED</w:t>
      </w:r>
    </w:p>
    <w:p w14:paraId="55D414F5" w14:textId="77777777" w:rsidR="00476D7C" w:rsidRPr="00820267" w:rsidRDefault="00476D7C" w:rsidP="00476D7C">
      <w:pPr>
        <w:jc w:val="center"/>
        <w:rPr>
          <w:b/>
        </w:rPr>
      </w:pPr>
    </w:p>
    <w:p w14:paraId="4434F177" w14:textId="77777777" w:rsidR="00476D7C" w:rsidRPr="00820267" w:rsidRDefault="00476D7C" w:rsidP="00476D7C">
      <w:pPr>
        <w:jc w:val="center"/>
        <w:rPr>
          <w:b/>
        </w:rPr>
      </w:pPr>
      <w:r w:rsidRPr="00820267">
        <w:rPr>
          <w:b/>
        </w:rPr>
        <w:t>Company Information</w:t>
      </w:r>
    </w:p>
    <w:p w14:paraId="3E2042BD" w14:textId="77777777" w:rsidR="00476D7C" w:rsidRPr="00820267" w:rsidRDefault="00476D7C" w:rsidP="00476D7C">
      <w:pPr>
        <w:rPr>
          <w:b/>
        </w:rPr>
      </w:pPr>
    </w:p>
    <w:p w14:paraId="76AD24B3" w14:textId="77777777" w:rsidR="00476D7C" w:rsidRPr="00820267" w:rsidRDefault="00476D7C" w:rsidP="00476D7C">
      <w:pPr>
        <w:jc w:val="center"/>
        <w:rPr>
          <w:b/>
        </w:rPr>
      </w:pPr>
    </w:p>
    <w:tbl>
      <w:tblPr>
        <w:tblW w:w="0" w:type="auto"/>
        <w:tblLook w:val="01E0" w:firstRow="1" w:lastRow="1" w:firstColumn="1" w:lastColumn="1" w:noHBand="0" w:noVBand="0"/>
      </w:tblPr>
      <w:tblGrid>
        <w:gridCol w:w="2937"/>
        <w:gridCol w:w="386"/>
        <w:gridCol w:w="1738"/>
        <w:gridCol w:w="424"/>
        <w:gridCol w:w="707"/>
        <w:gridCol w:w="2685"/>
        <w:gridCol w:w="1067"/>
      </w:tblGrid>
      <w:tr w:rsidR="00B77919" w:rsidRPr="00C328EF" w14:paraId="7BA9BFFE" w14:textId="77777777" w:rsidTr="00C01F83">
        <w:trPr>
          <w:trHeight w:val="210"/>
        </w:trPr>
        <w:tc>
          <w:tcPr>
            <w:tcW w:w="2943" w:type="dxa"/>
          </w:tcPr>
          <w:p w14:paraId="6B65D146" w14:textId="77777777" w:rsidR="00B77919" w:rsidRPr="00C913A6" w:rsidRDefault="00B77919" w:rsidP="00B77919">
            <w:pPr>
              <w:rPr>
                <w:b/>
              </w:rPr>
            </w:pPr>
            <w:r w:rsidRPr="00C913A6">
              <w:rPr>
                <w:b/>
              </w:rPr>
              <w:t>Board of Directors:</w:t>
            </w:r>
          </w:p>
        </w:tc>
        <w:tc>
          <w:tcPr>
            <w:tcW w:w="5954" w:type="dxa"/>
            <w:gridSpan w:val="5"/>
          </w:tcPr>
          <w:p w14:paraId="2384D3F0" w14:textId="77777777" w:rsidR="003A54C9" w:rsidRPr="00FC284E" w:rsidRDefault="00492F92" w:rsidP="00B77919">
            <w:pPr>
              <w:jc w:val="both"/>
            </w:pPr>
            <w:r w:rsidRPr="00FC284E">
              <w:t>Gareth</w:t>
            </w:r>
            <w:r w:rsidR="003A54C9" w:rsidRPr="00FC284E">
              <w:t xml:space="preserve"> Barwell (appointed 1 August 2025)</w:t>
            </w:r>
          </w:p>
          <w:p w14:paraId="44EC8371" w14:textId="14CA0E2B" w:rsidR="003A54C9" w:rsidRPr="00FC284E" w:rsidRDefault="003A54C9" w:rsidP="00B77919">
            <w:pPr>
              <w:jc w:val="both"/>
            </w:pPr>
            <w:r w:rsidRPr="00FC284E">
              <w:t>Richard Lloyd-Bithell (appointed 1 August 2025)</w:t>
            </w:r>
          </w:p>
          <w:p w14:paraId="17B8764F" w14:textId="77777777" w:rsidR="003A54C9" w:rsidRPr="00FC284E" w:rsidRDefault="003A54C9" w:rsidP="00B77919">
            <w:pPr>
              <w:jc w:val="both"/>
            </w:pPr>
          </w:p>
          <w:p w14:paraId="2583F261" w14:textId="5968D121" w:rsidR="00882C06" w:rsidRPr="00FC284E" w:rsidRDefault="00882C06" w:rsidP="00882C06">
            <w:pPr>
              <w:jc w:val="both"/>
            </w:pPr>
            <w:r w:rsidRPr="00FC284E">
              <w:t>Jule Bandel (resigned 1 August 2025)</w:t>
            </w:r>
          </w:p>
          <w:p w14:paraId="1F742C1A" w14:textId="47321CB1" w:rsidR="003A54C9" w:rsidRPr="00FC284E" w:rsidRDefault="00882C06" w:rsidP="00B77919">
            <w:pPr>
              <w:jc w:val="both"/>
            </w:pPr>
            <w:r w:rsidRPr="00FC284E">
              <w:t>Alan Beal (resigned 1 August 2025)</w:t>
            </w:r>
          </w:p>
          <w:p w14:paraId="3865B31B" w14:textId="003FFB37" w:rsidR="00882C06" w:rsidRDefault="00882C06" w:rsidP="00882C06">
            <w:pPr>
              <w:jc w:val="both"/>
            </w:pPr>
            <w:r w:rsidRPr="00FC284E">
              <w:t>George Hazel</w:t>
            </w:r>
            <w:r>
              <w:t xml:space="preserve"> </w:t>
            </w:r>
            <w:r w:rsidRPr="00ED1441">
              <w:t>(resigned 1 August 2025)</w:t>
            </w:r>
          </w:p>
          <w:p w14:paraId="0A49D916" w14:textId="68C9A686" w:rsidR="009C0459" w:rsidRPr="00A05D27" w:rsidRDefault="009C0459" w:rsidP="009C0459">
            <w:pPr>
              <w:jc w:val="both"/>
            </w:pPr>
            <w:r w:rsidRPr="00A05D27">
              <w:t>Lesley Macinnes</w:t>
            </w:r>
            <w:r>
              <w:t xml:space="preserve"> </w:t>
            </w:r>
            <w:r w:rsidRPr="00ED1441">
              <w:t>(resigned 1 August 2025)</w:t>
            </w:r>
          </w:p>
          <w:p w14:paraId="0FC8F4A9" w14:textId="23109CC7" w:rsidR="000D098E" w:rsidRDefault="000D098E" w:rsidP="00882C06">
            <w:pPr>
              <w:jc w:val="both"/>
            </w:pPr>
            <w:r w:rsidRPr="004752C4">
              <w:t>Andrew Neal</w:t>
            </w:r>
            <w:r>
              <w:t xml:space="preserve"> </w:t>
            </w:r>
            <w:r w:rsidRPr="00ED1441">
              <w:t>(resigned 1 August 2025)</w:t>
            </w:r>
          </w:p>
          <w:p w14:paraId="3393BB9B" w14:textId="0BFED636" w:rsidR="00211D53" w:rsidRDefault="009C0459" w:rsidP="00882C06">
            <w:pPr>
              <w:jc w:val="both"/>
            </w:pPr>
            <w:r w:rsidRPr="005E4F0B">
              <w:t>James McFarlane (resigned 11 November 2024)</w:t>
            </w:r>
          </w:p>
          <w:p w14:paraId="27F9DA3C" w14:textId="112A9A3A" w:rsidR="000D098E" w:rsidRPr="00FC284E" w:rsidRDefault="009C0459" w:rsidP="00882C06">
            <w:pPr>
              <w:jc w:val="both"/>
            </w:pPr>
            <w:r w:rsidRPr="00167066">
              <w:t>George Lowder (resigned 31 August 2024)</w:t>
            </w:r>
          </w:p>
          <w:p w14:paraId="3C1A5A26" w14:textId="03510353" w:rsidR="00B77919" w:rsidRPr="00FC284E" w:rsidRDefault="00B77919" w:rsidP="00B77919">
            <w:pPr>
              <w:jc w:val="both"/>
            </w:pPr>
            <w:r w:rsidRPr="00FC284E">
              <w:t>Scott Arthur  (resigned 28 August 2024)</w:t>
            </w:r>
          </w:p>
        </w:tc>
        <w:tc>
          <w:tcPr>
            <w:tcW w:w="1070" w:type="dxa"/>
          </w:tcPr>
          <w:p w14:paraId="5A01370C" w14:textId="77777777" w:rsidR="00B77919" w:rsidRPr="00C328EF" w:rsidRDefault="00B77919" w:rsidP="00B77919">
            <w:pPr>
              <w:jc w:val="both"/>
              <w:rPr>
                <w:highlight w:val="yellow"/>
              </w:rPr>
            </w:pPr>
          </w:p>
        </w:tc>
      </w:tr>
      <w:tr w:rsidR="00B77919" w:rsidRPr="00C328EF" w14:paraId="2EEB5FF9" w14:textId="77777777" w:rsidTr="00C01F83">
        <w:trPr>
          <w:trHeight w:val="210"/>
        </w:trPr>
        <w:tc>
          <w:tcPr>
            <w:tcW w:w="2943" w:type="dxa"/>
          </w:tcPr>
          <w:p w14:paraId="3A375E0C" w14:textId="77777777" w:rsidR="00B77919" w:rsidRPr="00C328EF" w:rsidRDefault="00B77919" w:rsidP="00B77919">
            <w:pPr>
              <w:rPr>
                <w:b/>
                <w:highlight w:val="yellow"/>
              </w:rPr>
            </w:pPr>
          </w:p>
        </w:tc>
        <w:tc>
          <w:tcPr>
            <w:tcW w:w="5954" w:type="dxa"/>
            <w:gridSpan w:val="5"/>
          </w:tcPr>
          <w:p w14:paraId="52FDDCCE" w14:textId="621F5A40" w:rsidR="00B77919" w:rsidRPr="00FC284E" w:rsidRDefault="00B77919" w:rsidP="00B77919">
            <w:pPr>
              <w:jc w:val="both"/>
            </w:pPr>
          </w:p>
        </w:tc>
        <w:tc>
          <w:tcPr>
            <w:tcW w:w="1070" w:type="dxa"/>
          </w:tcPr>
          <w:p w14:paraId="700C9CE1" w14:textId="77777777" w:rsidR="00B77919" w:rsidRPr="00C328EF" w:rsidRDefault="00B77919" w:rsidP="00B77919">
            <w:pPr>
              <w:jc w:val="both"/>
              <w:rPr>
                <w:highlight w:val="yellow"/>
              </w:rPr>
            </w:pPr>
          </w:p>
        </w:tc>
      </w:tr>
      <w:tr w:rsidR="00B77919" w:rsidRPr="00C328EF" w14:paraId="59904BD1" w14:textId="77777777" w:rsidTr="00C01F83">
        <w:trPr>
          <w:trHeight w:val="210"/>
        </w:trPr>
        <w:tc>
          <w:tcPr>
            <w:tcW w:w="2943" w:type="dxa"/>
          </w:tcPr>
          <w:p w14:paraId="16CD8D3B" w14:textId="77777777" w:rsidR="00B77919" w:rsidRPr="00C913A6" w:rsidRDefault="00B77919" w:rsidP="00B77919">
            <w:pPr>
              <w:rPr>
                <w:b/>
              </w:rPr>
            </w:pPr>
          </w:p>
        </w:tc>
        <w:tc>
          <w:tcPr>
            <w:tcW w:w="5954" w:type="dxa"/>
            <w:gridSpan w:val="5"/>
          </w:tcPr>
          <w:p w14:paraId="003DB059" w14:textId="2C4183F1" w:rsidR="00B77919" w:rsidRPr="00FC284E" w:rsidRDefault="00B77919" w:rsidP="00B77919">
            <w:pPr>
              <w:jc w:val="both"/>
            </w:pPr>
          </w:p>
        </w:tc>
        <w:tc>
          <w:tcPr>
            <w:tcW w:w="1070" w:type="dxa"/>
          </w:tcPr>
          <w:p w14:paraId="59A2E74D" w14:textId="77777777" w:rsidR="00B77919" w:rsidRPr="00C328EF" w:rsidRDefault="00B77919" w:rsidP="00B77919">
            <w:pPr>
              <w:jc w:val="both"/>
              <w:rPr>
                <w:highlight w:val="yellow"/>
              </w:rPr>
            </w:pPr>
          </w:p>
        </w:tc>
      </w:tr>
      <w:tr w:rsidR="00B77919" w:rsidRPr="00C328EF" w14:paraId="4BDCBE28" w14:textId="77777777" w:rsidTr="00C01F83">
        <w:trPr>
          <w:trHeight w:val="210"/>
        </w:trPr>
        <w:tc>
          <w:tcPr>
            <w:tcW w:w="2943" w:type="dxa"/>
          </w:tcPr>
          <w:p w14:paraId="0FB966CC" w14:textId="77777777" w:rsidR="00B77919" w:rsidRPr="00C913A6" w:rsidRDefault="00B77919" w:rsidP="00B77919">
            <w:pPr>
              <w:rPr>
                <w:b/>
              </w:rPr>
            </w:pPr>
          </w:p>
        </w:tc>
        <w:tc>
          <w:tcPr>
            <w:tcW w:w="5954" w:type="dxa"/>
            <w:gridSpan w:val="5"/>
          </w:tcPr>
          <w:p w14:paraId="39E4288F" w14:textId="56B20E5E" w:rsidR="00B77919" w:rsidRPr="00FC284E" w:rsidRDefault="00B77919" w:rsidP="00B77919">
            <w:pPr>
              <w:jc w:val="both"/>
            </w:pPr>
          </w:p>
        </w:tc>
        <w:tc>
          <w:tcPr>
            <w:tcW w:w="1070" w:type="dxa"/>
          </w:tcPr>
          <w:p w14:paraId="00F4D6B0" w14:textId="77777777" w:rsidR="00B77919" w:rsidRPr="00C328EF" w:rsidRDefault="00B77919" w:rsidP="00B77919">
            <w:pPr>
              <w:jc w:val="both"/>
              <w:rPr>
                <w:highlight w:val="yellow"/>
              </w:rPr>
            </w:pPr>
          </w:p>
        </w:tc>
      </w:tr>
      <w:tr w:rsidR="00B77919" w:rsidRPr="00C328EF" w14:paraId="7ABCDF8B" w14:textId="77777777" w:rsidTr="00C01F83">
        <w:trPr>
          <w:trHeight w:val="210"/>
        </w:trPr>
        <w:tc>
          <w:tcPr>
            <w:tcW w:w="2943" w:type="dxa"/>
          </w:tcPr>
          <w:p w14:paraId="6E77E26A" w14:textId="77777777" w:rsidR="00B77919" w:rsidRPr="00C328EF" w:rsidRDefault="00B77919" w:rsidP="00B77919">
            <w:pPr>
              <w:rPr>
                <w:b/>
                <w:highlight w:val="yellow"/>
              </w:rPr>
            </w:pPr>
          </w:p>
        </w:tc>
        <w:tc>
          <w:tcPr>
            <w:tcW w:w="5954" w:type="dxa"/>
            <w:gridSpan w:val="5"/>
          </w:tcPr>
          <w:p w14:paraId="0835F8AB" w14:textId="5B56B4F1" w:rsidR="00B77919" w:rsidRPr="00FC284E" w:rsidRDefault="00B77919" w:rsidP="00B77919">
            <w:pPr>
              <w:jc w:val="both"/>
            </w:pPr>
          </w:p>
        </w:tc>
        <w:tc>
          <w:tcPr>
            <w:tcW w:w="1070" w:type="dxa"/>
          </w:tcPr>
          <w:p w14:paraId="19916ADA" w14:textId="77777777" w:rsidR="00B77919" w:rsidRPr="00C328EF" w:rsidRDefault="00B77919" w:rsidP="00B77919">
            <w:pPr>
              <w:jc w:val="both"/>
              <w:rPr>
                <w:highlight w:val="yellow"/>
              </w:rPr>
            </w:pPr>
          </w:p>
        </w:tc>
      </w:tr>
      <w:tr w:rsidR="00B77919" w:rsidRPr="00C328EF" w14:paraId="6946BA79" w14:textId="77777777" w:rsidTr="00C01F83">
        <w:trPr>
          <w:trHeight w:val="210"/>
        </w:trPr>
        <w:tc>
          <w:tcPr>
            <w:tcW w:w="2943" w:type="dxa"/>
          </w:tcPr>
          <w:p w14:paraId="3AD8DA19" w14:textId="77777777" w:rsidR="00B77919" w:rsidRPr="00C328EF" w:rsidRDefault="00B77919" w:rsidP="00B77919">
            <w:pPr>
              <w:rPr>
                <w:b/>
                <w:highlight w:val="yellow"/>
              </w:rPr>
            </w:pPr>
          </w:p>
        </w:tc>
        <w:tc>
          <w:tcPr>
            <w:tcW w:w="2552" w:type="dxa"/>
            <w:gridSpan w:val="3"/>
          </w:tcPr>
          <w:p w14:paraId="2C33BBA3" w14:textId="77777777" w:rsidR="00B77919" w:rsidRPr="00C328EF" w:rsidRDefault="00B77919" w:rsidP="00B77919">
            <w:pPr>
              <w:jc w:val="both"/>
              <w:rPr>
                <w:highlight w:val="yellow"/>
              </w:rPr>
            </w:pPr>
          </w:p>
        </w:tc>
        <w:tc>
          <w:tcPr>
            <w:tcW w:w="4472" w:type="dxa"/>
            <w:gridSpan w:val="3"/>
          </w:tcPr>
          <w:p w14:paraId="57B22BCA" w14:textId="77777777" w:rsidR="00B77919" w:rsidRPr="00C328EF" w:rsidRDefault="00B77919" w:rsidP="00B77919">
            <w:pPr>
              <w:jc w:val="both"/>
              <w:rPr>
                <w:highlight w:val="yellow"/>
              </w:rPr>
            </w:pPr>
          </w:p>
        </w:tc>
      </w:tr>
      <w:tr w:rsidR="00B77919" w:rsidRPr="00C328EF" w14:paraId="79D479C8" w14:textId="77777777" w:rsidTr="00C01F83">
        <w:trPr>
          <w:trHeight w:val="210"/>
        </w:trPr>
        <w:tc>
          <w:tcPr>
            <w:tcW w:w="2943" w:type="dxa"/>
          </w:tcPr>
          <w:p w14:paraId="596CA8D8" w14:textId="77777777" w:rsidR="00B77919" w:rsidRPr="00820267" w:rsidRDefault="00B77919" w:rsidP="00B77919">
            <w:pPr>
              <w:rPr>
                <w:b/>
              </w:rPr>
            </w:pPr>
          </w:p>
        </w:tc>
        <w:tc>
          <w:tcPr>
            <w:tcW w:w="2127" w:type="dxa"/>
            <w:gridSpan w:val="2"/>
          </w:tcPr>
          <w:p w14:paraId="38964E18" w14:textId="77777777" w:rsidR="00B77919" w:rsidRPr="00820267" w:rsidRDefault="00B77919" w:rsidP="00B77919">
            <w:pPr>
              <w:jc w:val="both"/>
            </w:pPr>
          </w:p>
        </w:tc>
        <w:tc>
          <w:tcPr>
            <w:tcW w:w="4897" w:type="dxa"/>
            <w:gridSpan w:val="4"/>
          </w:tcPr>
          <w:p w14:paraId="793ED092" w14:textId="77777777" w:rsidR="00B77919" w:rsidRPr="00820267" w:rsidRDefault="00B77919" w:rsidP="00B77919">
            <w:pPr>
              <w:jc w:val="both"/>
            </w:pPr>
          </w:p>
        </w:tc>
      </w:tr>
      <w:tr w:rsidR="00B77919" w:rsidRPr="00C328EF" w14:paraId="0C47567A" w14:textId="77777777" w:rsidTr="00C01F83">
        <w:trPr>
          <w:trHeight w:val="210"/>
        </w:trPr>
        <w:tc>
          <w:tcPr>
            <w:tcW w:w="2943" w:type="dxa"/>
          </w:tcPr>
          <w:p w14:paraId="6750DA86" w14:textId="77777777" w:rsidR="00B77919" w:rsidRPr="00820267" w:rsidRDefault="00B77919" w:rsidP="00B77919">
            <w:pPr>
              <w:rPr>
                <w:b/>
              </w:rPr>
            </w:pPr>
            <w:r w:rsidRPr="00820267">
              <w:rPr>
                <w:b/>
              </w:rPr>
              <w:t>Company Registration:</w:t>
            </w:r>
          </w:p>
        </w:tc>
        <w:tc>
          <w:tcPr>
            <w:tcW w:w="2127" w:type="dxa"/>
            <w:gridSpan w:val="2"/>
          </w:tcPr>
          <w:p w14:paraId="23DC4409" w14:textId="77777777" w:rsidR="00B77919" w:rsidRPr="00820267" w:rsidRDefault="00B77919" w:rsidP="00B77919">
            <w:pPr>
              <w:jc w:val="both"/>
            </w:pPr>
            <w:r w:rsidRPr="00820267">
              <w:t>Registered Office</w:t>
            </w:r>
          </w:p>
        </w:tc>
        <w:tc>
          <w:tcPr>
            <w:tcW w:w="4897" w:type="dxa"/>
            <w:gridSpan w:val="4"/>
          </w:tcPr>
          <w:p w14:paraId="542AE2B0" w14:textId="77777777" w:rsidR="00B77919" w:rsidRPr="00820267" w:rsidRDefault="00B77919" w:rsidP="00B77919">
            <w:pPr>
              <w:jc w:val="both"/>
            </w:pPr>
            <w:r w:rsidRPr="00820267">
              <w:t>55 Annandale Street</w:t>
            </w:r>
          </w:p>
        </w:tc>
      </w:tr>
      <w:tr w:rsidR="00B77919" w:rsidRPr="00C328EF" w14:paraId="4C430E72" w14:textId="77777777" w:rsidTr="00C01F83">
        <w:trPr>
          <w:trHeight w:val="210"/>
        </w:trPr>
        <w:tc>
          <w:tcPr>
            <w:tcW w:w="2943" w:type="dxa"/>
          </w:tcPr>
          <w:p w14:paraId="27CD4650" w14:textId="77777777" w:rsidR="00B77919" w:rsidRPr="00820267" w:rsidRDefault="00B77919" w:rsidP="00B77919">
            <w:pPr>
              <w:rPr>
                <w:b/>
              </w:rPr>
            </w:pPr>
          </w:p>
        </w:tc>
        <w:tc>
          <w:tcPr>
            <w:tcW w:w="2127" w:type="dxa"/>
            <w:gridSpan w:val="2"/>
          </w:tcPr>
          <w:p w14:paraId="090F2330" w14:textId="77777777" w:rsidR="00B77919" w:rsidRPr="00820267" w:rsidRDefault="00B77919" w:rsidP="00B77919">
            <w:pPr>
              <w:jc w:val="both"/>
            </w:pPr>
          </w:p>
        </w:tc>
        <w:tc>
          <w:tcPr>
            <w:tcW w:w="4897" w:type="dxa"/>
            <w:gridSpan w:val="4"/>
          </w:tcPr>
          <w:p w14:paraId="24C59DCA" w14:textId="77777777" w:rsidR="00B77919" w:rsidRPr="00820267" w:rsidRDefault="00B77919" w:rsidP="00B77919">
            <w:pPr>
              <w:jc w:val="both"/>
            </w:pPr>
            <w:r w:rsidRPr="00820267">
              <w:t>Edinburgh</w:t>
            </w:r>
          </w:p>
        </w:tc>
      </w:tr>
      <w:tr w:rsidR="00B77919" w:rsidRPr="00C328EF" w14:paraId="7BD5AD4C" w14:textId="77777777" w:rsidTr="00C01F83">
        <w:trPr>
          <w:trHeight w:val="210"/>
        </w:trPr>
        <w:tc>
          <w:tcPr>
            <w:tcW w:w="2943" w:type="dxa"/>
          </w:tcPr>
          <w:p w14:paraId="438E10DE" w14:textId="77777777" w:rsidR="00B77919" w:rsidRPr="00820267" w:rsidRDefault="00B77919" w:rsidP="00B77919">
            <w:pPr>
              <w:rPr>
                <w:b/>
              </w:rPr>
            </w:pPr>
          </w:p>
        </w:tc>
        <w:tc>
          <w:tcPr>
            <w:tcW w:w="2127" w:type="dxa"/>
            <w:gridSpan w:val="2"/>
          </w:tcPr>
          <w:p w14:paraId="3C29EC3D" w14:textId="77777777" w:rsidR="00B77919" w:rsidRPr="00820267" w:rsidRDefault="00B77919" w:rsidP="00B77919">
            <w:pPr>
              <w:jc w:val="both"/>
            </w:pPr>
          </w:p>
        </w:tc>
        <w:tc>
          <w:tcPr>
            <w:tcW w:w="4897" w:type="dxa"/>
            <w:gridSpan w:val="4"/>
          </w:tcPr>
          <w:p w14:paraId="2F58C6F7" w14:textId="77777777" w:rsidR="00B77919" w:rsidRPr="00820267" w:rsidRDefault="00B77919" w:rsidP="00B77919">
            <w:pPr>
              <w:jc w:val="both"/>
            </w:pPr>
            <w:r w:rsidRPr="00820267">
              <w:t>EH7 4AZ</w:t>
            </w:r>
          </w:p>
        </w:tc>
      </w:tr>
      <w:tr w:rsidR="00B77919" w:rsidRPr="00C328EF" w14:paraId="10C0319A" w14:textId="77777777" w:rsidTr="00C01F83">
        <w:trPr>
          <w:trHeight w:val="210"/>
        </w:trPr>
        <w:tc>
          <w:tcPr>
            <w:tcW w:w="2943" w:type="dxa"/>
          </w:tcPr>
          <w:p w14:paraId="4F6625F5" w14:textId="77777777" w:rsidR="00B77919" w:rsidRPr="00820267" w:rsidRDefault="00B77919" w:rsidP="00B77919">
            <w:pPr>
              <w:rPr>
                <w:b/>
              </w:rPr>
            </w:pPr>
          </w:p>
        </w:tc>
        <w:tc>
          <w:tcPr>
            <w:tcW w:w="2127" w:type="dxa"/>
            <w:gridSpan w:val="2"/>
          </w:tcPr>
          <w:p w14:paraId="1CCB10D5" w14:textId="77777777" w:rsidR="00B77919" w:rsidRPr="00820267" w:rsidRDefault="00B77919" w:rsidP="00B77919">
            <w:pPr>
              <w:jc w:val="both"/>
            </w:pPr>
          </w:p>
        </w:tc>
        <w:tc>
          <w:tcPr>
            <w:tcW w:w="4897" w:type="dxa"/>
            <w:gridSpan w:val="4"/>
          </w:tcPr>
          <w:p w14:paraId="35517347" w14:textId="77777777" w:rsidR="00B77919" w:rsidRPr="00820267" w:rsidRDefault="00B77919" w:rsidP="00B77919">
            <w:pPr>
              <w:jc w:val="both"/>
            </w:pPr>
          </w:p>
        </w:tc>
      </w:tr>
      <w:tr w:rsidR="00B77919" w:rsidRPr="00C328EF" w14:paraId="2A93D53B" w14:textId="77777777" w:rsidTr="00C01F83">
        <w:trPr>
          <w:trHeight w:val="210"/>
        </w:trPr>
        <w:tc>
          <w:tcPr>
            <w:tcW w:w="2943" w:type="dxa"/>
          </w:tcPr>
          <w:p w14:paraId="383BAD5F" w14:textId="77777777" w:rsidR="00B77919" w:rsidRPr="00820267" w:rsidRDefault="00B77919" w:rsidP="00B77919">
            <w:pPr>
              <w:rPr>
                <w:b/>
              </w:rPr>
            </w:pPr>
          </w:p>
        </w:tc>
        <w:tc>
          <w:tcPr>
            <w:tcW w:w="2127" w:type="dxa"/>
            <w:gridSpan w:val="2"/>
          </w:tcPr>
          <w:p w14:paraId="6476F9D7" w14:textId="77777777" w:rsidR="00B77919" w:rsidRPr="00820267" w:rsidRDefault="00B77919" w:rsidP="00B77919">
            <w:pPr>
              <w:jc w:val="both"/>
            </w:pPr>
          </w:p>
        </w:tc>
        <w:tc>
          <w:tcPr>
            <w:tcW w:w="4897" w:type="dxa"/>
            <w:gridSpan w:val="4"/>
          </w:tcPr>
          <w:p w14:paraId="435B8F43" w14:textId="77777777" w:rsidR="00B77919" w:rsidRPr="00820267" w:rsidRDefault="00B77919" w:rsidP="00B77919">
            <w:pPr>
              <w:jc w:val="both"/>
            </w:pPr>
          </w:p>
        </w:tc>
      </w:tr>
      <w:tr w:rsidR="00B77919" w:rsidRPr="00C328EF" w14:paraId="7F049DA8" w14:textId="77777777" w:rsidTr="00C01F83">
        <w:trPr>
          <w:trHeight w:val="210"/>
        </w:trPr>
        <w:tc>
          <w:tcPr>
            <w:tcW w:w="2943" w:type="dxa"/>
          </w:tcPr>
          <w:p w14:paraId="046814C0" w14:textId="77777777" w:rsidR="00B77919" w:rsidRPr="00820267" w:rsidRDefault="00B77919" w:rsidP="00B77919">
            <w:pPr>
              <w:rPr>
                <w:b/>
              </w:rPr>
            </w:pPr>
          </w:p>
        </w:tc>
        <w:tc>
          <w:tcPr>
            <w:tcW w:w="2127" w:type="dxa"/>
            <w:gridSpan w:val="2"/>
          </w:tcPr>
          <w:p w14:paraId="27F0B4D6" w14:textId="77777777" w:rsidR="00B77919" w:rsidRPr="00820267" w:rsidRDefault="00B77919" w:rsidP="00B77919">
            <w:pPr>
              <w:jc w:val="both"/>
            </w:pPr>
            <w:r w:rsidRPr="00820267">
              <w:t>Registration Number</w:t>
            </w:r>
          </w:p>
        </w:tc>
        <w:tc>
          <w:tcPr>
            <w:tcW w:w="4897" w:type="dxa"/>
            <w:gridSpan w:val="4"/>
          </w:tcPr>
          <w:p w14:paraId="58563A3A" w14:textId="77777777" w:rsidR="00B77919" w:rsidRPr="00820267" w:rsidRDefault="00B77919" w:rsidP="00B77919">
            <w:pPr>
              <w:jc w:val="both"/>
            </w:pPr>
            <w:r w:rsidRPr="00820267">
              <w:t>SC443895</w:t>
            </w:r>
          </w:p>
        </w:tc>
      </w:tr>
      <w:tr w:rsidR="00B77919" w:rsidRPr="00C328EF" w14:paraId="5A25717B" w14:textId="77777777" w:rsidTr="00C01F83">
        <w:trPr>
          <w:trHeight w:val="210"/>
        </w:trPr>
        <w:tc>
          <w:tcPr>
            <w:tcW w:w="2943" w:type="dxa"/>
          </w:tcPr>
          <w:p w14:paraId="6F212705" w14:textId="77777777" w:rsidR="00B77919" w:rsidRPr="00820267" w:rsidRDefault="00B77919" w:rsidP="00B77919">
            <w:pPr>
              <w:rPr>
                <w:b/>
              </w:rPr>
            </w:pPr>
          </w:p>
        </w:tc>
        <w:tc>
          <w:tcPr>
            <w:tcW w:w="2127" w:type="dxa"/>
            <w:gridSpan w:val="2"/>
          </w:tcPr>
          <w:p w14:paraId="65E2E7B8" w14:textId="77777777" w:rsidR="00B77919" w:rsidRPr="00820267" w:rsidRDefault="00B77919" w:rsidP="00B77919">
            <w:pPr>
              <w:jc w:val="both"/>
            </w:pPr>
          </w:p>
        </w:tc>
        <w:tc>
          <w:tcPr>
            <w:tcW w:w="4897" w:type="dxa"/>
            <w:gridSpan w:val="4"/>
          </w:tcPr>
          <w:p w14:paraId="4CE07641" w14:textId="77777777" w:rsidR="00B77919" w:rsidRPr="00820267" w:rsidRDefault="00B77919" w:rsidP="00B77919">
            <w:pPr>
              <w:jc w:val="both"/>
            </w:pPr>
          </w:p>
        </w:tc>
      </w:tr>
      <w:tr w:rsidR="00B77919" w:rsidRPr="00C328EF" w14:paraId="345E47D8" w14:textId="77777777" w:rsidTr="00C01F83">
        <w:trPr>
          <w:trHeight w:val="210"/>
        </w:trPr>
        <w:tc>
          <w:tcPr>
            <w:tcW w:w="3329" w:type="dxa"/>
            <w:gridSpan w:val="2"/>
          </w:tcPr>
          <w:p w14:paraId="697F5BAA" w14:textId="77777777" w:rsidR="00B77919" w:rsidRPr="00820267" w:rsidRDefault="00B77919" w:rsidP="00B77919">
            <w:pPr>
              <w:rPr>
                <w:b/>
              </w:rPr>
            </w:pPr>
          </w:p>
        </w:tc>
        <w:tc>
          <w:tcPr>
            <w:tcW w:w="2875" w:type="dxa"/>
            <w:gridSpan w:val="3"/>
          </w:tcPr>
          <w:p w14:paraId="55EC7CBF" w14:textId="77777777" w:rsidR="00B77919" w:rsidRPr="00820267" w:rsidRDefault="00B77919" w:rsidP="00B77919">
            <w:pPr>
              <w:jc w:val="both"/>
            </w:pPr>
          </w:p>
        </w:tc>
        <w:tc>
          <w:tcPr>
            <w:tcW w:w="3763" w:type="dxa"/>
            <w:gridSpan w:val="2"/>
          </w:tcPr>
          <w:p w14:paraId="6C7A8C1E" w14:textId="77777777" w:rsidR="00B77919" w:rsidRPr="00C328EF" w:rsidRDefault="00B77919" w:rsidP="00B77919">
            <w:pPr>
              <w:jc w:val="both"/>
              <w:rPr>
                <w:highlight w:val="yellow"/>
              </w:rPr>
            </w:pPr>
          </w:p>
        </w:tc>
      </w:tr>
      <w:tr w:rsidR="00B77919" w:rsidRPr="00C328EF" w14:paraId="17648F80" w14:textId="77777777" w:rsidTr="00C01F83">
        <w:trPr>
          <w:trHeight w:val="210"/>
        </w:trPr>
        <w:tc>
          <w:tcPr>
            <w:tcW w:w="2943" w:type="dxa"/>
          </w:tcPr>
          <w:p w14:paraId="1FF70782" w14:textId="77777777" w:rsidR="00B77919" w:rsidRPr="00820267" w:rsidRDefault="00B77919" w:rsidP="00B77919">
            <w:pPr>
              <w:rPr>
                <w:b/>
              </w:rPr>
            </w:pPr>
            <w:r w:rsidRPr="00820267">
              <w:rPr>
                <w:b/>
              </w:rPr>
              <w:t>Bankers:</w:t>
            </w:r>
          </w:p>
        </w:tc>
        <w:tc>
          <w:tcPr>
            <w:tcW w:w="3261" w:type="dxa"/>
            <w:gridSpan w:val="4"/>
          </w:tcPr>
          <w:p w14:paraId="62E7B821" w14:textId="77777777" w:rsidR="00B77919" w:rsidRPr="00820267" w:rsidRDefault="00B77919" w:rsidP="00B77919">
            <w:pPr>
              <w:jc w:val="both"/>
            </w:pPr>
            <w:r w:rsidRPr="00820267">
              <w:t>The Royal Bank of Scotland plc</w:t>
            </w:r>
          </w:p>
        </w:tc>
        <w:tc>
          <w:tcPr>
            <w:tcW w:w="3763" w:type="dxa"/>
            <w:gridSpan w:val="2"/>
          </w:tcPr>
          <w:p w14:paraId="6E8FA2C7" w14:textId="77777777" w:rsidR="00B77919" w:rsidRPr="00C328EF" w:rsidRDefault="00B77919" w:rsidP="00B77919">
            <w:pPr>
              <w:jc w:val="both"/>
              <w:rPr>
                <w:highlight w:val="yellow"/>
              </w:rPr>
            </w:pPr>
          </w:p>
        </w:tc>
      </w:tr>
      <w:tr w:rsidR="00B77919" w:rsidRPr="00C328EF" w14:paraId="6D26A794" w14:textId="77777777" w:rsidTr="00C01F83">
        <w:trPr>
          <w:trHeight w:val="210"/>
        </w:trPr>
        <w:tc>
          <w:tcPr>
            <w:tcW w:w="2943" w:type="dxa"/>
          </w:tcPr>
          <w:p w14:paraId="07E1E7DD" w14:textId="77777777" w:rsidR="00B77919" w:rsidRPr="00820267" w:rsidRDefault="00B77919" w:rsidP="00B77919">
            <w:pPr>
              <w:rPr>
                <w:b/>
              </w:rPr>
            </w:pPr>
          </w:p>
        </w:tc>
        <w:tc>
          <w:tcPr>
            <w:tcW w:w="3261" w:type="dxa"/>
            <w:gridSpan w:val="4"/>
          </w:tcPr>
          <w:p w14:paraId="0088ABE8" w14:textId="77777777" w:rsidR="00B77919" w:rsidRPr="00820267" w:rsidRDefault="00B77919" w:rsidP="00B77919">
            <w:pPr>
              <w:jc w:val="both"/>
            </w:pPr>
          </w:p>
        </w:tc>
        <w:tc>
          <w:tcPr>
            <w:tcW w:w="3763" w:type="dxa"/>
            <w:gridSpan w:val="2"/>
          </w:tcPr>
          <w:p w14:paraId="1637939D" w14:textId="77777777" w:rsidR="00B77919" w:rsidRPr="00C328EF" w:rsidRDefault="00B77919" w:rsidP="00B77919">
            <w:pPr>
              <w:jc w:val="both"/>
              <w:rPr>
                <w:highlight w:val="yellow"/>
              </w:rPr>
            </w:pPr>
          </w:p>
        </w:tc>
      </w:tr>
      <w:tr w:rsidR="00B77919" w:rsidRPr="00C328EF" w14:paraId="7A4C9A5D" w14:textId="77777777" w:rsidTr="00C01F83">
        <w:trPr>
          <w:trHeight w:val="210"/>
        </w:trPr>
        <w:tc>
          <w:tcPr>
            <w:tcW w:w="2943" w:type="dxa"/>
          </w:tcPr>
          <w:p w14:paraId="7EF7D149" w14:textId="77777777" w:rsidR="00B77919" w:rsidRPr="00820267" w:rsidRDefault="00B77919" w:rsidP="00B77919">
            <w:pPr>
              <w:rPr>
                <w:b/>
              </w:rPr>
            </w:pPr>
          </w:p>
        </w:tc>
        <w:tc>
          <w:tcPr>
            <w:tcW w:w="3261" w:type="dxa"/>
            <w:gridSpan w:val="4"/>
          </w:tcPr>
          <w:p w14:paraId="0424D123" w14:textId="77777777" w:rsidR="00B77919" w:rsidRPr="00820267" w:rsidRDefault="00B77919" w:rsidP="00B77919">
            <w:pPr>
              <w:jc w:val="both"/>
            </w:pPr>
          </w:p>
        </w:tc>
        <w:tc>
          <w:tcPr>
            <w:tcW w:w="3763" w:type="dxa"/>
            <w:gridSpan w:val="2"/>
          </w:tcPr>
          <w:p w14:paraId="1377E9AF" w14:textId="77777777" w:rsidR="00B77919" w:rsidRPr="00C328EF" w:rsidRDefault="00B77919" w:rsidP="00B77919">
            <w:pPr>
              <w:jc w:val="both"/>
              <w:rPr>
                <w:highlight w:val="yellow"/>
              </w:rPr>
            </w:pPr>
          </w:p>
        </w:tc>
      </w:tr>
      <w:tr w:rsidR="00B77919" w:rsidRPr="00C328EF" w14:paraId="4AFA09EF" w14:textId="77777777" w:rsidTr="00C01F83">
        <w:trPr>
          <w:trHeight w:val="210"/>
        </w:trPr>
        <w:tc>
          <w:tcPr>
            <w:tcW w:w="2943" w:type="dxa"/>
          </w:tcPr>
          <w:p w14:paraId="67CAE00A" w14:textId="77777777" w:rsidR="00B77919" w:rsidRPr="00820267" w:rsidRDefault="00B77919" w:rsidP="00B77919">
            <w:pPr>
              <w:rPr>
                <w:b/>
              </w:rPr>
            </w:pPr>
            <w:r w:rsidRPr="00820267">
              <w:rPr>
                <w:b/>
              </w:rPr>
              <w:t>Auditor:</w:t>
            </w:r>
          </w:p>
        </w:tc>
        <w:tc>
          <w:tcPr>
            <w:tcW w:w="3261" w:type="dxa"/>
            <w:gridSpan w:val="4"/>
          </w:tcPr>
          <w:p w14:paraId="6D01BC04" w14:textId="77777777" w:rsidR="00B77919" w:rsidRPr="00820267" w:rsidRDefault="00B77919" w:rsidP="00B77919">
            <w:pPr>
              <w:jc w:val="both"/>
            </w:pPr>
            <w:r w:rsidRPr="00820267">
              <w:t>Azets Audit Services</w:t>
            </w:r>
          </w:p>
          <w:p w14:paraId="7696E43B" w14:textId="77777777" w:rsidR="00B77919" w:rsidRPr="00820267" w:rsidRDefault="00B77919" w:rsidP="00B77919">
            <w:pPr>
              <w:jc w:val="both"/>
            </w:pPr>
            <w:r w:rsidRPr="00820267">
              <w:t>Chartered Accountants</w:t>
            </w:r>
          </w:p>
        </w:tc>
        <w:tc>
          <w:tcPr>
            <w:tcW w:w="3763" w:type="dxa"/>
            <w:gridSpan w:val="2"/>
          </w:tcPr>
          <w:p w14:paraId="15BE922A" w14:textId="77777777" w:rsidR="00B77919" w:rsidRPr="00C328EF" w:rsidRDefault="00B77919" w:rsidP="00B77919">
            <w:pPr>
              <w:jc w:val="both"/>
              <w:rPr>
                <w:highlight w:val="yellow"/>
              </w:rPr>
            </w:pPr>
          </w:p>
        </w:tc>
      </w:tr>
      <w:tr w:rsidR="00B77919" w:rsidRPr="00C328EF" w14:paraId="6F8969F4" w14:textId="77777777" w:rsidTr="00C01F83">
        <w:trPr>
          <w:trHeight w:val="210"/>
        </w:trPr>
        <w:tc>
          <w:tcPr>
            <w:tcW w:w="2943" w:type="dxa"/>
          </w:tcPr>
          <w:p w14:paraId="755BE3E6" w14:textId="77777777" w:rsidR="00B77919" w:rsidRPr="00820267" w:rsidRDefault="00B77919" w:rsidP="00B77919">
            <w:pPr>
              <w:rPr>
                <w:b/>
              </w:rPr>
            </w:pPr>
          </w:p>
        </w:tc>
        <w:tc>
          <w:tcPr>
            <w:tcW w:w="3261" w:type="dxa"/>
            <w:gridSpan w:val="4"/>
          </w:tcPr>
          <w:p w14:paraId="6142D2BB" w14:textId="77777777" w:rsidR="00B77919" w:rsidRPr="0047306F" w:rsidRDefault="00B77919" w:rsidP="00B77919">
            <w:pPr>
              <w:jc w:val="both"/>
              <w:rPr>
                <w:bCs/>
                <w:highlight w:val="red"/>
              </w:rPr>
            </w:pPr>
            <w:r w:rsidRPr="0047306F">
              <w:rPr>
                <w:bCs/>
              </w:rPr>
              <w:t>Quay 2</w:t>
            </w:r>
          </w:p>
        </w:tc>
        <w:tc>
          <w:tcPr>
            <w:tcW w:w="3763" w:type="dxa"/>
            <w:gridSpan w:val="2"/>
          </w:tcPr>
          <w:p w14:paraId="5B9B4A97" w14:textId="77777777" w:rsidR="00B77919" w:rsidRPr="00C328EF" w:rsidRDefault="00B77919" w:rsidP="00B77919">
            <w:pPr>
              <w:jc w:val="both"/>
              <w:rPr>
                <w:highlight w:val="yellow"/>
              </w:rPr>
            </w:pPr>
          </w:p>
        </w:tc>
      </w:tr>
      <w:tr w:rsidR="00B77919" w:rsidRPr="00C328EF" w14:paraId="167FEC39" w14:textId="77777777" w:rsidTr="00C01F83">
        <w:trPr>
          <w:trHeight w:val="210"/>
        </w:trPr>
        <w:tc>
          <w:tcPr>
            <w:tcW w:w="2943" w:type="dxa"/>
          </w:tcPr>
          <w:p w14:paraId="05B2B373" w14:textId="77777777" w:rsidR="00B77919" w:rsidRPr="00820267" w:rsidRDefault="00B77919" w:rsidP="00B77919">
            <w:pPr>
              <w:rPr>
                <w:b/>
              </w:rPr>
            </w:pPr>
          </w:p>
        </w:tc>
        <w:tc>
          <w:tcPr>
            <w:tcW w:w="3261" w:type="dxa"/>
            <w:gridSpan w:val="4"/>
          </w:tcPr>
          <w:p w14:paraId="339AF55B" w14:textId="77777777" w:rsidR="00B77919" w:rsidRPr="0047306F" w:rsidRDefault="00B77919" w:rsidP="00B77919">
            <w:pPr>
              <w:jc w:val="both"/>
              <w:rPr>
                <w:bCs/>
                <w:highlight w:val="red"/>
              </w:rPr>
            </w:pPr>
            <w:r w:rsidRPr="0047306F">
              <w:rPr>
                <w:bCs/>
              </w:rPr>
              <w:t>139 Fountainbridge</w:t>
            </w:r>
          </w:p>
        </w:tc>
        <w:tc>
          <w:tcPr>
            <w:tcW w:w="3763" w:type="dxa"/>
            <w:gridSpan w:val="2"/>
          </w:tcPr>
          <w:p w14:paraId="5AC36ED6" w14:textId="77777777" w:rsidR="00B77919" w:rsidRPr="00C328EF" w:rsidRDefault="00B77919" w:rsidP="00B77919">
            <w:pPr>
              <w:jc w:val="both"/>
              <w:rPr>
                <w:highlight w:val="yellow"/>
              </w:rPr>
            </w:pPr>
          </w:p>
        </w:tc>
      </w:tr>
      <w:tr w:rsidR="00B77919" w:rsidRPr="00C328EF" w14:paraId="6C6854BC" w14:textId="77777777" w:rsidTr="00C01F83">
        <w:trPr>
          <w:trHeight w:val="210"/>
        </w:trPr>
        <w:tc>
          <w:tcPr>
            <w:tcW w:w="2943" w:type="dxa"/>
          </w:tcPr>
          <w:p w14:paraId="44961070" w14:textId="77777777" w:rsidR="00B77919" w:rsidRPr="00820267" w:rsidRDefault="00B77919" w:rsidP="00B77919">
            <w:pPr>
              <w:rPr>
                <w:b/>
              </w:rPr>
            </w:pPr>
          </w:p>
        </w:tc>
        <w:tc>
          <w:tcPr>
            <w:tcW w:w="3261" w:type="dxa"/>
            <w:gridSpan w:val="4"/>
          </w:tcPr>
          <w:p w14:paraId="4C016856" w14:textId="77777777" w:rsidR="00B77919" w:rsidRPr="0047306F" w:rsidRDefault="00B77919" w:rsidP="00B77919">
            <w:pPr>
              <w:jc w:val="both"/>
              <w:rPr>
                <w:bCs/>
              </w:rPr>
            </w:pPr>
            <w:r w:rsidRPr="0047306F">
              <w:rPr>
                <w:bCs/>
              </w:rPr>
              <w:t>Edinburgh</w:t>
            </w:r>
          </w:p>
          <w:p w14:paraId="6D0C884D" w14:textId="77777777" w:rsidR="00B77919" w:rsidRPr="0047306F" w:rsidRDefault="00B77919" w:rsidP="00B77919">
            <w:pPr>
              <w:jc w:val="both"/>
              <w:rPr>
                <w:bCs/>
                <w:highlight w:val="red"/>
              </w:rPr>
            </w:pPr>
            <w:r w:rsidRPr="0047306F">
              <w:rPr>
                <w:bCs/>
              </w:rPr>
              <w:t>EH3 9QG</w:t>
            </w:r>
          </w:p>
        </w:tc>
        <w:tc>
          <w:tcPr>
            <w:tcW w:w="3763" w:type="dxa"/>
            <w:gridSpan w:val="2"/>
          </w:tcPr>
          <w:p w14:paraId="14D5E2BE" w14:textId="77777777" w:rsidR="00B77919" w:rsidRPr="00C328EF" w:rsidRDefault="00B77919" w:rsidP="00B77919">
            <w:pPr>
              <w:jc w:val="both"/>
              <w:rPr>
                <w:highlight w:val="yellow"/>
              </w:rPr>
            </w:pPr>
          </w:p>
        </w:tc>
      </w:tr>
    </w:tbl>
    <w:p w14:paraId="79879599" w14:textId="77777777" w:rsidR="00430BA6" w:rsidRPr="00C328EF" w:rsidRDefault="00430BA6" w:rsidP="00C01F83">
      <w:pPr>
        <w:rPr>
          <w:b/>
          <w:highlight w:val="yellow"/>
        </w:rPr>
        <w:sectPr w:rsidR="00430BA6" w:rsidRPr="00C328EF" w:rsidSect="00AD1041">
          <w:headerReference w:type="even" r:id="rId19"/>
          <w:headerReference w:type="default" r:id="rId20"/>
          <w:footerReference w:type="default" r:id="rId21"/>
          <w:headerReference w:type="first" r:id="rId22"/>
          <w:pgSz w:w="11906" w:h="16838" w:code="9"/>
          <w:pgMar w:top="1077" w:right="981" w:bottom="318" w:left="981" w:header="1077" w:footer="318" w:gutter="0"/>
          <w:pgNumType w:start="2"/>
          <w:cols w:space="720"/>
          <w:docGrid w:linePitch="212"/>
        </w:sectPr>
      </w:pPr>
    </w:p>
    <w:p w14:paraId="6182FE99" w14:textId="77777777" w:rsidR="00F03F6D" w:rsidRPr="00C328EF" w:rsidRDefault="00F03F6D" w:rsidP="00C01F83">
      <w:pPr>
        <w:rPr>
          <w:b/>
          <w:highlight w:val="yellow"/>
        </w:rPr>
        <w:sectPr w:rsidR="00F03F6D" w:rsidRPr="00C328EF" w:rsidSect="00AD1041">
          <w:type w:val="continuous"/>
          <w:pgSz w:w="11906" w:h="16838" w:code="9"/>
          <w:pgMar w:top="1077" w:right="981" w:bottom="318" w:left="981" w:header="1077" w:footer="318" w:gutter="0"/>
          <w:pgNumType w:start="2"/>
          <w:cols w:space="720"/>
          <w:docGrid w:linePitch="212"/>
        </w:sectPr>
      </w:pPr>
    </w:p>
    <w:p w14:paraId="796E22B3" w14:textId="77777777" w:rsidR="00476D7C" w:rsidRPr="00820267" w:rsidRDefault="00476D7C" w:rsidP="00476D7C">
      <w:pPr>
        <w:jc w:val="center"/>
        <w:rPr>
          <w:b/>
        </w:rPr>
      </w:pPr>
      <w:r w:rsidRPr="00820267">
        <w:rPr>
          <w:b/>
        </w:rPr>
        <w:lastRenderedPageBreak/>
        <w:t>TRANSPORT FOR EDINBURGH LIMITED</w:t>
      </w:r>
    </w:p>
    <w:p w14:paraId="1136152E" w14:textId="77777777" w:rsidR="00476D7C" w:rsidRPr="00820267" w:rsidRDefault="00476D7C" w:rsidP="00476D7C">
      <w:pPr>
        <w:rPr>
          <w:b/>
        </w:rPr>
      </w:pPr>
    </w:p>
    <w:p w14:paraId="62D74BC4" w14:textId="77777777" w:rsidR="00476D7C" w:rsidRPr="00820267" w:rsidRDefault="00476D7C" w:rsidP="00476D7C">
      <w:pPr>
        <w:jc w:val="center"/>
        <w:rPr>
          <w:b/>
        </w:rPr>
      </w:pPr>
      <w:r w:rsidRPr="00820267">
        <w:rPr>
          <w:b/>
        </w:rPr>
        <w:t>Strategic Report</w:t>
      </w:r>
    </w:p>
    <w:p w14:paraId="78829809" w14:textId="77777777" w:rsidR="00476D7C" w:rsidRPr="00820267" w:rsidRDefault="00476D7C" w:rsidP="00476D7C">
      <w:pPr>
        <w:rPr>
          <w:b/>
        </w:rPr>
      </w:pPr>
    </w:p>
    <w:p w14:paraId="450F7872" w14:textId="77777777" w:rsidR="00476D7C" w:rsidRPr="00820267" w:rsidRDefault="00D90B89" w:rsidP="00476D7C">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7D8C8BE5" w14:textId="77777777" w:rsidR="00476D7C" w:rsidRPr="00820267" w:rsidRDefault="00476D7C" w:rsidP="00476D7C">
      <w:pPr>
        <w:jc w:val="center"/>
        <w:rPr>
          <w:b/>
        </w:rPr>
      </w:pPr>
    </w:p>
    <w:p w14:paraId="13DFD245" w14:textId="77777777" w:rsidR="0088241A" w:rsidRPr="007433B7" w:rsidRDefault="0088241A" w:rsidP="0088241A">
      <w:pPr>
        <w:jc w:val="both"/>
        <w:outlineLvl w:val="0"/>
        <w:rPr>
          <w:rFonts w:cs="Arial"/>
        </w:rPr>
      </w:pPr>
      <w:r w:rsidRPr="007433B7">
        <w:rPr>
          <w:rFonts w:cs="Arial"/>
          <w:b/>
        </w:rPr>
        <w:t>Principal Activities</w:t>
      </w:r>
    </w:p>
    <w:p w14:paraId="0C926122" w14:textId="77777777" w:rsidR="0088241A" w:rsidRPr="007433B7" w:rsidRDefault="0088241A" w:rsidP="0088241A">
      <w:pPr>
        <w:jc w:val="both"/>
        <w:rPr>
          <w:rFonts w:cs="Arial"/>
        </w:rPr>
      </w:pPr>
    </w:p>
    <w:p w14:paraId="66A51470" w14:textId="77777777" w:rsidR="0092059E" w:rsidRDefault="0088241A" w:rsidP="00F17BA5">
      <w:pPr>
        <w:jc w:val="both"/>
        <w:rPr>
          <w:rFonts w:cs="Arial"/>
        </w:rPr>
      </w:pPr>
      <w:r w:rsidRPr="007433B7">
        <w:rPr>
          <w:rFonts w:cs="Arial"/>
        </w:rPr>
        <w:t xml:space="preserve">The principal activity of the Company is to act as </w:t>
      </w:r>
      <w:r w:rsidR="0092059E">
        <w:rPr>
          <w:rFonts w:cs="Arial"/>
        </w:rPr>
        <w:t>the</w:t>
      </w:r>
      <w:r w:rsidRPr="007433B7">
        <w:rPr>
          <w:rFonts w:cs="Arial"/>
        </w:rPr>
        <w:t xml:space="preserve"> </w:t>
      </w:r>
      <w:r w:rsidR="0092059E">
        <w:rPr>
          <w:rFonts w:cs="Arial"/>
        </w:rPr>
        <w:t xml:space="preserve">parent and </w:t>
      </w:r>
      <w:r w:rsidRPr="007433B7">
        <w:rPr>
          <w:rFonts w:cs="Arial"/>
        </w:rPr>
        <w:t xml:space="preserve">holding company for The City of Edinburgh Council’s public transport companies; </w:t>
      </w:r>
    </w:p>
    <w:p w14:paraId="660E0AA4" w14:textId="77777777" w:rsidR="0092059E" w:rsidRDefault="0092059E" w:rsidP="00F17BA5">
      <w:pPr>
        <w:jc w:val="both"/>
        <w:rPr>
          <w:rFonts w:cs="Arial"/>
        </w:rPr>
      </w:pPr>
    </w:p>
    <w:p w14:paraId="43BB1C61" w14:textId="77777777" w:rsidR="0092059E" w:rsidRPr="0092059E" w:rsidRDefault="0088241A" w:rsidP="00A5227C">
      <w:pPr>
        <w:numPr>
          <w:ilvl w:val="0"/>
          <w:numId w:val="49"/>
        </w:numPr>
        <w:ind w:left="567" w:hanging="207"/>
        <w:jc w:val="both"/>
        <w:rPr>
          <w:rFonts w:cs="Arial"/>
          <w:bCs/>
        </w:rPr>
      </w:pPr>
      <w:r w:rsidRPr="007433B7">
        <w:rPr>
          <w:rFonts w:cs="Arial"/>
        </w:rPr>
        <w:t>Lothian Buses</w:t>
      </w:r>
      <w:r w:rsidR="0092059E">
        <w:rPr>
          <w:rFonts w:cs="Arial"/>
        </w:rPr>
        <w:t xml:space="preserve"> Limited</w:t>
      </w:r>
      <w:r w:rsidR="00947950">
        <w:rPr>
          <w:rFonts w:cs="Arial"/>
        </w:rPr>
        <w:t xml:space="preserve"> (Lothian Buses)</w:t>
      </w:r>
      <w:r w:rsidRPr="007433B7">
        <w:rPr>
          <w:rFonts w:cs="Arial"/>
        </w:rPr>
        <w:t>, which operates approximately 700 buses in Edinburgh and The Lothians</w:t>
      </w:r>
      <w:r w:rsidR="0092059E">
        <w:rPr>
          <w:rFonts w:cs="Arial"/>
        </w:rPr>
        <w:t>,</w:t>
      </w:r>
      <w:r w:rsidRPr="007433B7">
        <w:rPr>
          <w:rFonts w:cs="Arial"/>
        </w:rPr>
        <w:t xml:space="preserve"> and</w:t>
      </w:r>
    </w:p>
    <w:p w14:paraId="7C3C972B" w14:textId="77777777" w:rsidR="0092059E" w:rsidRPr="0092059E" w:rsidRDefault="0088241A" w:rsidP="00A5227C">
      <w:pPr>
        <w:numPr>
          <w:ilvl w:val="0"/>
          <w:numId w:val="49"/>
        </w:numPr>
        <w:ind w:left="567" w:hanging="207"/>
        <w:jc w:val="both"/>
        <w:rPr>
          <w:rFonts w:cs="Arial"/>
          <w:bCs/>
        </w:rPr>
      </w:pPr>
      <w:r w:rsidRPr="007433B7">
        <w:rPr>
          <w:rFonts w:cs="Arial"/>
        </w:rPr>
        <w:t>Edinburgh Trams</w:t>
      </w:r>
      <w:r w:rsidR="0092059E">
        <w:rPr>
          <w:rFonts w:cs="Arial"/>
        </w:rPr>
        <w:t xml:space="preserve"> Limited</w:t>
      </w:r>
      <w:r w:rsidR="00947950">
        <w:rPr>
          <w:rFonts w:cs="Arial"/>
        </w:rPr>
        <w:t xml:space="preserve"> (Edinburgh Trams)</w:t>
      </w:r>
      <w:r w:rsidRPr="007433B7">
        <w:rPr>
          <w:rFonts w:cs="Arial"/>
        </w:rPr>
        <w:t xml:space="preserve">, the City’s Tram Operating Company, which operates 27 Trams between </w:t>
      </w:r>
      <w:r w:rsidR="00F17BA5" w:rsidRPr="007433B7">
        <w:rPr>
          <w:rFonts w:cs="Arial"/>
        </w:rPr>
        <w:t>Edinburgh Airport and Newhaven</w:t>
      </w:r>
      <w:r w:rsidRPr="007433B7">
        <w:rPr>
          <w:rFonts w:cs="Arial"/>
        </w:rPr>
        <w:t xml:space="preserve">. </w:t>
      </w:r>
    </w:p>
    <w:p w14:paraId="3B8035F9" w14:textId="77777777" w:rsidR="0092059E" w:rsidRDefault="0092059E" w:rsidP="0092059E">
      <w:pPr>
        <w:jc w:val="both"/>
        <w:rPr>
          <w:rFonts w:cs="Arial"/>
          <w:bCs/>
        </w:rPr>
      </w:pPr>
    </w:p>
    <w:p w14:paraId="40A353EB" w14:textId="77777777" w:rsidR="00F17BA5" w:rsidRPr="007433B7" w:rsidRDefault="0088241A" w:rsidP="0092059E">
      <w:pPr>
        <w:jc w:val="both"/>
        <w:rPr>
          <w:rFonts w:cs="Arial"/>
          <w:bCs/>
        </w:rPr>
      </w:pPr>
      <w:r w:rsidRPr="007433B7">
        <w:rPr>
          <w:rFonts w:cs="Arial"/>
          <w:bCs/>
        </w:rPr>
        <w:t xml:space="preserve">The Company </w:t>
      </w:r>
      <w:r w:rsidR="00630E7D" w:rsidRPr="007433B7">
        <w:rPr>
          <w:rFonts w:cs="Arial"/>
          <w:bCs/>
        </w:rPr>
        <w:t>facilitates</w:t>
      </w:r>
      <w:r w:rsidRPr="007433B7">
        <w:rPr>
          <w:rFonts w:cs="Arial"/>
          <w:bCs/>
        </w:rPr>
        <w:t xml:space="preserve"> an integrated transport network and transport projects for The City of Edinburgh and The Lothians.</w:t>
      </w:r>
      <w:r w:rsidRPr="007433B7">
        <w:rPr>
          <w:rFonts w:cs="Arial"/>
        </w:rPr>
        <w:t xml:space="preserve"> The</w:t>
      </w:r>
      <w:r w:rsidR="0092059E">
        <w:rPr>
          <w:rFonts w:cs="Arial"/>
        </w:rPr>
        <w:t xml:space="preserve"> strategy and </w:t>
      </w:r>
      <w:r w:rsidRPr="007433B7">
        <w:rPr>
          <w:rFonts w:cs="Arial"/>
          <w:bCs/>
        </w:rPr>
        <w:t xml:space="preserve">activities of the Company are </w:t>
      </w:r>
      <w:r w:rsidR="0092059E">
        <w:rPr>
          <w:rFonts w:cs="Arial"/>
          <w:bCs/>
        </w:rPr>
        <w:t>aligned</w:t>
      </w:r>
      <w:r w:rsidRPr="007433B7">
        <w:rPr>
          <w:rFonts w:cs="Arial"/>
          <w:bCs/>
        </w:rPr>
        <w:t xml:space="preserve"> with the City Mobility Plan 2030 and other City of Edinburgh Council policies: including, but not exclusively, the Public Transport and Active Travel Action Plans, Low Emission Zone, City Centre Transformation and Circulation Plans and the objective of achieving Carbon Net Zero by 2030. </w:t>
      </w:r>
      <w:r w:rsidR="00F17BA5" w:rsidRPr="007433B7">
        <w:rPr>
          <w:rFonts w:cs="Arial"/>
          <w:bCs/>
        </w:rPr>
        <w:t xml:space="preserve">The Company </w:t>
      </w:r>
      <w:r w:rsidR="00630E7D" w:rsidRPr="007433B7">
        <w:rPr>
          <w:rFonts w:cs="Arial"/>
          <w:bCs/>
        </w:rPr>
        <w:t xml:space="preserve">also </w:t>
      </w:r>
      <w:r w:rsidR="00F17BA5" w:rsidRPr="007433B7">
        <w:rPr>
          <w:rFonts w:cs="Arial"/>
          <w:bCs/>
        </w:rPr>
        <w:t>delivers additional services for The City</w:t>
      </w:r>
      <w:r w:rsidR="00630E7D" w:rsidRPr="007433B7">
        <w:rPr>
          <w:rFonts w:cs="Arial"/>
          <w:bCs/>
        </w:rPr>
        <w:t xml:space="preserve"> when required</w:t>
      </w:r>
      <w:r w:rsidR="00F17BA5" w:rsidRPr="007433B7">
        <w:rPr>
          <w:rFonts w:cs="Arial"/>
          <w:bCs/>
        </w:rPr>
        <w:t xml:space="preserve">. </w:t>
      </w:r>
    </w:p>
    <w:p w14:paraId="54D73CA1" w14:textId="77777777" w:rsidR="00F17BA5" w:rsidRPr="007433B7" w:rsidRDefault="00F17BA5" w:rsidP="00F17BA5">
      <w:pPr>
        <w:jc w:val="both"/>
        <w:rPr>
          <w:rFonts w:cs="Arial"/>
          <w:bCs/>
          <w:sz w:val="12"/>
          <w:szCs w:val="12"/>
        </w:rPr>
      </w:pPr>
    </w:p>
    <w:p w14:paraId="603DD9A8" w14:textId="77777777" w:rsidR="00F17BA5" w:rsidRDefault="00F17BA5" w:rsidP="00F17BA5">
      <w:pPr>
        <w:jc w:val="both"/>
        <w:rPr>
          <w:rFonts w:cs="Arial"/>
          <w:bCs/>
        </w:rPr>
      </w:pPr>
    </w:p>
    <w:p w14:paraId="3FD3F4D2" w14:textId="77777777" w:rsidR="00513550" w:rsidRPr="00500363" w:rsidRDefault="00E841B8" w:rsidP="00500363">
      <w:pPr>
        <w:pStyle w:val="NoSpacing"/>
        <w:jc w:val="both"/>
        <w:rPr>
          <w:rFonts w:ascii="Arial" w:hAnsi="Arial" w:cs="Arial"/>
          <w:b/>
          <w:bCs/>
          <w:sz w:val="20"/>
          <w:szCs w:val="20"/>
        </w:rPr>
      </w:pPr>
      <w:r w:rsidRPr="007433B7">
        <w:rPr>
          <w:rFonts w:ascii="Arial" w:hAnsi="Arial" w:cs="Arial"/>
          <w:b/>
          <w:bCs/>
          <w:sz w:val="20"/>
          <w:szCs w:val="20"/>
        </w:rPr>
        <w:t>Transport Arms</w:t>
      </w:r>
      <w:r w:rsidR="00500363">
        <w:rPr>
          <w:rFonts w:ascii="Arial" w:hAnsi="Arial" w:cs="Arial"/>
          <w:b/>
          <w:bCs/>
          <w:sz w:val="20"/>
          <w:szCs w:val="20"/>
        </w:rPr>
        <w:t>-</w:t>
      </w:r>
      <w:r w:rsidRPr="007433B7">
        <w:rPr>
          <w:rFonts w:ascii="Arial" w:hAnsi="Arial" w:cs="Arial"/>
          <w:b/>
          <w:bCs/>
          <w:sz w:val="20"/>
          <w:szCs w:val="20"/>
        </w:rPr>
        <w:t>Length External Organisations (ALEO) Reform</w:t>
      </w:r>
    </w:p>
    <w:p w14:paraId="4164009E" w14:textId="77777777" w:rsidR="00513550" w:rsidRDefault="00513550" w:rsidP="00F17BA5">
      <w:pPr>
        <w:jc w:val="both"/>
        <w:rPr>
          <w:rFonts w:cs="Arial"/>
          <w:bCs/>
        </w:rPr>
      </w:pPr>
    </w:p>
    <w:p w14:paraId="34788F8E" w14:textId="77777777" w:rsidR="00892D0D" w:rsidRPr="00500363" w:rsidRDefault="00A302CE" w:rsidP="00892D0D">
      <w:pPr>
        <w:jc w:val="both"/>
        <w:rPr>
          <w:rFonts w:cs="Arial"/>
          <w:bCs/>
        </w:rPr>
      </w:pPr>
      <w:r w:rsidRPr="00500363">
        <w:rPr>
          <w:rFonts w:cs="Arial"/>
          <w:bCs/>
        </w:rPr>
        <w:t xml:space="preserve">In July 2020, the City of Edinburgh Council (CEC) initiated a </w:t>
      </w:r>
      <w:r w:rsidR="00892D0D" w:rsidRPr="00500363">
        <w:rPr>
          <w:rFonts w:cs="Arial"/>
          <w:bCs/>
        </w:rPr>
        <w:t xml:space="preserve">reform process in respect of </w:t>
      </w:r>
      <w:r w:rsidRPr="00500363">
        <w:rPr>
          <w:rFonts w:cs="Arial"/>
          <w:bCs/>
        </w:rPr>
        <w:t>the management</w:t>
      </w:r>
      <w:r w:rsidR="00892D0D" w:rsidRPr="00500363">
        <w:rPr>
          <w:rFonts w:cs="Arial"/>
          <w:bCs/>
        </w:rPr>
        <w:t xml:space="preserve"> and governance</w:t>
      </w:r>
      <w:r w:rsidRPr="00500363">
        <w:rPr>
          <w:rFonts w:cs="Arial"/>
          <w:bCs/>
        </w:rPr>
        <w:t xml:space="preserve"> of the Council’s Transport ALEOs</w:t>
      </w:r>
      <w:r w:rsidR="00892D0D" w:rsidRPr="00500363">
        <w:rPr>
          <w:rFonts w:cs="Arial"/>
          <w:bCs/>
        </w:rPr>
        <w:t>, (</w:t>
      </w:r>
      <w:r w:rsidR="00665875">
        <w:rPr>
          <w:rFonts w:cs="Arial"/>
          <w:bCs/>
        </w:rPr>
        <w:t>being t</w:t>
      </w:r>
      <w:r w:rsidR="00892D0D" w:rsidRPr="00500363">
        <w:rPr>
          <w:rFonts w:cs="Arial"/>
          <w:bCs/>
        </w:rPr>
        <w:t xml:space="preserve">he Company, Lothian Buses and Edinburgh Trams). The purpose of the reform work was to identify an organisational structure that would deliver optimal integration of the Council’s public transport companies to ensure </w:t>
      </w:r>
      <w:r w:rsidR="00665875">
        <w:rPr>
          <w:rFonts w:cs="Arial"/>
          <w:bCs/>
        </w:rPr>
        <w:t xml:space="preserve">the </w:t>
      </w:r>
      <w:r w:rsidR="00892D0D" w:rsidRPr="00500363">
        <w:rPr>
          <w:rFonts w:cs="Arial"/>
          <w:bCs/>
        </w:rPr>
        <w:t xml:space="preserve">best delivery </w:t>
      </w:r>
      <w:r w:rsidR="00665875">
        <w:rPr>
          <w:rFonts w:cs="Arial"/>
          <w:bCs/>
        </w:rPr>
        <w:t>of</w:t>
      </w:r>
      <w:r w:rsidR="00892D0D" w:rsidRPr="00500363">
        <w:rPr>
          <w:rFonts w:cs="Arial"/>
          <w:bCs/>
        </w:rPr>
        <w:t xml:space="preserve"> Council policies and objectives</w:t>
      </w:r>
      <w:r w:rsidR="00500363" w:rsidRPr="00500363">
        <w:rPr>
          <w:rFonts w:cs="Arial"/>
          <w:bCs/>
        </w:rPr>
        <w:t>.</w:t>
      </w:r>
    </w:p>
    <w:p w14:paraId="1028127B" w14:textId="77777777" w:rsidR="00A302CE" w:rsidRPr="00500363" w:rsidRDefault="00A302CE" w:rsidP="00F17BA5">
      <w:pPr>
        <w:jc w:val="both"/>
        <w:rPr>
          <w:rFonts w:cs="Arial"/>
          <w:bCs/>
        </w:rPr>
      </w:pPr>
    </w:p>
    <w:p w14:paraId="6C59AEA1" w14:textId="77777777" w:rsidR="00525154" w:rsidRPr="00500363" w:rsidRDefault="00251D7E" w:rsidP="00F17BA5">
      <w:pPr>
        <w:jc w:val="both"/>
        <w:rPr>
          <w:rFonts w:cs="Arial"/>
          <w:bCs/>
        </w:rPr>
      </w:pPr>
      <w:r w:rsidRPr="00500363">
        <w:rPr>
          <w:rFonts w:cs="Arial"/>
          <w:bCs/>
        </w:rPr>
        <w:t>In October 2023, the CEC</w:t>
      </w:r>
      <w:r w:rsidR="00665875">
        <w:rPr>
          <w:rFonts w:cs="Arial"/>
          <w:bCs/>
        </w:rPr>
        <w:t xml:space="preserve"> </w:t>
      </w:r>
      <w:r w:rsidRPr="00500363">
        <w:rPr>
          <w:rFonts w:cs="Arial"/>
          <w:bCs/>
        </w:rPr>
        <w:t xml:space="preserve">Transport and Environment Committee (TEC) approved a revised approach to the delivery of Edinburgh’s integrated public transport network. </w:t>
      </w:r>
      <w:r w:rsidR="00E43ADE" w:rsidRPr="00500363">
        <w:rPr>
          <w:rFonts w:cs="Arial"/>
          <w:bCs/>
        </w:rPr>
        <w:t>Under the new arrangements</w:t>
      </w:r>
      <w:r w:rsidR="008406B0" w:rsidRPr="00500363">
        <w:rPr>
          <w:rFonts w:cs="Arial"/>
          <w:bCs/>
        </w:rPr>
        <w:t>:</w:t>
      </w:r>
    </w:p>
    <w:p w14:paraId="478D4E4C" w14:textId="77777777" w:rsidR="00525154" w:rsidRPr="00500363" w:rsidRDefault="00525154" w:rsidP="00F17BA5">
      <w:pPr>
        <w:jc w:val="both"/>
        <w:rPr>
          <w:rFonts w:cs="Arial"/>
          <w:bCs/>
        </w:rPr>
      </w:pPr>
    </w:p>
    <w:p w14:paraId="1301A489" w14:textId="77777777" w:rsidR="00525154" w:rsidRPr="00500363" w:rsidRDefault="00251D7E" w:rsidP="00A5227C">
      <w:pPr>
        <w:numPr>
          <w:ilvl w:val="0"/>
          <w:numId w:val="50"/>
        </w:numPr>
        <w:ind w:left="567" w:hanging="207"/>
        <w:jc w:val="both"/>
        <w:rPr>
          <w:rFonts w:cs="Arial"/>
          <w:bCs/>
        </w:rPr>
      </w:pPr>
      <w:r w:rsidRPr="00500363">
        <w:rPr>
          <w:rFonts w:cs="Arial"/>
          <w:bCs/>
        </w:rPr>
        <w:t xml:space="preserve">Lothian Buses and Edinburgh Trams will operate under an Integration Agreement that sets out the responsibilities of both companies to jointly provide an integrated public transport network, improve customer experience, and maximise efficiency of operations. </w:t>
      </w:r>
    </w:p>
    <w:p w14:paraId="4111D6F7" w14:textId="77777777" w:rsidR="00421982" w:rsidRPr="00500363" w:rsidRDefault="00525154" w:rsidP="00A5227C">
      <w:pPr>
        <w:numPr>
          <w:ilvl w:val="0"/>
          <w:numId w:val="50"/>
        </w:numPr>
        <w:ind w:left="567" w:hanging="207"/>
        <w:jc w:val="both"/>
        <w:rPr>
          <w:rFonts w:cs="Arial"/>
          <w:bCs/>
        </w:rPr>
      </w:pPr>
      <w:r w:rsidRPr="00500363">
        <w:rPr>
          <w:rFonts w:cs="Arial"/>
          <w:bCs/>
        </w:rPr>
        <w:t>T</w:t>
      </w:r>
      <w:r w:rsidR="00251D7E" w:rsidRPr="00500363">
        <w:rPr>
          <w:rFonts w:cs="Arial"/>
          <w:bCs/>
        </w:rPr>
        <w:t xml:space="preserve">he two companies will remain separate legal entities but </w:t>
      </w:r>
      <w:r w:rsidRPr="00500363">
        <w:rPr>
          <w:rFonts w:cs="Arial"/>
          <w:bCs/>
        </w:rPr>
        <w:t xml:space="preserve">will </w:t>
      </w:r>
      <w:r w:rsidR="00251D7E" w:rsidRPr="00500363">
        <w:rPr>
          <w:rFonts w:cs="Arial"/>
          <w:bCs/>
        </w:rPr>
        <w:t xml:space="preserve">transition towards </w:t>
      </w:r>
      <w:r w:rsidR="006B1F4F">
        <w:rPr>
          <w:rFonts w:cs="Arial"/>
          <w:bCs/>
        </w:rPr>
        <w:t xml:space="preserve">a more </w:t>
      </w:r>
      <w:r w:rsidR="00251D7E" w:rsidRPr="00500363">
        <w:rPr>
          <w:rFonts w:cs="Arial"/>
          <w:bCs/>
        </w:rPr>
        <w:t>common Board composition at the appropriate time</w:t>
      </w:r>
      <w:r w:rsidR="00421982" w:rsidRPr="00500363">
        <w:rPr>
          <w:rFonts w:cs="Arial"/>
          <w:bCs/>
        </w:rPr>
        <w:t>, led by a Chief Executive who will have responsibility for the strategic and operational oversight of both companies.</w:t>
      </w:r>
      <w:r w:rsidR="00251D7E" w:rsidRPr="00500363">
        <w:rPr>
          <w:rFonts w:cs="Arial"/>
          <w:bCs/>
        </w:rPr>
        <w:t xml:space="preserve"> </w:t>
      </w:r>
    </w:p>
    <w:p w14:paraId="6470883C" w14:textId="1A236F3E" w:rsidR="0092059E" w:rsidRPr="00500363" w:rsidRDefault="00251D7E" w:rsidP="00A5227C">
      <w:pPr>
        <w:numPr>
          <w:ilvl w:val="0"/>
          <w:numId w:val="50"/>
        </w:numPr>
        <w:ind w:left="567" w:hanging="207"/>
        <w:jc w:val="both"/>
        <w:rPr>
          <w:rFonts w:cs="Arial"/>
          <w:bCs/>
        </w:rPr>
      </w:pPr>
      <w:r w:rsidRPr="00500363">
        <w:rPr>
          <w:rFonts w:cs="Arial"/>
          <w:bCs/>
        </w:rPr>
        <w:t>The Company will continue to act as the parent and holding company for Lothian Buses and Edinburgh Trams, but will not retain any corporate or executive functionality, and will become</w:t>
      </w:r>
      <w:r w:rsidR="00A21B0B">
        <w:rPr>
          <w:rFonts w:cs="Arial"/>
          <w:bCs/>
        </w:rPr>
        <w:t xml:space="preserve"> </w:t>
      </w:r>
      <w:r w:rsidRPr="00500363">
        <w:rPr>
          <w:rFonts w:cs="Arial"/>
          <w:bCs/>
        </w:rPr>
        <w:t>solely a shareholding entity.</w:t>
      </w:r>
    </w:p>
    <w:p w14:paraId="4C276314" w14:textId="77777777" w:rsidR="00251D7E" w:rsidRPr="00500363" w:rsidRDefault="00251D7E" w:rsidP="00F17BA5">
      <w:pPr>
        <w:jc w:val="both"/>
        <w:rPr>
          <w:rFonts w:cs="Arial"/>
          <w:bCs/>
        </w:rPr>
      </w:pPr>
    </w:p>
    <w:p w14:paraId="1E10C4B8" w14:textId="77777777" w:rsidR="00E43ADE" w:rsidRPr="00500363" w:rsidRDefault="00525154" w:rsidP="00F17BA5">
      <w:pPr>
        <w:jc w:val="both"/>
        <w:rPr>
          <w:rFonts w:cs="Arial"/>
          <w:bCs/>
        </w:rPr>
      </w:pPr>
      <w:r w:rsidRPr="00500363">
        <w:rPr>
          <w:rFonts w:cs="Arial"/>
          <w:bCs/>
        </w:rPr>
        <w:t>Implementation of the new arrangements was progressed throughout 2024 and</w:t>
      </w:r>
      <w:r w:rsidR="00892D0D" w:rsidRPr="00500363">
        <w:rPr>
          <w:rFonts w:cs="Arial"/>
          <w:bCs/>
        </w:rPr>
        <w:t xml:space="preserve"> will continue</w:t>
      </w:r>
      <w:r w:rsidRPr="00500363">
        <w:rPr>
          <w:rFonts w:cs="Arial"/>
          <w:bCs/>
        </w:rPr>
        <w:t xml:space="preserve"> during 2025.</w:t>
      </w:r>
    </w:p>
    <w:p w14:paraId="04578124" w14:textId="77777777" w:rsidR="00525154" w:rsidRPr="00500363" w:rsidRDefault="00525154" w:rsidP="00F17BA5">
      <w:pPr>
        <w:jc w:val="both"/>
        <w:rPr>
          <w:rFonts w:cs="Arial"/>
          <w:bCs/>
        </w:rPr>
      </w:pPr>
    </w:p>
    <w:p w14:paraId="2C0201B2" w14:textId="27E01B65" w:rsidR="00500363" w:rsidRPr="00500363" w:rsidRDefault="00500363" w:rsidP="00500363">
      <w:pPr>
        <w:jc w:val="both"/>
        <w:rPr>
          <w:rFonts w:cs="Arial"/>
          <w:bCs/>
        </w:rPr>
      </w:pPr>
      <w:bookmarkStart w:id="1" w:name="_Hlk203731128"/>
      <w:r w:rsidRPr="00500363">
        <w:rPr>
          <w:rFonts w:cs="Arial"/>
          <w:bCs/>
        </w:rPr>
        <w:t>In May 202</w:t>
      </w:r>
      <w:r w:rsidR="00665875">
        <w:rPr>
          <w:rFonts w:cs="Arial"/>
          <w:bCs/>
        </w:rPr>
        <w:t>4</w:t>
      </w:r>
      <w:r w:rsidRPr="00500363">
        <w:rPr>
          <w:rFonts w:cs="Arial"/>
          <w:bCs/>
        </w:rPr>
        <w:t>, the Company realigned its activities with its revised responsibility as solely a shareholding entity</w:t>
      </w:r>
      <w:r w:rsidR="00665875">
        <w:rPr>
          <w:rFonts w:cs="Arial"/>
          <w:bCs/>
        </w:rPr>
        <w:t>.</w:t>
      </w:r>
      <w:r w:rsidRPr="00500363">
        <w:rPr>
          <w:rFonts w:cs="Arial"/>
          <w:bCs/>
        </w:rPr>
        <w:t xml:space="preserve"> </w:t>
      </w:r>
      <w:r w:rsidR="00665875" w:rsidRPr="003513D7">
        <w:rPr>
          <w:rFonts w:cs="Arial"/>
          <w:bCs/>
        </w:rPr>
        <w:t>The Company</w:t>
      </w:r>
      <w:r w:rsidRPr="003513D7">
        <w:rPr>
          <w:rFonts w:cs="Arial"/>
          <w:bCs/>
        </w:rPr>
        <w:t xml:space="preserve"> held its last Board with executive functionality on 10 May 202</w:t>
      </w:r>
      <w:r w:rsidR="000536EF" w:rsidRPr="003513D7">
        <w:rPr>
          <w:rFonts w:cs="Arial"/>
          <w:bCs/>
        </w:rPr>
        <w:t>4</w:t>
      </w:r>
      <w:r w:rsidRPr="003513D7">
        <w:rPr>
          <w:rFonts w:cs="Arial"/>
          <w:bCs/>
        </w:rPr>
        <w:t>, with those executive responsibilities transferring to the individual Boards of Lothian Buses and Edinburgh Trams</w:t>
      </w:r>
      <w:r w:rsidRPr="00500363">
        <w:rPr>
          <w:rFonts w:cs="Arial"/>
          <w:bCs/>
        </w:rPr>
        <w:t xml:space="preserve">.  </w:t>
      </w:r>
    </w:p>
    <w:bookmarkEnd w:id="1"/>
    <w:p w14:paraId="6407C54E" w14:textId="77777777" w:rsidR="00500363" w:rsidRPr="00500363" w:rsidRDefault="00500363" w:rsidP="00F17BA5">
      <w:pPr>
        <w:jc w:val="both"/>
        <w:rPr>
          <w:rFonts w:cs="Arial"/>
          <w:bCs/>
        </w:rPr>
      </w:pPr>
    </w:p>
    <w:p w14:paraId="192931A8" w14:textId="77777777" w:rsidR="00E43ADE" w:rsidRDefault="00525154" w:rsidP="00F17BA5">
      <w:pPr>
        <w:jc w:val="both"/>
        <w:rPr>
          <w:rFonts w:cs="Arial"/>
          <w:bCs/>
        </w:rPr>
      </w:pPr>
      <w:r w:rsidRPr="00500363">
        <w:rPr>
          <w:rFonts w:cs="Arial"/>
          <w:bCs/>
        </w:rPr>
        <w:t>On 2</w:t>
      </w:r>
      <w:r w:rsidR="00951CC2">
        <w:rPr>
          <w:rFonts w:cs="Arial"/>
          <w:bCs/>
        </w:rPr>
        <w:t>6</w:t>
      </w:r>
      <w:r w:rsidRPr="00500363">
        <w:rPr>
          <w:rFonts w:cs="Arial"/>
          <w:bCs/>
        </w:rPr>
        <w:t xml:space="preserve"> June 2025, the TEC approved the next phase of the integration process</w:t>
      </w:r>
      <w:r w:rsidR="008406B0" w:rsidRPr="00500363">
        <w:rPr>
          <w:rFonts w:cs="Arial"/>
          <w:bCs/>
        </w:rPr>
        <w:t xml:space="preserve">, </w:t>
      </w:r>
      <w:r w:rsidR="00665875">
        <w:rPr>
          <w:rFonts w:cs="Arial"/>
          <w:bCs/>
        </w:rPr>
        <w:t xml:space="preserve">formally </w:t>
      </w:r>
      <w:r w:rsidR="008406B0" w:rsidRPr="00500363">
        <w:rPr>
          <w:rFonts w:cs="Arial"/>
          <w:bCs/>
        </w:rPr>
        <w:t xml:space="preserve">approving the </w:t>
      </w:r>
      <w:r w:rsidR="004246C0" w:rsidRPr="00500363">
        <w:rPr>
          <w:rFonts w:cs="Arial"/>
          <w:bCs/>
        </w:rPr>
        <w:t>new</w:t>
      </w:r>
      <w:r w:rsidR="008406B0" w:rsidRPr="00500363">
        <w:rPr>
          <w:rFonts w:cs="Arial"/>
          <w:bCs/>
        </w:rPr>
        <w:t xml:space="preserve"> governance structure for Lothian Buses and Edinburgh Trams</w:t>
      </w:r>
      <w:r w:rsidR="00665875">
        <w:rPr>
          <w:rFonts w:cs="Arial"/>
          <w:bCs/>
        </w:rPr>
        <w:t xml:space="preserve"> as outlined above.</w:t>
      </w:r>
    </w:p>
    <w:p w14:paraId="5C62B838" w14:textId="77777777" w:rsidR="00525154" w:rsidRDefault="00525154" w:rsidP="00F17BA5">
      <w:pPr>
        <w:jc w:val="both"/>
        <w:rPr>
          <w:rFonts w:cs="Arial"/>
          <w:bCs/>
        </w:rPr>
      </w:pPr>
    </w:p>
    <w:p w14:paraId="52423367" w14:textId="77777777" w:rsidR="00525154" w:rsidRDefault="004246C0" w:rsidP="00F17BA5">
      <w:pPr>
        <w:jc w:val="both"/>
        <w:rPr>
          <w:rFonts w:cs="Arial"/>
          <w:bCs/>
        </w:rPr>
      </w:pPr>
      <w:r>
        <w:rPr>
          <w:rFonts w:cs="Arial"/>
          <w:bCs/>
        </w:rPr>
        <w:t>F</w:t>
      </w:r>
      <w:r w:rsidR="008406B0">
        <w:rPr>
          <w:rFonts w:cs="Arial"/>
          <w:bCs/>
        </w:rPr>
        <w:t xml:space="preserve">urther integration activity will be undertaken </w:t>
      </w:r>
      <w:r w:rsidR="00665875">
        <w:rPr>
          <w:rFonts w:cs="Arial"/>
          <w:bCs/>
        </w:rPr>
        <w:t>during the rest of 2025</w:t>
      </w:r>
      <w:r w:rsidR="008406B0">
        <w:rPr>
          <w:rFonts w:cs="Arial"/>
          <w:bCs/>
        </w:rPr>
        <w:t>, w</w:t>
      </w:r>
      <w:r>
        <w:rPr>
          <w:rFonts w:cs="Arial"/>
          <w:bCs/>
        </w:rPr>
        <w:t>ith the revised arrangements for Lothian</w:t>
      </w:r>
      <w:r w:rsidR="00947950">
        <w:rPr>
          <w:rFonts w:cs="Arial"/>
          <w:bCs/>
        </w:rPr>
        <w:t xml:space="preserve"> Buses</w:t>
      </w:r>
      <w:r>
        <w:rPr>
          <w:rFonts w:cs="Arial"/>
          <w:bCs/>
        </w:rPr>
        <w:t xml:space="preserve"> and Edinburgh Trams expected to be in place by the end of </w:t>
      </w:r>
      <w:r w:rsidR="00500363">
        <w:rPr>
          <w:rFonts w:cs="Arial"/>
          <w:bCs/>
        </w:rPr>
        <w:t>the year</w:t>
      </w:r>
      <w:r>
        <w:rPr>
          <w:rFonts w:cs="Arial"/>
          <w:bCs/>
        </w:rPr>
        <w:t>.</w:t>
      </w:r>
    </w:p>
    <w:p w14:paraId="50BAE84F" w14:textId="77777777" w:rsidR="00E43ADE" w:rsidRDefault="00E43ADE" w:rsidP="00F17BA5">
      <w:pPr>
        <w:jc w:val="both"/>
        <w:rPr>
          <w:rFonts w:cs="Arial"/>
          <w:bCs/>
        </w:rPr>
      </w:pPr>
    </w:p>
    <w:p w14:paraId="2D6EFC23" w14:textId="77777777" w:rsidR="00376156" w:rsidRPr="007433B7" w:rsidRDefault="0088241A" w:rsidP="00F17BA5">
      <w:pPr>
        <w:jc w:val="both"/>
        <w:rPr>
          <w:rFonts w:cs="Arial"/>
        </w:rPr>
      </w:pPr>
      <w:r w:rsidRPr="007433B7">
        <w:rPr>
          <w:rFonts w:cs="Arial"/>
          <w:bCs/>
        </w:rPr>
        <w:t>This Strategic Report should be read in conjunction with the Strategic Reports of Lothian Buses and Edinburgh Trams.</w:t>
      </w:r>
    </w:p>
    <w:p w14:paraId="15CB919A" w14:textId="77777777" w:rsidR="00476D7C" w:rsidRPr="007433B7" w:rsidRDefault="00476D7C" w:rsidP="00476D7C">
      <w:pPr>
        <w:jc w:val="both"/>
        <w:rPr>
          <w:rFonts w:cs="Arial"/>
        </w:rPr>
      </w:pPr>
    </w:p>
    <w:p w14:paraId="3D9D6DFA" w14:textId="77777777" w:rsidR="00500363" w:rsidRDefault="00500363" w:rsidP="0088241A">
      <w:pPr>
        <w:jc w:val="both"/>
        <w:rPr>
          <w:rFonts w:cs="Arial"/>
          <w:b/>
        </w:rPr>
      </w:pPr>
      <w:r>
        <w:rPr>
          <w:rFonts w:cs="Arial"/>
          <w:b/>
        </w:rPr>
        <w:br w:type="page"/>
      </w:r>
    </w:p>
    <w:p w14:paraId="5B90F007" w14:textId="77777777" w:rsidR="00500363" w:rsidRPr="007433B7" w:rsidRDefault="00500363" w:rsidP="00500363">
      <w:pPr>
        <w:jc w:val="center"/>
        <w:outlineLvl w:val="0"/>
        <w:rPr>
          <w:b/>
        </w:rPr>
      </w:pPr>
      <w:r w:rsidRPr="007433B7">
        <w:rPr>
          <w:b/>
        </w:rPr>
        <w:lastRenderedPageBreak/>
        <w:t>TRANSPORT FOR EDINBURGH LIMITED</w:t>
      </w:r>
    </w:p>
    <w:p w14:paraId="62551F12" w14:textId="77777777" w:rsidR="00500363" w:rsidRPr="007433B7" w:rsidRDefault="00500363" w:rsidP="00500363">
      <w:pPr>
        <w:rPr>
          <w:b/>
        </w:rPr>
      </w:pPr>
    </w:p>
    <w:p w14:paraId="7695F045" w14:textId="77777777" w:rsidR="00500363" w:rsidRPr="007433B7" w:rsidRDefault="00500363" w:rsidP="00500363">
      <w:pPr>
        <w:jc w:val="center"/>
        <w:rPr>
          <w:b/>
        </w:rPr>
      </w:pPr>
      <w:r w:rsidRPr="007433B7">
        <w:rPr>
          <w:b/>
        </w:rPr>
        <w:t>Strategic Report (continued)</w:t>
      </w:r>
    </w:p>
    <w:p w14:paraId="712F7522" w14:textId="77777777" w:rsidR="00500363" w:rsidRPr="007433B7" w:rsidRDefault="00500363" w:rsidP="00500363">
      <w:pPr>
        <w:jc w:val="center"/>
        <w:rPr>
          <w:b/>
        </w:rPr>
      </w:pPr>
    </w:p>
    <w:p w14:paraId="44AD931C" w14:textId="77777777" w:rsidR="00500363" w:rsidRPr="007433B7" w:rsidRDefault="00500363" w:rsidP="00500363">
      <w:pPr>
        <w:jc w:val="center"/>
        <w:rPr>
          <w:b/>
        </w:rPr>
      </w:pPr>
      <w:r w:rsidRPr="007433B7">
        <w:rPr>
          <w:b/>
        </w:rPr>
        <w:t>For the period ended 28 December 2024</w:t>
      </w:r>
    </w:p>
    <w:p w14:paraId="51F17974" w14:textId="77777777" w:rsidR="00500363" w:rsidRPr="007433B7" w:rsidRDefault="00500363" w:rsidP="00500363">
      <w:pPr>
        <w:jc w:val="center"/>
        <w:rPr>
          <w:b/>
        </w:rPr>
      </w:pPr>
    </w:p>
    <w:p w14:paraId="37CD40A4" w14:textId="77777777" w:rsidR="00500363" w:rsidRPr="007433B7" w:rsidRDefault="00500363" w:rsidP="00500363">
      <w:pPr>
        <w:jc w:val="both"/>
        <w:rPr>
          <w:rFonts w:cs="Arial"/>
          <w:sz w:val="12"/>
          <w:szCs w:val="12"/>
        </w:rPr>
      </w:pPr>
    </w:p>
    <w:p w14:paraId="5835A3D3" w14:textId="77777777" w:rsidR="0088241A" w:rsidRPr="007433B7" w:rsidRDefault="0088241A" w:rsidP="0088241A">
      <w:pPr>
        <w:jc w:val="both"/>
        <w:rPr>
          <w:rFonts w:cs="Arial"/>
          <w:b/>
        </w:rPr>
      </w:pPr>
      <w:r w:rsidRPr="007433B7">
        <w:rPr>
          <w:rFonts w:cs="Arial"/>
          <w:b/>
        </w:rPr>
        <w:t>Business Strategy</w:t>
      </w:r>
    </w:p>
    <w:p w14:paraId="1CDAC419" w14:textId="77777777" w:rsidR="0088241A" w:rsidRPr="007433B7" w:rsidRDefault="0088241A" w:rsidP="0088241A">
      <w:pPr>
        <w:jc w:val="both"/>
        <w:rPr>
          <w:rFonts w:cs="Arial"/>
          <w:b/>
        </w:rPr>
      </w:pPr>
    </w:p>
    <w:p w14:paraId="0FA1C2E2" w14:textId="77777777" w:rsidR="0088241A" w:rsidRPr="007433B7" w:rsidRDefault="0088241A" w:rsidP="0088241A">
      <w:pPr>
        <w:jc w:val="both"/>
        <w:rPr>
          <w:rFonts w:cs="Arial"/>
        </w:rPr>
      </w:pPr>
      <w:r w:rsidRPr="007433B7">
        <w:rPr>
          <w:rFonts w:cs="Arial"/>
        </w:rPr>
        <w:t xml:space="preserve">The core purpose of </w:t>
      </w:r>
      <w:bookmarkStart w:id="2" w:name="_Hlk67040423"/>
      <w:r w:rsidRPr="007433B7">
        <w:rPr>
          <w:rFonts w:cs="Arial"/>
        </w:rPr>
        <w:t>TfE</w:t>
      </w:r>
      <w:bookmarkEnd w:id="2"/>
      <w:r w:rsidRPr="007433B7">
        <w:rPr>
          <w:rFonts w:cs="Arial"/>
        </w:rPr>
        <w:t xml:space="preserve"> is to deliver world class, integrated, environmentally friendly, and socially inclusive transport, which plays a central role in the future prosperity of Edinburgh and the Lothians. TfE deliver</w:t>
      </w:r>
      <w:r w:rsidR="00A9564A" w:rsidRPr="007433B7">
        <w:rPr>
          <w:rFonts w:cs="Arial"/>
        </w:rPr>
        <w:t>s</w:t>
      </w:r>
      <w:r w:rsidRPr="007433B7">
        <w:rPr>
          <w:rFonts w:cs="Arial"/>
        </w:rPr>
        <w:t xml:space="preserve"> results through a strong commercial focus and </w:t>
      </w:r>
      <w:r w:rsidR="00665875">
        <w:rPr>
          <w:rFonts w:cs="Arial"/>
        </w:rPr>
        <w:t xml:space="preserve">provision of </w:t>
      </w:r>
      <w:r w:rsidRPr="007433B7">
        <w:rPr>
          <w:rFonts w:cs="Arial"/>
        </w:rPr>
        <w:t xml:space="preserve">transport services through innovative collaborations, cooperation with our </w:t>
      </w:r>
      <w:r w:rsidR="00665875">
        <w:rPr>
          <w:rFonts w:cs="Arial"/>
        </w:rPr>
        <w:t>stakeholders</w:t>
      </w:r>
      <w:r w:rsidRPr="007433B7">
        <w:rPr>
          <w:rFonts w:cs="Arial"/>
        </w:rPr>
        <w:t xml:space="preserve"> and the coordination of activity. </w:t>
      </w:r>
    </w:p>
    <w:p w14:paraId="4BBE1CBC" w14:textId="77777777" w:rsidR="0088241A" w:rsidRPr="007433B7" w:rsidRDefault="0088241A" w:rsidP="0088241A">
      <w:pPr>
        <w:jc w:val="both"/>
        <w:rPr>
          <w:rFonts w:cs="Arial"/>
          <w:b/>
        </w:rPr>
      </w:pPr>
    </w:p>
    <w:p w14:paraId="576140D2" w14:textId="77777777" w:rsidR="004F2E84" w:rsidRDefault="0088241A" w:rsidP="0026566D">
      <w:pPr>
        <w:jc w:val="both"/>
        <w:rPr>
          <w:rFonts w:cs="Arial"/>
        </w:rPr>
      </w:pPr>
      <w:r w:rsidRPr="007433B7">
        <w:rPr>
          <w:rFonts w:cs="Arial"/>
        </w:rPr>
        <w:t>The Group retain</w:t>
      </w:r>
      <w:r w:rsidR="00665875">
        <w:rPr>
          <w:rFonts w:cs="Arial"/>
        </w:rPr>
        <w:t>s</w:t>
      </w:r>
      <w:r w:rsidRPr="007433B7">
        <w:rPr>
          <w:rFonts w:cs="Arial"/>
        </w:rPr>
        <w:t xml:space="preserve"> a substantial share of the local public transport market in Edinburgh and the Lothians</w:t>
      </w:r>
      <w:r w:rsidR="004F2E84">
        <w:rPr>
          <w:rFonts w:cs="Arial"/>
        </w:rPr>
        <w:t>,</w:t>
      </w:r>
      <w:r w:rsidRPr="007433B7">
        <w:rPr>
          <w:rFonts w:cs="Arial"/>
        </w:rPr>
        <w:t xml:space="preserve"> </w:t>
      </w:r>
      <w:r w:rsidR="004F2E84">
        <w:rPr>
          <w:rFonts w:cs="Arial"/>
        </w:rPr>
        <w:t>a</w:t>
      </w:r>
      <w:r w:rsidRPr="007433B7">
        <w:rPr>
          <w:rFonts w:cs="Arial"/>
        </w:rPr>
        <w:t xml:space="preserve">lthough it must be noted that patronage has not </w:t>
      </w:r>
      <w:r w:rsidR="00FC156A" w:rsidRPr="007433B7">
        <w:rPr>
          <w:rFonts w:cs="Arial"/>
        </w:rPr>
        <w:t>fully</w:t>
      </w:r>
      <w:r w:rsidRPr="007433B7">
        <w:rPr>
          <w:rFonts w:cs="Arial"/>
        </w:rPr>
        <w:t xml:space="preserve"> returned to pre COVID levels and patterns of use of public transport are </w:t>
      </w:r>
      <w:r w:rsidR="004F2E84">
        <w:rPr>
          <w:rFonts w:cs="Arial"/>
        </w:rPr>
        <w:t xml:space="preserve">now </w:t>
      </w:r>
      <w:r w:rsidRPr="007433B7">
        <w:rPr>
          <w:rFonts w:cs="Arial"/>
        </w:rPr>
        <w:t xml:space="preserve">different to those seen before COVID. The Directors consider that the results for the </w:t>
      </w:r>
      <w:r w:rsidR="00A9564A" w:rsidRPr="007433B7">
        <w:rPr>
          <w:rFonts w:cs="Arial"/>
        </w:rPr>
        <w:t>period</w:t>
      </w:r>
      <w:r w:rsidRPr="007433B7">
        <w:rPr>
          <w:rFonts w:cs="Arial"/>
        </w:rPr>
        <w:t xml:space="preserve"> are in line with expectations, with patronage</w:t>
      </w:r>
      <w:r w:rsidR="00130546" w:rsidRPr="007433B7">
        <w:rPr>
          <w:rFonts w:cs="Arial"/>
        </w:rPr>
        <w:t xml:space="preserve"> improving </w:t>
      </w:r>
      <w:r w:rsidR="00A9564A" w:rsidRPr="007433B7">
        <w:rPr>
          <w:rFonts w:cs="Arial"/>
        </w:rPr>
        <w:t>period</w:t>
      </w:r>
      <w:r w:rsidR="00130546" w:rsidRPr="007433B7">
        <w:rPr>
          <w:rFonts w:cs="Arial"/>
        </w:rPr>
        <w:t xml:space="preserve"> on </w:t>
      </w:r>
      <w:r w:rsidR="00A9564A" w:rsidRPr="007433B7">
        <w:rPr>
          <w:rFonts w:cs="Arial"/>
        </w:rPr>
        <w:t>period</w:t>
      </w:r>
      <w:r w:rsidR="00130546" w:rsidRPr="007433B7">
        <w:rPr>
          <w:rFonts w:cs="Arial"/>
        </w:rPr>
        <w:t xml:space="preserve"> despite</w:t>
      </w:r>
      <w:r w:rsidRPr="007433B7">
        <w:rPr>
          <w:rFonts w:cs="Arial"/>
        </w:rPr>
        <w:t xml:space="preserve"> </w:t>
      </w:r>
      <w:r w:rsidR="004F2E84">
        <w:rPr>
          <w:rFonts w:cs="Arial"/>
        </w:rPr>
        <w:t xml:space="preserve">those </w:t>
      </w:r>
      <w:r w:rsidRPr="007433B7">
        <w:rPr>
          <w:rFonts w:cs="Arial"/>
        </w:rPr>
        <w:t>changing travel patterns</w:t>
      </w:r>
      <w:r w:rsidR="004F2E84">
        <w:rPr>
          <w:rFonts w:cs="Arial"/>
        </w:rPr>
        <w:t xml:space="preserve"> and overall revenue increasing by 9.3% over the previous period to £226.7m.</w:t>
      </w:r>
      <w:r w:rsidRPr="007433B7">
        <w:rPr>
          <w:rFonts w:cs="Arial"/>
        </w:rPr>
        <w:t xml:space="preserve"> </w:t>
      </w:r>
    </w:p>
    <w:p w14:paraId="4900A10A" w14:textId="77777777" w:rsidR="004F2E84" w:rsidRDefault="004F2E84" w:rsidP="0026566D">
      <w:pPr>
        <w:jc w:val="both"/>
        <w:rPr>
          <w:rFonts w:cs="Arial"/>
        </w:rPr>
      </w:pPr>
    </w:p>
    <w:p w14:paraId="382ED3ED" w14:textId="77777777" w:rsidR="00DE280E" w:rsidRPr="007433B7" w:rsidRDefault="00DE280E" w:rsidP="00DE280E">
      <w:pPr>
        <w:jc w:val="both"/>
        <w:outlineLvl w:val="0"/>
        <w:rPr>
          <w:rFonts w:cs="Arial"/>
          <w:b/>
        </w:rPr>
      </w:pPr>
      <w:r w:rsidRPr="007433B7">
        <w:rPr>
          <w:rFonts w:cs="Arial"/>
          <w:b/>
        </w:rPr>
        <w:t>Under 22 Concessionary Travel Scheme (U22 Scheme)</w:t>
      </w:r>
    </w:p>
    <w:p w14:paraId="7784F606" w14:textId="77777777" w:rsidR="00DE280E" w:rsidRPr="007433B7" w:rsidRDefault="00DE280E" w:rsidP="00DE280E">
      <w:pPr>
        <w:jc w:val="both"/>
        <w:rPr>
          <w:rFonts w:cs="Arial"/>
        </w:rPr>
      </w:pPr>
    </w:p>
    <w:p w14:paraId="42DF3698" w14:textId="77777777" w:rsidR="00DE280E" w:rsidRPr="007433B7" w:rsidRDefault="00DE280E" w:rsidP="00DE280E">
      <w:pPr>
        <w:jc w:val="both"/>
        <w:rPr>
          <w:rFonts w:cs="Arial"/>
        </w:rPr>
      </w:pPr>
      <w:r w:rsidRPr="007433B7">
        <w:rPr>
          <w:rFonts w:cs="Arial"/>
          <w:bCs/>
        </w:rPr>
        <w:t xml:space="preserve">Since the commencement of the </w:t>
      </w:r>
      <w:r w:rsidR="00D936F8">
        <w:rPr>
          <w:rFonts w:cs="Arial"/>
          <w:bCs/>
        </w:rPr>
        <w:t>“</w:t>
      </w:r>
      <w:r w:rsidR="002E0727" w:rsidRPr="002E0727">
        <w:rPr>
          <w:rFonts w:cs="Arial"/>
          <w:bCs/>
        </w:rPr>
        <w:t>Young Persons’ (Under 22s) Free Bus Travel</w:t>
      </w:r>
      <w:r w:rsidR="00D936F8">
        <w:rPr>
          <w:rFonts w:cs="Arial"/>
          <w:bCs/>
        </w:rPr>
        <w:t>”</w:t>
      </w:r>
      <w:r w:rsidRPr="007433B7">
        <w:rPr>
          <w:rFonts w:cs="Arial"/>
          <w:bCs/>
        </w:rPr>
        <w:t xml:space="preserve"> Scheme </w:t>
      </w:r>
      <w:r w:rsidR="00D936F8">
        <w:rPr>
          <w:rFonts w:cs="Arial"/>
          <w:bCs/>
        </w:rPr>
        <w:t>in</w:t>
      </w:r>
      <w:r w:rsidRPr="007433B7">
        <w:rPr>
          <w:rFonts w:cs="Arial"/>
          <w:bCs/>
        </w:rPr>
        <w:t xml:space="preserve"> February 2022</w:t>
      </w:r>
      <w:r w:rsidR="00D936F8">
        <w:rPr>
          <w:rFonts w:cs="Arial"/>
          <w:bCs/>
        </w:rPr>
        <w:t>,</w:t>
      </w:r>
      <w:r w:rsidRPr="007433B7">
        <w:rPr>
          <w:rFonts w:cs="Arial"/>
          <w:bCs/>
        </w:rPr>
        <w:t xml:space="preserve"> Edinburgh remains at or near the top of the Local Authority league table for enrolment. Lothian Buses has continued to be reimbursed at concessionary rates throughout 2024</w:t>
      </w:r>
      <w:r w:rsidR="00A842D3">
        <w:rPr>
          <w:rFonts w:cs="Arial"/>
          <w:bCs/>
        </w:rPr>
        <w:t xml:space="preserve"> by the Scottish Government</w:t>
      </w:r>
      <w:r w:rsidRPr="007433B7">
        <w:rPr>
          <w:rFonts w:cs="Arial"/>
          <w:bCs/>
        </w:rPr>
        <w:t xml:space="preserve">. </w:t>
      </w:r>
    </w:p>
    <w:p w14:paraId="083E4D26" w14:textId="77777777" w:rsidR="00D936F8" w:rsidRPr="002E0727" w:rsidRDefault="00D936F8" w:rsidP="00DE280E">
      <w:pPr>
        <w:rPr>
          <w:b/>
        </w:rPr>
      </w:pPr>
    </w:p>
    <w:p w14:paraId="59225BCE" w14:textId="77777777" w:rsidR="00D936F8" w:rsidRDefault="00D936F8" w:rsidP="00DE280E">
      <w:pPr>
        <w:jc w:val="both"/>
        <w:rPr>
          <w:rFonts w:cs="Arial"/>
          <w:bCs/>
        </w:rPr>
      </w:pPr>
      <w:r>
        <w:rPr>
          <w:rFonts w:cs="Arial"/>
          <w:bCs/>
        </w:rPr>
        <w:t>Edinburgh Trams</w:t>
      </w:r>
      <w:r w:rsidR="00A842D3">
        <w:rPr>
          <w:rFonts w:cs="Arial"/>
          <w:bCs/>
        </w:rPr>
        <w:t xml:space="preserve"> received concessionary funding from the City of Edinburgh Council in respect of the U22 Scheme until March 2023, and since then</w:t>
      </w:r>
      <w:r>
        <w:rPr>
          <w:rFonts w:cs="Arial"/>
          <w:bCs/>
        </w:rPr>
        <w:t xml:space="preserve"> has continued to support the U22 Scheme without </w:t>
      </w:r>
      <w:r w:rsidR="002E0727">
        <w:rPr>
          <w:rFonts w:cs="Arial"/>
          <w:bCs/>
        </w:rPr>
        <w:t>funding</w:t>
      </w:r>
      <w:r>
        <w:rPr>
          <w:rFonts w:cs="Arial"/>
          <w:bCs/>
        </w:rPr>
        <w:t xml:space="preserve"> from the Scottish Government as it believes that </w:t>
      </w:r>
      <w:r w:rsidR="00A842D3">
        <w:rPr>
          <w:rFonts w:cs="Arial"/>
          <w:bCs/>
        </w:rPr>
        <w:t>in addition to providing a consistent approach to customers across Ed</w:t>
      </w:r>
      <w:r>
        <w:rPr>
          <w:rFonts w:cs="Arial"/>
          <w:bCs/>
        </w:rPr>
        <w:t>i</w:t>
      </w:r>
      <w:r w:rsidR="00A842D3">
        <w:rPr>
          <w:rFonts w:cs="Arial"/>
          <w:bCs/>
        </w:rPr>
        <w:t xml:space="preserve">nburgh, </w:t>
      </w:r>
      <w:r w:rsidR="00665875">
        <w:rPr>
          <w:rFonts w:cs="Arial"/>
          <w:bCs/>
        </w:rPr>
        <w:t>this approach</w:t>
      </w:r>
      <w:r>
        <w:rPr>
          <w:rFonts w:cs="Arial"/>
          <w:bCs/>
        </w:rPr>
        <w:t xml:space="preserve"> promotes</w:t>
      </w:r>
      <w:r w:rsidR="00A842D3">
        <w:rPr>
          <w:rFonts w:cs="Arial"/>
          <w:bCs/>
        </w:rPr>
        <w:t xml:space="preserve"> the general use of </w:t>
      </w:r>
      <w:r>
        <w:rPr>
          <w:rFonts w:cs="Arial"/>
          <w:bCs/>
        </w:rPr>
        <w:t>public transport, social inclusion and an environmentally friendly mode of public transport. It is estimated that the cost to the Government of supporting this scheme in 2024 would have been £604k. Edinburgh Trams in conjunction with the City</w:t>
      </w:r>
      <w:r w:rsidR="00A842D3">
        <w:rPr>
          <w:rFonts w:cs="Arial"/>
          <w:bCs/>
        </w:rPr>
        <w:t xml:space="preserve"> of Edinburgh Council will continue to lobby for trams and Scottish Light Rail systems to be included in the U22 scheme.</w:t>
      </w:r>
    </w:p>
    <w:p w14:paraId="1628E619" w14:textId="77777777" w:rsidR="00DE280E" w:rsidRDefault="00DE280E" w:rsidP="0026566D">
      <w:pPr>
        <w:jc w:val="both"/>
        <w:rPr>
          <w:rFonts w:cs="Arial"/>
        </w:rPr>
      </w:pPr>
    </w:p>
    <w:p w14:paraId="3A101504" w14:textId="77777777" w:rsidR="00A842D3" w:rsidRPr="002E0727" w:rsidRDefault="005E28CF" w:rsidP="0026566D">
      <w:pPr>
        <w:jc w:val="both"/>
        <w:rPr>
          <w:rFonts w:cs="Arial"/>
          <w:b/>
          <w:bCs/>
        </w:rPr>
      </w:pPr>
      <w:r w:rsidRPr="002E0727">
        <w:rPr>
          <w:rFonts w:cs="Arial"/>
          <w:b/>
          <w:bCs/>
        </w:rPr>
        <w:t>Review of the Business</w:t>
      </w:r>
    </w:p>
    <w:p w14:paraId="1602FC51" w14:textId="77777777" w:rsidR="005E28CF" w:rsidRDefault="005E28CF" w:rsidP="0026566D">
      <w:pPr>
        <w:jc w:val="both"/>
        <w:rPr>
          <w:rFonts w:cs="Arial"/>
        </w:rPr>
      </w:pPr>
    </w:p>
    <w:p w14:paraId="0B967C4E" w14:textId="77777777" w:rsidR="005E28CF" w:rsidRPr="005E28CF" w:rsidRDefault="005E28CF" w:rsidP="005E28CF">
      <w:pPr>
        <w:jc w:val="both"/>
        <w:rPr>
          <w:rFonts w:cs="Arial"/>
        </w:rPr>
      </w:pPr>
      <w:r w:rsidRPr="005E28CF">
        <w:rPr>
          <w:rFonts w:cs="Arial"/>
        </w:rPr>
        <w:t>Both Lothian Buses and Edinburgh Trams have been proactive in seeking to grow patronage and revenue, developing the overall transport network, and managing various increased operating and cost pressures.</w:t>
      </w:r>
    </w:p>
    <w:p w14:paraId="272B7DC0" w14:textId="77777777" w:rsidR="005E28CF" w:rsidRPr="005E28CF" w:rsidRDefault="005E28CF" w:rsidP="005E28CF">
      <w:pPr>
        <w:jc w:val="both"/>
        <w:rPr>
          <w:rFonts w:cs="Arial"/>
        </w:rPr>
      </w:pPr>
    </w:p>
    <w:p w14:paraId="4A83F82E" w14:textId="77777777" w:rsidR="00F52D4B" w:rsidRDefault="005E28CF" w:rsidP="005E28CF">
      <w:pPr>
        <w:jc w:val="both"/>
        <w:rPr>
          <w:rFonts w:cs="Arial"/>
        </w:rPr>
      </w:pPr>
      <w:r w:rsidRPr="005E28CF">
        <w:rPr>
          <w:rFonts w:cs="Arial"/>
        </w:rPr>
        <w:t>During the period under review, Lothian Buses have continue</w:t>
      </w:r>
      <w:r w:rsidR="00F52D4B">
        <w:rPr>
          <w:rFonts w:cs="Arial"/>
        </w:rPr>
        <w:t>d</w:t>
      </w:r>
      <w:r w:rsidRPr="005E28CF">
        <w:rPr>
          <w:rFonts w:cs="Arial"/>
        </w:rPr>
        <w:t xml:space="preserve"> to operate within the local</w:t>
      </w:r>
      <w:r>
        <w:rPr>
          <w:rFonts w:cs="Arial"/>
        </w:rPr>
        <w:t xml:space="preserve"> public transport market in Edinburgh and the Lothians</w:t>
      </w:r>
      <w:r w:rsidR="00F52D4B">
        <w:rPr>
          <w:rFonts w:cs="Arial"/>
        </w:rPr>
        <w:t>. E</w:t>
      </w:r>
      <w:r w:rsidRPr="005E28CF">
        <w:rPr>
          <w:rFonts w:cs="Arial"/>
        </w:rPr>
        <w:t xml:space="preserve">dinburgh Trams have </w:t>
      </w:r>
      <w:r w:rsidR="00034232">
        <w:rPr>
          <w:rFonts w:cs="Arial"/>
        </w:rPr>
        <w:t xml:space="preserve">further </w:t>
      </w:r>
      <w:r w:rsidRPr="005E28CF">
        <w:rPr>
          <w:rFonts w:cs="Arial"/>
        </w:rPr>
        <w:t>develop</w:t>
      </w:r>
      <w:r w:rsidR="00034232">
        <w:rPr>
          <w:rFonts w:cs="Arial"/>
        </w:rPr>
        <w:t>ed</w:t>
      </w:r>
      <w:r w:rsidRPr="005E28CF">
        <w:rPr>
          <w:rFonts w:cs="Arial"/>
        </w:rPr>
        <w:t xml:space="preserve"> their responsibility for tram network</w:t>
      </w:r>
      <w:r w:rsidR="00F52D4B">
        <w:rPr>
          <w:rFonts w:cs="Arial"/>
        </w:rPr>
        <w:t xml:space="preserve"> operati</w:t>
      </w:r>
      <w:r w:rsidR="00034232">
        <w:rPr>
          <w:rFonts w:cs="Arial"/>
        </w:rPr>
        <w:t>ons</w:t>
      </w:r>
      <w:r w:rsidR="00F52D4B">
        <w:rPr>
          <w:rFonts w:cs="Arial"/>
        </w:rPr>
        <w:t xml:space="preserve">, </w:t>
      </w:r>
      <w:r w:rsidRPr="005E28CF">
        <w:rPr>
          <w:rFonts w:cs="Arial"/>
        </w:rPr>
        <w:t>maintenance and renewals</w:t>
      </w:r>
      <w:r w:rsidR="00F52D4B">
        <w:rPr>
          <w:rFonts w:cs="Arial"/>
        </w:rPr>
        <w:t>.</w:t>
      </w:r>
      <w:r w:rsidRPr="005E28CF">
        <w:rPr>
          <w:rFonts w:cs="Arial"/>
        </w:rPr>
        <w:t xml:space="preserve"> </w:t>
      </w:r>
    </w:p>
    <w:p w14:paraId="43D4D6DA" w14:textId="77777777" w:rsidR="00F52D4B" w:rsidRDefault="00F52D4B" w:rsidP="005E28CF">
      <w:pPr>
        <w:jc w:val="both"/>
        <w:rPr>
          <w:rFonts w:cs="Arial"/>
        </w:rPr>
      </w:pPr>
    </w:p>
    <w:p w14:paraId="57433060" w14:textId="77777777" w:rsidR="00F52D4B" w:rsidRDefault="00F52D4B" w:rsidP="005E28CF">
      <w:pPr>
        <w:jc w:val="both"/>
        <w:rPr>
          <w:rFonts w:cs="Arial"/>
        </w:rPr>
      </w:pPr>
      <w:r w:rsidRPr="005E28CF">
        <w:rPr>
          <w:rFonts w:cs="Arial"/>
        </w:rPr>
        <w:t>Capital expenditure in the period was £17.1m</w:t>
      </w:r>
      <w:r w:rsidR="00034232">
        <w:rPr>
          <w:rFonts w:cs="Arial"/>
        </w:rPr>
        <w:t>.</w:t>
      </w:r>
      <w:r w:rsidR="002E5142">
        <w:rPr>
          <w:rFonts w:cs="Arial"/>
        </w:rPr>
        <w:t xml:space="preserve"> </w:t>
      </w:r>
      <w:r w:rsidR="00034232">
        <w:rPr>
          <w:rFonts w:cs="Arial"/>
        </w:rPr>
        <w:t>T</w:t>
      </w:r>
      <w:r w:rsidRPr="005E28CF">
        <w:rPr>
          <w:rFonts w:cs="Arial"/>
        </w:rPr>
        <w:t>he main additions</w:t>
      </w:r>
      <w:r>
        <w:rPr>
          <w:rFonts w:cs="Arial"/>
        </w:rPr>
        <w:t xml:space="preserve"> </w:t>
      </w:r>
      <w:r w:rsidR="00034232">
        <w:rPr>
          <w:rFonts w:cs="Arial"/>
        </w:rPr>
        <w:t xml:space="preserve">were </w:t>
      </w:r>
      <w:r w:rsidR="00AB0CE9">
        <w:rPr>
          <w:rFonts w:cs="Arial"/>
        </w:rPr>
        <w:t xml:space="preserve">20 new electric buses for </w:t>
      </w:r>
      <w:r w:rsidRPr="005E28CF">
        <w:rPr>
          <w:rFonts w:cs="Arial"/>
        </w:rPr>
        <w:t>Lothian Buses</w:t>
      </w:r>
      <w:r w:rsidR="00AB0CE9">
        <w:rPr>
          <w:rFonts w:cs="Arial"/>
        </w:rPr>
        <w:t xml:space="preserve">, </w:t>
      </w:r>
      <w:r w:rsidR="004246C0">
        <w:rPr>
          <w:rFonts w:cs="Arial"/>
        </w:rPr>
        <w:t xml:space="preserve">which </w:t>
      </w:r>
      <w:r w:rsidR="00AB0CE9">
        <w:rPr>
          <w:rFonts w:cs="Arial"/>
        </w:rPr>
        <w:t xml:space="preserve">together with </w:t>
      </w:r>
      <w:r w:rsidRPr="005E28CF">
        <w:rPr>
          <w:rFonts w:cs="Arial"/>
        </w:rPr>
        <w:t>expenditure on related electric vehicle charging infrastructure</w:t>
      </w:r>
      <w:r w:rsidR="00AB0CE9">
        <w:rPr>
          <w:rFonts w:cs="Arial"/>
        </w:rPr>
        <w:t>,</w:t>
      </w:r>
      <w:r w:rsidRPr="005E28CF">
        <w:rPr>
          <w:rFonts w:cs="Arial"/>
        </w:rPr>
        <w:t xml:space="preserve"> and further stage payments towards a new real time information system</w:t>
      </w:r>
      <w:r w:rsidR="00AB0CE9">
        <w:rPr>
          <w:rFonts w:cs="Arial"/>
        </w:rPr>
        <w:t>,</w:t>
      </w:r>
      <w:r w:rsidRPr="005E28CF">
        <w:rPr>
          <w:rFonts w:cs="Arial"/>
        </w:rPr>
        <w:t xml:space="preserve"> represent</w:t>
      </w:r>
      <w:r w:rsidR="004246C0">
        <w:rPr>
          <w:rFonts w:cs="Arial"/>
        </w:rPr>
        <w:t>s</w:t>
      </w:r>
      <w:r w:rsidRPr="005E28CF">
        <w:rPr>
          <w:rFonts w:cs="Arial"/>
        </w:rPr>
        <w:t xml:space="preserve"> continued</w:t>
      </w:r>
      <w:r w:rsidRPr="00F52D4B">
        <w:rPr>
          <w:rFonts w:cs="Arial"/>
        </w:rPr>
        <w:t xml:space="preserve"> </w:t>
      </w:r>
      <w:r w:rsidRPr="005E28CF">
        <w:rPr>
          <w:rFonts w:cs="Arial"/>
        </w:rPr>
        <w:t>investment</w:t>
      </w:r>
      <w:r w:rsidR="002E0727">
        <w:rPr>
          <w:rFonts w:cs="Arial"/>
        </w:rPr>
        <w:t xml:space="preserve"> towards</w:t>
      </w:r>
      <w:r w:rsidRPr="005E28CF">
        <w:rPr>
          <w:rFonts w:cs="Arial"/>
        </w:rPr>
        <w:t xml:space="preserve"> </w:t>
      </w:r>
      <w:r w:rsidR="004246C0">
        <w:rPr>
          <w:rFonts w:cs="Arial"/>
        </w:rPr>
        <w:t xml:space="preserve">the </w:t>
      </w:r>
      <w:r w:rsidRPr="005E28CF">
        <w:rPr>
          <w:rFonts w:cs="Arial"/>
        </w:rPr>
        <w:t xml:space="preserve">longer term </w:t>
      </w:r>
      <w:r w:rsidR="004246C0">
        <w:rPr>
          <w:rFonts w:cs="Arial"/>
        </w:rPr>
        <w:t xml:space="preserve">objective of </w:t>
      </w:r>
      <w:r w:rsidR="00947950">
        <w:rPr>
          <w:rFonts w:cs="Arial"/>
        </w:rPr>
        <w:t xml:space="preserve">decarbonising the </w:t>
      </w:r>
      <w:r w:rsidRPr="005E28CF">
        <w:rPr>
          <w:rFonts w:cs="Arial"/>
        </w:rPr>
        <w:t>business</w:t>
      </w:r>
      <w:r w:rsidR="00947950">
        <w:rPr>
          <w:rFonts w:cs="Arial"/>
        </w:rPr>
        <w:t>.</w:t>
      </w:r>
    </w:p>
    <w:p w14:paraId="47A3C225" w14:textId="77777777" w:rsidR="00F52D4B" w:rsidRDefault="00F52D4B" w:rsidP="005E28CF">
      <w:pPr>
        <w:jc w:val="both"/>
        <w:rPr>
          <w:rFonts w:cs="Arial"/>
        </w:rPr>
      </w:pPr>
    </w:p>
    <w:p w14:paraId="705BD52A" w14:textId="77777777" w:rsidR="00540AA5" w:rsidRDefault="00540AA5" w:rsidP="005E28CF">
      <w:pPr>
        <w:jc w:val="both"/>
        <w:rPr>
          <w:rFonts w:cs="Arial"/>
        </w:rPr>
      </w:pPr>
    </w:p>
    <w:p w14:paraId="0E0D904A" w14:textId="77777777" w:rsidR="002E0727" w:rsidRPr="007433B7" w:rsidRDefault="002E0727" w:rsidP="002E0727">
      <w:pPr>
        <w:jc w:val="center"/>
        <w:outlineLvl w:val="0"/>
        <w:rPr>
          <w:b/>
        </w:rPr>
      </w:pPr>
      <w:r>
        <w:rPr>
          <w:rFonts w:cs="Arial"/>
        </w:rPr>
        <w:br w:type="page"/>
      </w:r>
      <w:r w:rsidRPr="007433B7">
        <w:rPr>
          <w:b/>
        </w:rPr>
        <w:lastRenderedPageBreak/>
        <w:t>TRANSPORT FOR EDINBURGH LIMITED</w:t>
      </w:r>
    </w:p>
    <w:p w14:paraId="39652D3E" w14:textId="77777777" w:rsidR="002E0727" w:rsidRPr="007433B7" w:rsidRDefault="002E0727" w:rsidP="002E0727">
      <w:pPr>
        <w:rPr>
          <w:b/>
        </w:rPr>
      </w:pPr>
    </w:p>
    <w:p w14:paraId="79856C80" w14:textId="77777777" w:rsidR="002E0727" w:rsidRPr="007433B7" w:rsidRDefault="002E0727" w:rsidP="002E0727">
      <w:pPr>
        <w:jc w:val="center"/>
        <w:rPr>
          <w:b/>
        </w:rPr>
      </w:pPr>
      <w:r w:rsidRPr="007433B7">
        <w:rPr>
          <w:b/>
        </w:rPr>
        <w:t>Strategic Report (continued)</w:t>
      </w:r>
    </w:p>
    <w:p w14:paraId="0EA0678F" w14:textId="77777777" w:rsidR="002E0727" w:rsidRPr="007433B7" w:rsidRDefault="002E0727" w:rsidP="002E0727">
      <w:pPr>
        <w:jc w:val="center"/>
        <w:rPr>
          <w:b/>
        </w:rPr>
      </w:pPr>
    </w:p>
    <w:p w14:paraId="3AB19292" w14:textId="77777777" w:rsidR="002E0727" w:rsidRPr="007433B7" w:rsidRDefault="002E0727" w:rsidP="002E0727">
      <w:pPr>
        <w:jc w:val="center"/>
        <w:rPr>
          <w:b/>
        </w:rPr>
      </w:pPr>
      <w:r w:rsidRPr="007433B7">
        <w:rPr>
          <w:b/>
        </w:rPr>
        <w:t>For the period ended 28 December 2024</w:t>
      </w:r>
    </w:p>
    <w:p w14:paraId="4950B8AA" w14:textId="77777777" w:rsidR="005E28CF" w:rsidRDefault="005E28CF" w:rsidP="005E28CF">
      <w:pPr>
        <w:jc w:val="both"/>
        <w:rPr>
          <w:rFonts w:cs="Arial"/>
        </w:rPr>
      </w:pPr>
    </w:p>
    <w:p w14:paraId="38C9327E" w14:textId="77777777" w:rsidR="00947950" w:rsidRDefault="00947950" w:rsidP="005E28CF">
      <w:pPr>
        <w:jc w:val="both"/>
        <w:rPr>
          <w:rFonts w:cs="Arial"/>
        </w:rPr>
      </w:pPr>
    </w:p>
    <w:p w14:paraId="19A2D25C" w14:textId="77777777" w:rsidR="00947950" w:rsidRDefault="00947950" w:rsidP="0026566D">
      <w:pPr>
        <w:jc w:val="both"/>
        <w:rPr>
          <w:rFonts w:cs="Arial"/>
        </w:rPr>
      </w:pPr>
    </w:p>
    <w:tbl>
      <w:tblPr>
        <w:tblW w:w="10173" w:type="dxa"/>
        <w:tblLayout w:type="fixed"/>
        <w:tblLook w:val="01E0" w:firstRow="1" w:lastRow="1" w:firstColumn="1" w:lastColumn="1" w:noHBand="0" w:noVBand="0"/>
      </w:tblPr>
      <w:tblGrid>
        <w:gridCol w:w="7479"/>
        <w:gridCol w:w="1209"/>
        <w:gridCol w:w="236"/>
        <w:gridCol w:w="1249"/>
      </w:tblGrid>
      <w:tr w:rsidR="00A842D3" w:rsidRPr="007433B7" w14:paraId="608BF21E" w14:textId="77777777" w:rsidTr="001C1BB6">
        <w:trPr>
          <w:trHeight w:val="210"/>
        </w:trPr>
        <w:tc>
          <w:tcPr>
            <w:tcW w:w="7479" w:type="dxa"/>
          </w:tcPr>
          <w:p w14:paraId="166CCAF2" w14:textId="77777777" w:rsidR="00602D9D" w:rsidRDefault="00A842D3" w:rsidP="00B3683F">
            <w:pPr>
              <w:jc w:val="both"/>
              <w:rPr>
                <w:rFonts w:cs="Arial"/>
                <w:b/>
              </w:rPr>
            </w:pPr>
            <w:r w:rsidRPr="007433B7">
              <w:rPr>
                <w:rFonts w:cs="Arial"/>
                <w:b/>
              </w:rPr>
              <w:t>Results</w:t>
            </w:r>
          </w:p>
          <w:p w14:paraId="66B2703E" w14:textId="77777777" w:rsidR="0086386B" w:rsidRPr="0086386B" w:rsidRDefault="0086386B" w:rsidP="00B3683F">
            <w:pPr>
              <w:jc w:val="both"/>
              <w:rPr>
                <w:rFonts w:cs="Arial"/>
                <w:bCs/>
              </w:rPr>
            </w:pPr>
            <w:r w:rsidRPr="0086386B">
              <w:rPr>
                <w:rFonts w:cs="Arial"/>
                <w:bCs/>
              </w:rPr>
              <w:t>The group results for the period are summarised below</w:t>
            </w:r>
            <w:r>
              <w:rPr>
                <w:rFonts w:cs="Arial"/>
                <w:bCs/>
              </w:rPr>
              <w:t>:</w:t>
            </w:r>
          </w:p>
        </w:tc>
        <w:tc>
          <w:tcPr>
            <w:tcW w:w="1209" w:type="dxa"/>
          </w:tcPr>
          <w:p w14:paraId="6688DB8E" w14:textId="77777777" w:rsidR="0086386B" w:rsidRDefault="0086386B" w:rsidP="00B3683F">
            <w:pPr>
              <w:jc w:val="right"/>
              <w:rPr>
                <w:rFonts w:cs="Arial"/>
                <w:b/>
              </w:rPr>
            </w:pPr>
          </w:p>
          <w:p w14:paraId="2B5BB90B" w14:textId="77777777" w:rsidR="00A842D3" w:rsidRPr="007433B7" w:rsidRDefault="00A842D3" w:rsidP="00B3683F">
            <w:pPr>
              <w:jc w:val="right"/>
              <w:rPr>
                <w:rFonts w:cs="Arial"/>
                <w:b/>
              </w:rPr>
            </w:pPr>
            <w:r w:rsidRPr="007433B7">
              <w:rPr>
                <w:rFonts w:cs="Arial"/>
                <w:b/>
              </w:rPr>
              <w:t>2024</w:t>
            </w:r>
          </w:p>
        </w:tc>
        <w:tc>
          <w:tcPr>
            <w:tcW w:w="236" w:type="dxa"/>
          </w:tcPr>
          <w:p w14:paraId="78D6A865" w14:textId="77777777" w:rsidR="00A842D3" w:rsidRPr="007433B7" w:rsidRDefault="00A842D3" w:rsidP="00B3683F">
            <w:pPr>
              <w:jc w:val="right"/>
              <w:rPr>
                <w:rFonts w:cs="Arial"/>
                <w:b/>
              </w:rPr>
            </w:pPr>
          </w:p>
        </w:tc>
        <w:tc>
          <w:tcPr>
            <w:tcW w:w="1249" w:type="dxa"/>
          </w:tcPr>
          <w:p w14:paraId="5E071CE1" w14:textId="77777777" w:rsidR="0086386B" w:rsidRDefault="0086386B" w:rsidP="00B3683F">
            <w:pPr>
              <w:jc w:val="right"/>
              <w:rPr>
                <w:rFonts w:cs="Arial"/>
                <w:b/>
              </w:rPr>
            </w:pPr>
          </w:p>
          <w:p w14:paraId="51EBDD0C" w14:textId="77777777" w:rsidR="00A842D3" w:rsidRPr="007433B7" w:rsidRDefault="00A842D3" w:rsidP="00B3683F">
            <w:pPr>
              <w:jc w:val="right"/>
              <w:rPr>
                <w:rFonts w:cs="Arial"/>
                <w:b/>
              </w:rPr>
            </w:pPr>
            <w:r w:rsidRPr="007433B7">
              <w:rPr>
                <w:rFonts w:cs="Arial"/>
                <w:b/>
              </w:rPr>
              <w:t>2023</w:t>
            </w:r>
          </w:p>
        </w:tc>
      </w:tr>
      <w:tr w:rsidR="00A842D3" w:rsidRPr="007433B7" w14:paraId="11D00C93" w14:textId="77777777" w:rsidTr="001C1BB6">
        <w:trPr>
          <w:trHeight w:val="210"/>
        </w:trPr>
        <w:tc>
          <w:tcPr>
            <w:tcW w:w="7479" w:type="dxa"/>
          </w:tcPr>
          <w:p w14:paraId="73D46427" w14:textId="77777777" w:rsidR="00947950" w:rsidRPr="007433B7" w:rsidRDefault="00947950" w:rsidP="00B3683F">
            <w:pPr>
              <w:jc w:val="both"/>
              <w:rPr>
                <w:rFonts w:cs="Arial"/>
              </w:rPr>
            </w:pPr>
          </w:p>
        </w:tc>
        <w:tc>
          <w:tcPr>
            <w:tcW w:w="1209" w:type="dxa"/>
          </w:tcPr>
          <w:p w14:paraId="361324A7" w14:textId="77777777" w:rsidR="00A842D3" w:rsidRPr="007433B7" w:rsidRDefault="00A842D3" w:rsidP="00B3683F">
            <w:pPr>
              <w:jc w:val="right"/>
              <w:rPr>
                <w:rFonts w:cs="Arial"/>
                <w:b/>
              </w:rPr>
            </w:pPr>
            <w:r w:rsidRPr="007433B7">
              <w:rPr>
                <w:rFonts w:cs="Arial"/>
                <w:b/>
              </w:rPr>
              <w:t>£’000</w:t>
            </w:r>
          </w:p>
        </w:tc>
        <w:tc>
          <w:tcPr>
            <w:tcW w:w="236" w:type="dxa"/>
          </w:tcPr>
          <w:p w14:paraId="1771F782" w14:textId="77777777" w:rsidR="00A842D3" w:rsidRPr="007433B7" w:rsidRDefault="00A842D3" w:rsidP="00B3683F">
            <w:pPr>
              <w:jc w:val="right"/>
              <w:rPr>
                <w:rFonts w:cs="Arial"/>
                <w:b/>
              </w:rPr>
            </w:pPr>
          </w:p>
        </w:tc>
        <w:tc>
          <w:tcPr>
            <w:tcW w:w="1249" w:type="dxa"/>
          </w:tcPr>
          <w:p w14:paraId="0A30EBBB" w14:textId="77777777" w:rsidR="00A842D3" w:rsidRPr="007433B7" w:rsidRDefault="00A842D3" w:rsidP="00B3683F">
            <w:pPr>
              <w:jc w:val="right"/>
              <w:rPr>
                <w:rFonts w:cs="Arial"/>
                <w:b/>
              </w:rPr>
            </w:pPr>
            <w:r w:rsidRPr="007433B7">
              <w:rPr>
                <w:rFonts w:cs="Arial"/>
                <w:b/>
              </w:rPr>
              <w:t>£’000</w:t>
            </w:r>
          </w:p>
        </w:tc>
      </w:tr>
      <w:tr w:rsidR="00A842D3" w:rsidRPr="007433B7" w14:paraId="2C76C8E3" w14:textId="77777777" w:rsidTr="001C1BB6">
        <w:trPr>
          <w:trHeight w:val="210"/>
        </w:trPr>
        <w:tc>
          <w:tcPr>
            <w:tcW w:w="7479" w:type="dxa"/>
          </w:tcPr>
          <w:p w14:paraId="757F1A3F" w14:textId="77777777" w:rsidR="00A842D3" w:rsidRPr="007433B7" w:rsidRDefault="00A842D3" w:rsidP="00B3683F">
            <w:pPr>
              <w:jc w:val="both"/>
              <w:rPr>
                <w:rFonts w:cs="Arial"/>
              </w:rPr>
            </w:pPr>
          </w:p>
        </w:tc>
        <w:tc>
          <w:tcPr>
            <w:tcW w:w="1209" w:type="dxa"/>
          </w:tcPr>
          <w:p w14:paraId="281EE198" w14:textId="77777777" w:rsidR="00A842D3" w:rsidRPr="007433B7" w:rsidRDefault="00A842D3" w:rsidP="00B3683F">
            <w:pPr>
              <w:jc w:val="right"/>
              <w:rPr>
                <w:rFonts w:cs="Arial"/>
                <w:b/>
              </w:rPr>
            </w:pPr>
          </w:p>
        </w:tc>
        <w:tc>
          <w:tcPr>
            <w:tcW w:w="236" w:type="dxa"/>
          </w:tcPr>
          <w:p w14:paraId="43C13DB0" w14:textId="77777777" w:rsidR="00A842D3" w:rsidRPr="007433B7" w:rsidRDefault="00A842D3" w:rsidP="00B3683F">
            <w:pPr>
              <w:jc w:val="right"/>
              <w:rPr>
                <w:rFonts w:cs="Arial"/>
                <w:b/>
              </w:rPr>
            </w:pPr>
          </w:p>
        </w:tc>
        <w:tc>
          <w:tcPr>
            <w:tcW w:w="1249" w:type="dxa"/>
          </w:tcPr>
          <w:p w14:paraId="67686EFD" w14:textId="77777777" w:rsidR="00A842D3" w:rsidRPr="007433B7" w:rsidRDefault="00A842D3" w:rsidP="00B3683F">
            <w:pPr>
              <w:jc w:val="right"/>
              <w:rPr>
                <w:rFonts w:cs="Arial"/>
                <w:b/>
              </w:rPr>
            </w:pPr>
          </w:p>
        </w:tc>
      </w:tr>
      <w:tr w:rsidR="00A842D3" w:rsidRPr="007433B7" w14:paraId="58DFB6DB" w14:textId="77777777" w:rsidTr="001C1BB6">
        <w:trPr>
          <w:trHeight w:val="340"/>
        </w:trPr>
        <w:tc>
          <w:tcPr>
            <w:tcW w:w="7479" w:type="dxa"/>
          </w:tcPr>
          <w:p w14:paraId="6405724C" w14:textId="77777777" w:rsidR="00A842D3" w:rsidRPr="007433B7" w:rsidRDefault="00A842D3" w:rsidP="00B3683F">
            <w:pPr>
              <w:jc w:val="both"/>
              <w:rPr>
                <w:rFonts w:cs="Arial"/>
              </w:rPr>
            </w:pPr>
            <w:r w:rsidRPr="007433B7">
              <w:rPr>
                <w:rFonts w:cs="Arial"/>
              </w:rPr>
              <w:t>Revenue</w:t>
            </w:r>
          </w:p>
        </w:tc>
        <w:tc>
          <w:tcPr>
            <w:tcW w:w="1209" w:type="dxa"/>
            <w:tcBorders>
              <w:bottom w:val="single" w:sz="4" w:space="0" w:color="auto"/>
            </w:tcBorders>
          </w:tcPr>
          <w:p w14:paraId="3FFEB28A" w14:textId="77777777" w:rsidR="00A842D3" w:rsidRPr="007433B7" w:rsidRDefault="00A842D3" w:rsidP="00B3683F">
            <w:pPr>
              <w:jc w:val="right"/>
              <w:rPr>
                <w:rFonts w:cs="Arial"/>
              </w:rPr>
            </w:pPr>
            <w:r w:rsidRPr="007433B7">
              <w:rPr>
                <w:rFonts w:cs="Arial"/>
              </w:rPr>
              <w:t>226,686</w:t>
            </w:r>
          </w:p>
        </w:tc>
        <w:tc>
          <w:tcPr>
            <w:tcW w:w="236" w:type="dxa"/>
          </w:tcPr>
          <w:p w14:paraId="29142550" w14:textId="77777777" w:rsidR="00A842D3" w:rsidRPr="007433B7" w:rsidRDefault="00A842D3" w:rsidP="00B3683F">
            <w:pPr>
              <w:jc w:val="right"/>
              <w:rPr>
                <w:rFonts w:cs="Arial"/>
              </w:rPr>
            </w:pPr>
          </w:p>
        </w:tc>
        <w:tc>
          <w:tcPr>
            <w:tcW w:w="1249" w:type="dxa"/>
            <w:tcBorders>
              <w:bottom w:val="single" w:sz="4" w:space="0" w:color="auto"/>
            </w:tcBorders>
          </w:tcPr>
          <w:p w14:paraId="04E824FD" w14:textId="77777777" w:rsidR="00A842D3" w:rsidRPr="007433B7" w:rsidRDefault="00A842D3" w:rsidP="00B3683F">
            <w:pPr>
              <w:jc w:val="right"/>
              <w:rPr>
                <w:rFonts w:cs="Arial"/>
              </w:rPr>
            </w:pPr>
            <w:r w:rsidRPr="007433B7">
              <w:rPr>
                <w:rFonts w:cs="Arial"/>
              </w:rPr>
              <w:t>207,339</w:t>
            </w:r>
          </w:p>
        </w:tc>
      </w:tr>
      <w:tr w:rsidR="00A842D3" w:rsidRPr="007433B7" w14:paraId="442DD5B3" w14:textId="77777777" w:rsidTr="001C1BB6">
        <w:trPr>
          <w:trHeight w:val="210"/>
        </w:trPr>
        <w:tc>
          <w:tcPr>
            <w:tcW w:w="7479" w:type="dxa"/>
          </w:tcPr>
          <w:p w14:paraId="1976CB33" w14:textId="77777777" w:rsidR="00A842D3" w:rsidRPr="007433B7" w:rsidRDefault="00A842D3" w:rsidP="00B3683F">
            <w:pPr>
              <w:jc w:val="both"/>
              <w:rPr>
                <w:rFonts w:cs="Arial"/>
              </w:rPr>
            </w:pPr>
          </w:p>
        </w:tc>
        <w:tc>
          <w:tcPr>
            <w:tcW w:w="1209" w:type="dxa"/>
            <w:tcBorders>
              <w:top w:val="single" w:sz="4" w:space="0" w:color="auto"/>
            </w:tcBorders>
          </w:tcPr>
          <w:p w14:paraId="7D5E1C9F" w14:textId="77777777" w:rsidR="00A842D3" w:rsidRPr="007433B7" w:rsidRDefault="00A842D3" w:rsidP="00B3683F">
            <w:pPr>
              <w:jc w:val="right"/>
              <w:rPr>
                <w:rFonts w:cs="Arial"/>
              </w:rPr>
            </w:pPr>
          </w:p>
        </w:tc>
        <w:tc>
          <w:tcPr>
            <w:tcW w:w="236" w:type="dxa"/>
          </w:tcPr>
          <w:p w14:paraId="1E7CE957" w14:textId="77777777" w:rsidR="00A842D3" w:rsidRPr="007433B7" w:rsidRDefault="00A842D3" w:rsidP="00B3683F">
            <w:pPr>
              <w:jc w:val="right"/>
              <w:rPr>
                <w:rFonts w:cs="Arial"/>
              </w:rPr>
            </w:pPr>
          </w:p>
        </w:tc>
        <w:tc>
          <w:tcPr>
            <w:tcW w:w="1249" w:type="dxa"/>
            <w:tcBorders>
              <w:top w:val="single" w:sz="4" w:space="0" w:color="auto"/>
            </w:tcBorders>
          </w:tcPr>
          <w:p w14:paraId="39105F89" w14:textId="77777777" w:rsidR="00A842D3" w:rsidRPr="007433B7" w:rsidRDefault="00A842D3" w:rsidP="00B3683F">
            <w:pPr>
              <w:jc w:val="right"/>
              <w:rPr>
                <w:rFonts w:cs="Arial"/>
              </w:rPr>
            </w:pPr>
          </w:p>
        </w:tc>
      </w:tr>
      <w:tr w:rsidR="00A842D3" w:rsidRPr="007433B7" w14:paraId="6645270B" w14:textId="77777777" w:rsidTr="00044A4C">
        <w:trPr>
          <w:trHeight w:val="210"/>
        </w:trPr>
        <w:tc>
          <w:tcPr>
            <w:tcW w:w="7479" w:type="dxa"/>
          </w:tcPr>
          <w:p w14:paraId="2D6C0015" w14:textId="77777777" w:rsidR="00A842D3" w:rsidRPr="007433B7" w:rsidRDefault="00A842D3" w:rsidP="00B3683F">
            <w:pPr>
              <w:jc w:val="both"/>
              <w:rPr>
                <w:rFonts w:cs="Arial"/>
              </w:rPr>
            </w:pPr>
            <w:r w:rsidRPr="007433B7">
              <w:rPr>
                <w:rFonts w:cs="Arial"/>
              </w:rPr>
              <w:t>(Loss)/profit before income tax expense</w:t>
            </w:r>
          </w:p>
        </w:tc>
        <w:tc>
          <w:tcPr>
            <w:tcW w:w="1209" w:type="dxa"/>
          </w:tcPr>
          <w:p w14:paraId="234BE71E" w14:textId="77777777" w:rsidR="00A842D3" w:rsidRPr="007433B7" w:rsidRDefault="00A842D3" w:rsidP="00B3683F">
            <w:pPr>
              <w:jc w:val="right"/>
              <w:rPr>
                <w:rFonts w:cs="Arial"/>
              </w:rPr>
            </w:pPr>
            <w:r w:rsidRPr="007433B7">
              <w:rPr>
                <w:rFonts w:cs="Arial"/>
              </w:rPr>
              <w:t>(4,440)</w:t>
            </w:r>
          </w:p>
        </w:tc>
        <w:tc>
          <w:tcPr>
            <w:tcW w:w="236" w:type="dxa"/>
          </w:tcPr>
          <w:p w14:paraId="31EE3A4C" w14:textId="77777777" w:rsidR="00A842D3" w:rsidRPr="007433B7" w:rsidRDefault="00A842D3" w:rsidP="00B3683F">
            <w:pPr>
              <w:jc w:val="right"/>
              <w:rPr>
                <w:rFonts w:cs="Arial"/>
              </w:rPr>
            </w:pPr>
          </w:p>
        </w:tc>
        <w:tc>
          <w:tcPr>
            <w:tcW w:w="1249" w:type="dxa"/>
          </w:tcPr>
          <w:p w14:paraId="1B3F4BA1" w14:textId="77777777" w:rsidR="00A842D3" w:rsidRPr="007433B7" w:rsidRDefault="00A842D3" w:rsidP="00B3683F">
            <w:pPr>
              <w:jc w:val="right"/>
              <w:rPr>
                <w:rFonts w:cs="Arial"/>
              </w:rPr>
            </w:pPr>
            <w:r w:rsidRPr="007433B7">
              <w:rPr>
                <w:rFonts w:cs="Arial"/>
              </w:rPr>
              <w:t>4,739</w:t>
            </w:r>
          </w:p>
        </w:tc>
      </w:tr>
      <w:tr w:rsidR="00A842D3" w:rsidRPr="007433B7" w14:paraId="2B2BF2AD" w14:textId="77777777" w:rsidTr="00044A4C">
        <w:trPr>
          <w:trHeight w:val="340"/>
        </w:trPr>
        <w:tc>
          <w:tcPr>
            <w:tcW w:w="7479" w:type="dxa"/>
          </w:tcPr>
          <w:p w14:paraId="05F7BCBF" w14:textId="77777777" w:rsidR="00A842D3" w:rsidRPr="007433B7" w:rsidRDefault="00A842D3" w:rsidP="00B3683F">
            <w:pPr>
              <w:jc w:val="both"/>
              <w:rPr>
                <w:rFonts w:cs="Arial"/>
              </w:rPr>
            </w:pPr>
            <w:r w:rsidRPr="007433B7">
              <w:rPr>
                <w:rFonts w:cs="Arial"/>
              </w:rPr>
              <w:t xml:space="preserve">Income tax </w:t>
            </w:r>
          </w:p>
        </w:tc>
        <w:tc>
          <w:tcPr>
            <w:tcW w:w="1209" w:type="dxa"/>
            <w:tcBorders>
              <w:bottom w:val="single" w:sz="4" w:space="0" w:color="auto"/>
            </w:tcBorders>
          </w:tcPr>
          <w:p w14:paraId="0C10A682" w14:textId="77777777" w:rsidR="00A842D3" w:rsidRPr="007433B7" w:rsidRDefault="00A842D3" w:rsidP="00B3683F">
            <w:pPr>
              <w:jc w:val="right"/>
              <w:rPr>
                <w:rFonts w:cs="Arial"/>
              </w:rPr>
            </w:pPr>
            <w:r w:rsidRPr="007433B7">
              <w:rPr>
                <w:rFonts w:cs="Arial"/>
              </w:rPr>
              <w:t>(2,081)</w:t>
            </w:r>
          </w:p>
        </w:tc>
        <w:tc>
          <w:tcPr>
            <w:tcW w:w="236" w:type="dxa"/>
          </w:tcPr>
          <w:p w14:paraId="75D088C3" w14:textId="77777777" w:rsidR="00A842D3" w:rsidRPr="007433B7" w:rsidRDefault="00A842D3" w:rsidP="00B3683F">
            <w:pPr>
              <w:jc w:val="right"/>
              <w:rPr>
                <w:rFonts w:cs="Arial"/>
              </w:rPr>
            </w:pPr>
          </w:p>
        </w:tc>
        <w:tc>
          <w:tcPr>
            <w:tcW w:w="1249" w:type="dxa"/>
            <w:tcBorders>
              <w:bottom w:val="single" w:sz="4" w:space="0" w:color="auto"/>
            </w:tcBorders>
          </w:tcPr>
          <w:p w14:paraId="5C1BA23D" w14:textId="77777777" w:rsidR="00A842D3" w:rsidRPr="007433B7" w:rsidRDefault="00A842D3" w:rsidP="00B3683F">
            <w:pPr>
              <w:jc w:val="right"/>
              <w:rPr>
                <w:rFonts w:cs="Arial"/>
              </w:rPr>
            </w:pPr>
            <w:r w:rsidRPr="007433B7">
              <w:rPr>
                <w:rFonts w:cs="Arial"/>
              </w:rPr>
              <w:t>(617)</w:t>
            </w:r>
          </w:p>
        </w:tc>
      </w:tr>
      <w:tr w:rsidR="00A842D3" w:rsidRPr="007433B7" w14:paraId="05C7F7B4" w14:textId="77777777" w:rsidTr="00D33FBF">
        <w:trPr>
          <w:trHeight w:val="210"/>
        </w:trPr>
        <w:tc>
          <w:tcPr>
            <w:tcW w:w="7479" w:type="dxa"/>
          </w:tcPr>
          <w:p w14:paraId="50099BA2" w14:textId="77777777" w:rsidR="00A842D3" w:rsidRPr="007433B7" w:rsidRDefault="00A842D3" w:rsidP="00B3683F">
            <w:pPr>
              <w:jc w:val="both"/>
              <w:rPr>
                <w:rFonts w:cs="Arial"/>
              </w:rPr>
            </w:pPr>
          </w:p>
        </w:tc>
        <w:tc>
          <w:tcPr>
            <w:tcW w:w="1209" w:type="dxa"/>
            <w:tcBorders>
              <w:top w:val="single" w:sz="4" w:space="0" w:color="auto"/>
            </w:tcBorders>
          </w:tcPr>
          <w:p w14:paraId="1BA465F4" w14:textId="77777777" w:rsidR="00A842D3" w:rsidRPr="007433B7" w:rsidRDefault="00A842D3" w:rsidP="00B3683F">
            <w:pPr>
              <w:jc w:val="right"/>
              <w:rPr>
                <w:rFonts w:cs="Arial"/>
              </w:rPr>
            </w:pPr>
          </w:p>
        </w:tc>
        <w:tc>
          <w:tcPr>
            <w:tcW w:w="236" w:type="dxa"/>
          </w:tcPr>
          <w:p w14:paraId="0CE7FBCA" w14:textId="77777777" w:rsidR="00A842D3" w:rsidRPr="007433B7" w:rsidRDefault="00A842D3" w:rsidP="00B3683F">
            <w:pPr>
              <w:jc w:val="right"/>
              <w:rPr>
                <w:rFonts w:cs="Arial"/>
              </w:rPr>
            </w:pPr>
          </w:p>
        </w:tc>
        <w:tc>
          <w:tcPr>
            <w:tcW w:w="1249" w:type="dxa"/>
            <w:tcBorders>
              <w:top w:val="single" w:sz="4" w:space="0" w:color="auto"/>
            </w:tcBorders>
          </w:tcPr>
          <w:p w14:paraId="3AB32610" w14:textId="77777777" w:rsidR="00A842D3" w:rsidRPr="007433B7" w:rsidRDefault="00A842D3" w:rsidP="00B3683F">
            <w:pPr>
              <w:jc w:val="right"/>
              <w:rPr>
                <w:rFonts w:cs="Arial"/>
              </w:rPr>
            </w:pPr>
          </w:p>
        </w:tc>
      </w:tr>
      <w:tr w:rsidR="00A842D3" w:rsidRPr="007433B7" w14:paraId="730EA905" w14:textId="77777777" w:rsidTr="00D33FBF">
        <w:trPr>
          <w:trHeight w:val="340"/>
        </w:trPr>
        <w:tc>
          <w:tcPr>
            <w:tcW w:w="7479" w:type="dxa"/>
          </w:tcPr>
          <w:p w14:paraId="6376573B" w14:textId="77777777" w:rsidR="00A842D3" w:rsidRPr="007433B7" w:rsidRDefault="00A842D3" w:rsidP="00B3683F">
            <w:pPr>
              <w:jc w:val="both"/>
              <w:rPr>
                <w:rFonts w:cs="Arial"/>
              </w:rPr>
            </w:pPr>
            <w:r w:rsidRPr="007433B7">
              <w:rPr>
                <w:rFonts w:cs="Arial"/>
              </w:rPr>
              <w:t>Net (loss)/profit for the period</w:t>
            </w:r>
          </w:p>
        </w:tc>
        <w:tc>
          <w:tcPr>
            <w:tcW w:w="1209" w:type="dxa"/>
            <w:tcBorders>
              <w:bottom w:val="double" w:sz="4" w:space="0" w:color="auto"/>
            </w:tcBorders>
          </w:tcPr>
          <w:p w14:paraId="4DFD5E08" w14:textId="77777777" w:rsidR="00A842D3" w:rsidRPr="007433B7" w:rsidRDefault="00A842D3" w:rsidP="00B3683F">
            <w:pPr>
              <w:jc w:val="right"/>
              <w:rPr>
                <w:rFonts w:cs="Arial"/>
              </w:rPr>
            </w:pPr>
            <w:r w:rsidRPr="007433B7">
              <w:rPr>
                <w:rFonts w:cs="Arial"/>
              </w:rPr>
              <w:t>(6,521)</w:t>
            </w:r>
          </w:p>
        </w:tc>
        <w:tc>
          <w:tcPr>
            <w:tcW w:w="236" w:type="dxa"/>
          </w:tcPr>
          <w:p w14:paraId="0C0D2C74" w14:textId="77777777" w:rsidR="00A842D3" w:rsidRPr="007433B7" w:rsidRDefault="00A842D3" w:rsidP="00B3683F">
            <w:pPr>
              <w:jc w:val="right"/>
              <w:rPr>
                <w:rFonts w:cs="Arial"/>
              </w:rPr>
            </w:pPr>
          </w:p>
        </w:tc>
        <w:tc>
          <w:tcPr>
            <w:tcW w:w="1249" w:type="dxa"/>
            <w:tcBorders>
              <w:bottom w:val="double" w:sz="4" w:space="0" w:color="auto"/>
            </w:tcBorders>
          </w:tcPr>
          <w:p w14:paraId="706F25EB" w14:textId="77777777" w:rsidR="00A842D3" w:rsidRPr="007433B7" w:rsidRDefault="00A842D3" w:rsidP="00B3683F">
            <w:pPr>
              <w:jc w:val="right"/>
              <w:rPr>
                <w:rFonts w:cs="Arial"/>
              </w:rPr>
            </w:pPr>
            <w:r w:rsidRPr="007433B7">
              <w:rPr>
                <w:rFonts w:cs="Arial"/>
              </w:rPr>
              <w:t>4,122</w:t>
            </w:r>
          </w:p>
        </w:tc>
      </w:tr>
      <w:tr w:rsidR="00A842D3" w:rsidRPr="007433B7" w14:paraId="48F6B21B" w14:textId="77777777" w:rsidTr="00D33FBF">
        <w:trPr>
          <w:trHeight w:val="210"/>
        </w:trPr>
        <w:tc>
          <w:tcPr>
            <w:tcW w:w="7479" w:type="dxa"/>
          </w:tcPr>
          <w:p w14:paraId="14772060" w14:textId="77777777" w:rsidR="00A842D3" w:rsidRPr="007433B7" w:rsidRDefault="00A842D3" w:rsidP="00B3683F">
            <w:pPr>
              <w:jc w:val="both"/>
              <w:rPr>
                <w:rFonts w:cs="Arial"/>
              </w:rPr>
            </w:pPr>
          </w:p>
        </w:tc>
        <w:tc>
          <w:tcPr>
            <w:tcW w:w="1209" w:type="dxa"/>
            <w:tcBorders>
              <w:top w:val="double" w:sz="4" w:space="0" w:color="auto"/>
            </w:tcBorders>
          </w:tcPr>
          <w:p w14:paraId="3921CA95" w14:textId="77777777" w:rsidR="00A842D3" w:rsidRPr="007433B7" w:rsidRDefault="00A842D3" w:rsidP="00B3683F">
            <w:pPr>
              <w:jc w:val="right"/>
              <w:rPr>
                <w:rFonts w:cs="Arial"/>
              </w:rPr>
            </w:pPr>
          </w:p>
        </w:tc>
        <w:tc>
          <w:tcPr>
            <w:tcW w:w="236" w:type="dxa"/>
          </w:tcPr>
          <w:p w14:paraId="60658973" w14:textId="77777777" w:rsidR="00A842D3" w:rsidRPr="007433B7" w:rsidRDefault="00A842D3" w:rsidP="00B3683F">
            <w:pPr>
              <w:jc w:val="right"/>
              <w:rPr>
                <w:rFonts w:cs="Arial"/>
              </w:rPr>
            </w:pPr>
          </w:p>
        </w:tc>
        <w:tc>
          <w:tcPr>
            <w:tcW w:w="1249" w:type="dxa"/>
            <w:tcBorders>
              <w:top w:val="double" w:sz="4" w:space="0" w:color="auto"/>
            </w:tcBorders>
          </w:tcPr>
          <w:p w14:paraId="3256DA05" w14:textId="77777777" w:rsidR="00A842D3" w:rsidRPr="007433B7" w:rsidRDefault="00A842D3" w:rsidP="00B3683F">
            <w:pPr>
              <w:jc w:val="right"/>
              <w:rPr>
                <w:rFonts w:cs="Arial"/>
              </w:rPr>
            </w:pPr>
          </w:p>
        </w:tc>
      </w:tr>
      <w:tr w:rsidR="00A842D3" w:rsidRPr="007433B7" w14:paraId="4B5EC070" w14:textId="77777777" w:rsidTr="001C1BB6">
        <w:trPr>
          <w:trHeight w:val="210"/>
        </w:trPr>
        <w:tc>
          <w:tcPr>
            <w:tcW w:w="7479" w:type="dxa"/>
          </w:tcPr>
          <w:p w14:paraId="3B1B89CE" w14:textId="77777777" w:rsidR="00A842D3" w:rsidRPr="007433B7" w:rsidRDefault="00A842D3" w:rsidP="00B3683F">
            <w:pPr>
              <w:jc w:val="both"/>
              <w:rPr>
                <w:rFonts w:cs="Arial"/>
              </w:rPr>
            </w:pPr>
            <w:r w:rsidRPr="007433B7">
              <w:rPr>
                <w:rFonts w:cs="Arial"/>
              </w:rPr>
              <w:t>Attributable to:</w:t>
            </w:r>
          </w:p>
        </w:tc>
        <w:tc>
          <w:tcPr>
            <w:tcW w:w="1209" w:type="dxa"/>
          </w:tcPr>
          <w:p w14:paraId="2A826F11" w14:textId="77777777" w:rsidR="00A842D3" w:rsidRPr="007433B7" w:rsidRDefault="00A842D3" w:rsidP="00B3683F">
            <w:pPr>
              <w:jc w:val="right"/>
              <w:rPr>
                <w:rFonts w:cs="Arial"/>
              </w:rPr>
            </w:pPr>
          </w:p>
        </w:tc>
        <w:tc>
          <w:tcPr>
            <w:tcW w:w="236" w:type="dxa"/>
          </w:tcPr>
          <w:p w14:paraId="68EBA0BC" w14:textId="77777777" w:rsidR="00A842D3" w:rsidRPr="007433B7" w:rsidRDefault="00A842D3" w:rsidP="00B3683F">
            <w:pPr>
              <w:jc w:val="right"/>
              <w:rPr>
                <w:rFonts w:cs="Arial"/>
              </w:rPr>
            </w:pPr>
          </w:p>
        </w:tc>
        <w:tc>
          <w:tcPr>
            <w:tcW w:w="1249" w:type="dxa"/>
          </w:tcPr>
          <w:p w14:paraId="32824A07" w14:textId="77777777" w:rsidR="00A842D3" w:rsidRPr="007433B7" w:rsidRDefault="00A842D3" w:rsidP="00B3683F">
            <w:pPr>
              <w:jc w:val="right"/>
              <w:rPr>
                <w:rFonts w:cs="Arial"/>
              </w:rPr>
            </w:pPr>
          </w:p>
        </w:tc>
      </w:tr>
      <w:tr w:rsidR="00A842D3" w:rsidRPr="007433B7" w14:paraId="5987BBA6" w14:textId="77777777" w:rsidTr="00CD2B5C">
        <w:trPr>
          <w:trHeight w:val="210"/>
        </w:trPr>
        <w:tc>
          <w:tcPr>
            <w:tcW w:w="7479" w:type="dxa"/>
          </w:tcPr>
          <w:p w14:paraId="0D0976FC" w14:textId="77777777" w:rsidR="00A842D3" w:rsidRPr="007433B7" w:rsidRDefault="00A842D3" w:rsidP="00B3683F">
            <w:pPr>
              <w:jc w:val="both"/>
              <w:rPr>
                <w:rFonts w:cs="Arial"/>
              </w:rPr>
            </w:pPr>
            <w:r w:rsidRPr="007433B7">
              <w:rPr>
                <w:rFonts w:cs="Arial"/>
              </w:rPr>
              <w:t>Equity holders</w:t>
            </w:r>
          </w:p>
        </w:tc>
        <w:tc>
          <w:tcPr>
            <w:tcW w:w="1209" w:type="dxa"/>
          </w:tcPr>
          <w:p w14:paraId="3F266369" w14:textId="77777777" w:rsidR="00A842D3" w:rsidRPr="007433B7" w:rsidRDefault="00A842D3" w:rsidP="00B3683F">
            <w:pPr>
              <w:jc w:val="right"/>
              <w:rPr>
                <w:rFonts w:cs="Arial"/>
              </w:rPr>
            </w:pPr>
            <w:r w:rsidRPr="007433B7">
              <w:rPr>
                <w:rFonts w:cs="Arial"/>
              </w:rPr>
              <w:t>(6,818)</w:t>
            </w:r>
          </w:p>
        </w:tc>
        <w:tc>
          <w:tcPr>
            <w:tcW w:w="236" w:type="dxa"/>
          </w:tcPr>
          <w:p w14:paraId="3EC08005" w14:textId="77777777" w:rsidR="00A842D3" w:rsidRPr="007433B7" w:rsidRDefault="00A842D3" w:rsidP="00B3683F">
            <w:pPr>
              <w:jc w:val="right"/>
              <w:rPr>
                <w:rFonts w:cs="Arial"/>
              </w:rPr>
            </w:pPr>
          </w:p>
        </w:tc>
        <w:tc>
          <w:tcPr>
            <w:tcW w:w="1249" w:type="dxa"/>
          </w:tcPr>
          <w:p w14:paraId="79FC2797" w14:textId="77777777" w:rsidR="00A842D3" w:rsidRPr="007433B7" w:rsidRDefault="00A842D3" w:rsidP="00B3683F">
            <w:pPr>
              <w:jc w:val="right"/>
              <w:rPr>
                <w:rFonts w:cs="Arial"/>
              </w:rPr>
            </w:pPr>
            <w:r w:rsidRPr="007433B7">
              <w:rPr>
                <w:rFonts w:cs="Arial"/>
              </w:rPr>
              <w:t>2,811</w:t>
            </w:r>
          </w:p>
        </w:tc>
      </w:tr>
      <w:tr w:rsidR="00A842D3" w:rsidRPr="007433B7" w14:paraId="0BA5A662" w14:textId="77777777" w:rsidTr="000E64AD">
        <w:trPr>
          <w:trHeight w:val="340"/>
        </w:trPr>
        <w:tc>
          <w:tcPr>
            <w:tcW w:w="7479" w:type="dxa"/>
          </w:tcPr>
          <w:p w14:paraId="4736A971" w14:textId="77777777" w:rsidR="00A842D3" w:rsidRPr="007433B7" w:rsidRDefault="00A842D3" w:rsidP="00B3683F">
            <w:pPr>
              <w:jc w:val="both"/>
              <w:rPr>
                <w:rFonts w:cs="Arial"/>
              </w:rPr>
            </w:pPr>
            <w:r w:rsidRPr="007433B7">
              <w:rPr>
                <w:rFonts w:cs="Arial"/>
              </w:rPr>
              <w:t>Non-controlling interest</w:t>
            </w:r>
          </w:p>
        </w:tc>
        <w:tc>
          <w:tcPr>
            <w:tcW w:w="1209" w:type="dxa"/>
            <w:tcBorders>
              <w:bottom w:val="double" w:sz="4" w:space="0" w:color="auto"/>
            </w:tcBorders>
          </w:tcPr>
          <w:p w14:paraId="170F4199" w14:textId="77777777" w:rsidR="00A842D3" w:rsidRPr="007433B7" w:rsidRDefault="00A842D3" w:rsidP="00B3683F">
            <w:pPr>
              <w:jc w:val="right"/>
              <w:rPr>
                <w:rFonts w:cs="Arial"/>
              </w:rPr>
            </w:pPr>
            <w:r w:rsidRPr="007433B7">
              <w:rPr>
                <w:rFonts w:cs="Arial"/>
              </w:rPr>
              <w:t>297</w:t>
            </w:r>
          </w:p>
        </w:tc>
        <w:tc>
          <w:tcPr>
            <w:tcW w:w="236" w:type="dxa"/>
            <w:tcBorders>
              <w:bottom w:val="double" w:sz="4" w:space="0" w:color="auto"/>
            </w:tcBorders>
          </w:tcPr>
          <w:p w14:paraId="3F54537D" w14:textId="77777777" w:rsidR="00A842D3" w:rsidRPr="007433B7" w:rsidRDefault="00A842D3" w:rsidP="00B3683F">
            <w:pPr>
              <w:jc w:val="right"/>
              <w:rPr>
                <w:rFonts w:cs="Arial"/>
              </w:rPr>
            </w:pPr>
          </w:p>
        </w:tc>
        <w:tc>
          <w:tcPr>
            <w:tcW w:w="1249" w:type="dxa"/>
            <w:tcBorders>
              <w:bottom w:val="double" w:sz="4" w:space="0" w:color="auto"/>
            </w:tcBorders>
          </w:tcPr>
          <w:p w14:paraId="2113B223" w14:textId="77777777" w:rsidR="00A842D3" w:rsidRPr="007433B7" w:rsidRDefault="00A842D3" w:rsidP="00B3683F">
            <w:pPr>
              <w:jc w:val="right"/>
              <w:rPr>
                <w:rFonts w:cs="Arial"/>
              </w:rPr>
            </w:pPr>
            <w:r w:rsidRPr="007433B7">
              <w:rPr>
                <w:rFonts w:cs="Arial"/>
              </w:rPr>
              <w:t>1,311</w:t>
            </w:r>
          </w:p>
        </w:tc>
      </w:tr>
      <w:tr w:rsidR="000E64AD" w:rsidRPr="007433B7" w14:paraId="43497F89" w14:textId="77777777" w:rsidTr="000E64AD">
        <w:trPr>
          <w:trHeight w:val="210"/>
        </w:trPr>
        <w:tc>
          <w:tcPr>
            <w:tcW w:w="7479" w:type="dxa"/>
          </w:tcPr>
          <w:p w14:paraId="6CECC3E2" w14:textId="77777777" w:rsidR="000E64AD" w:rsidRPr="007433B7" w:rsidRDefault="000E64AD" w:rsidP="00B3683F">
            <w:pPr>
              <w:jc w:val="both"/>
              <w:rPr>
                <w:rFonts w:cs="Arial"/>
              </w:rPr>
            </w:pPr>
          </w:p>
        </w:tc>
        <w:tc>
          <w:tcPr>
            <w:tcW w:w="1209" w:type="dxa"/>
            <w:tcBorders>
              <w:top w:val="double" w:sz="4" w:space="0" w:color="auto"/>
            </w:tcBorders>
          </w:tcPr>
          <w:p w14:paraId="52239D7A" w14:textId="77777777" w:rsidR="000E64AD" w:rsidRPr="007433B7" w:rsidRDefault="000E64AD" w:rsidP="00B3683F">
            <w:pPr>
              <w:jc w:val="right"/>
              <w:rPr>
                <w:rFonts w:cs="Arial"/>
              </w:rPr>
            </w:pPr>
          </w:p>
        </w:tc>
        <w:tc>
          <w:tcPr>
            <w:tcW w:w="236" w:type="dxa"/>
            <w:tcBorders>
              <w:top w:val="double" w:sz="4" w:space="0" w:color="auto"/>
            </w:tcBorders>
          </w:tcPr>
          <w:p w14:paraId="3B5D2C35" w14:textId="77777777" w:rsidR="000E64AD" w:rsidRPr="007433B7" w:rsidRDefault="000E64AD" w:rsidP="00B3683F">
            <w:pPr>
              <w:jc w:val="right"/>
              <w:rPr>
                <w:rFonts w:cs="Arial"/>
              </w:rPr>
            </w:pPr>
          </w:p>
        </w:tc>
        <w:tc>
          <w:tcPr>
            <w:tcW w:w="1249" w:type="dxa"/>
            <w:tcBorders>
              <w:top w:val="double" w:sz="4" w:space="0" w:color="auto"/>
            </w:tcBorders>
          </w:tcPr>
          <w:p w14:paraId="0075D3C3" w14:textId="77777777" w:rsidR="000E64AD" w:rsidRPr="007433B7" w:rsidRDefault="000E64AD" w:rsidP="00B3683F">
            <w:pPr>
              <w:jc w:val="right"/>
              <w:rPr>
                <w:rFonts w:cs="Arial"/>
              </w:rPr>
            </w:pPr>
          </w:p>
        </w:tc>
      </w:tr>
      <w:tr w:rsidR="000E64AD" w:rsidRPr="007433B7" w14:paraId="0E6A96A6" w14:textId="77777777" w:rsidTr="000E64AD">
        <w:trPr>
          <w:trHeight w:val="210"/>
        </w:trPr>
        <w:tc>
          <w:tcPr>
            <w:tcW w:w="7479" w:type="dxa"/>
          </w:tcPr>
          <w:p w14:paraId="75AE7E3D" w14:textId="77777777" w:rsidR="000E64AD" w:rsidRPr="007433B7" w:rsidRDefault="000E64AD" w:rsidP="00B3683F">
            <w:pPr>
              <w:jc w:val="both"/>
              <w:rPr>
                <w:rFonts w:cs="Arial"/>
              </w:rPr>
            </w:pPr>
            <w:r>
              <w:rPr>
                <w:rFonts w:cs="Arial"/>
              </w:rPr>
              <w:t>Dividend – Controlling interest</w:t>
            </w:r>
          </w:p>
        </w:tc>
        <w:tc>
          <w:tcPr>
            <w:tcW w:w="1209" w:type="dxa"/>
          </w:tcPr>
          <w:p w14:paraId="422DDCCD" w14:textId="77777777" w:rsidR="000E64AD" w:rsidRPr="007433B7" w:rsidRDefault="000E64AD" w:rsidP="00B3683F">
            <w:pPr>
              <w:jc w:val="right"/>
              <w:rPr>
                <w:rFonts w:cs="Arial"/>
              </w:rPr>
            </w:pPr>
            <w:r>
              <w:rPr>
                <w:rFonts w:cs="Arial"/>
              </w:rPr>
              <w:t>2,912</w:t>
            </w:r>
          </w:p>
        </w:tc>
        <w:tc>
          <w:tcPr>
            <w:tcW w:w="236" w:type="dxa"/>
          </w:tcPr>
          <w:p w14:paraId="747C7B03" w14:textId="77777777" w:rsidR="000E64AD" w:rsidRPr="007433B7" w:rsidRDefault="000E64AD" w:rsidP="00B3683F">
            <w:pPr>
              <w:jc w:val="right"/>
              <w:rPr>
                <w:rFonts w:cs="Arial"/>
              </w:rPr>
            </w:pPr>
          </w:p>
        </w:tc>
        <w:tc>
          <w:tcPr>
            <w:tcW w:w="1249" w:type="dxa"/>
          </w:tcPr>
          <w:p w14:paraId="66881A6C" w14:textId="77777777" w:rsidR="000E64AD" w:rsidRPr="007433B7" w:rsidRDefault="000E64AD" w:rsidP="00A5227C">
            <w:pPr>
              <w:numPr>
                <w:ilvl w:val="0"/>
                <w:numId w:val="58"/>
              </w:numPr>
              <w:jc w:val="right"/>
              <w:rPr>
                <w:rFonts w:cs="Arial"/>
              </w:rPr>
            </w:pPr>
          </w:p>
        </w:tc>
      </w:tr>
      <w:tr w:rsidR="000E64AD" w:rsidRPr="007433B7" w14:paraId="753C0729" w14:textId="77777777" w:rsidTr="000E64AD">
        <w:trPr>
          <w:trHeight w:val="210"/>
        </w:trPr>
        <w:tc>
          <w:tcPr>
            <w:tcW w:w="7479" w:type="dxa"/>
          </w:tcPr>
          <w:p w14:paraId="2A2229FC" w14:textId="77777777" w:rsidR="000E64AD" w:rsidRPr="007433B7" w:rsidRDefault="000E64AD" w:rsidP="00B3683F">
            <w:pPr>
              <w:jc w:val="both"/>
              <w:rPr>
                <w:rFonts w:cs="Arial"/>
              </w:rPr>
            </w:pPr>
            <w:r>
              <w:rPr>
                <w:rFonts w:cs="Arial"/>
              </w:rPr>
              <w:t>Dividend – Non-controlling interest</w:t>
            </w:r>
          </w:p>
        </w:tc>
        <w:tc>
          <w:tcPr>
            <w:tcW w:w="1209" w:type="dxa"/>
            <w:tcBorders>
              <w:bottom w:val="double" w:sz="4" w:space="0" w:color="auto"/>
            </w:tcBorders>
          </w:tcPr>
          <w:p w14:paraId="7BB16D8D" w14:textId="77777777" w:rsidR="000E64AD" w:rsidRPr="007433B7" w:rsidRDefault="000E64AD" w:rsidP="00A5227C">
            <w:pPr>
              <w:numPr>
                <w:ilvl w:val="0"/>
                <w:numId w:val="57"/>
              </w:numPr>
              <w:jc w:val="right"/>
              <w:rPr>
                <w:rFonts w:cs="Arial"/>
              </w:rPr>
            </w:pPr>
            <w:r>
              <w:rPr>
                <w:rFonts w:cs="Arial"/>
              </w:rPr>
              <w:t xml:space="preserve"> </w:t>
            </w:r>
          </w:p>
        </w:tc>
        <w:tc>
          <w:tcPr>
            <w:tcW w:w="236" w:type="dxa"/>
            <w:tcBorders>
              <w:bottom w:val="double" w:sz="4" w:space="0" w:color="auto"/>
            </w:tcBorders>
          </w:tcPr>
          <w:p w14:paraId="60C4C596" w14:textId="77777777" w:rsidR="000E64AD" w:rsidRPr="007433B7" w:rsidRDefault="000E64AD" w:rsidP="00B3683F">
            <w:pPr>
              <w:jc w:val="right"/>
              <w:rPr>
                <w:rFonts w:cs="Arial"/>
              </w:rPr>
            </w:pPr>
          </w:p>
        </w:tc>
        <w:tc>
          <w:tcPr>
            <w:tcW w:w="1249" w:type="dxa"/>
            <w:tcBorders>
              <w:bottom w:val="double" w:sz="4" w:space="0" w:color="auto"/>
            </w:tcBorders>
          </w:tcPr>
          <w:p w14:paraId="77DD05FF" w14:textId="77777777" w:rsidR="000E64AD" w:rsidRPr="007433B7" w:rsidRDefault="000E64AD" w:rsidP="00B3683F">
            <w:pPr>
              <w:jc w:val="right"/>
              <w:rPr>
                <w:rFonts w:cs="Arial"/>
              </w:rPr>
            </w:pPr>
            <w:r>
              <w:rPr>
                <w:rFonts w:cs="Arial"/>
              </w:rPr>
              <w:t>288</w:t>
            </w:r>
          </w:p>
        </w:tc>
      </w:tr>
      <w:tr w:rsidR="00A842D3" w:rsidRPr="007433B7" w14:paraId="6BC8BFD4" w14:textId="77777777" w:rsidTr="000E64AD">
        <w:trPr>
          <w:trHeight w:val="210"/>
        </w:trPr>
        <w:tc>
          <w:tcPr>
            <w:tcW w:w="7479" w:type="dxa"/>
          </w:tcPr>
          <w:p w14:paraId="1AEBB618" w14:textId="77777777" w:rsidR="00A842D3" w:rsidRPr="007433B7" w:rsidRDefault="00A842D3" w:rsidP="00B3683F">
            <w:pPr>
              <w:jc w:val="both"/>
              <w:rPr>
                <w:rFonts w:cs="Arial"/>
              </w:rPr>
            </w:pPr>
          </w:p>
        </w:tc>
        <w:tc>
          <w:tcPr>
            <w:tcW w:w="1209" w:type="dxa"/>
            <w:tcBorders>
              <w:top w:val="double" w:sz="4" w:space="0" w:color="auto"/>
            </w:tcBorders>
          </w:tcPr>
          <w:p w14:paraId="5FB5767B" w14:textId="77777777" w:rsidR="00A842D3" w:rsidRPr="007433B7" w:rsidRDefault="00A842D3" w:rsidP="00B3683F">
            <w:pPr>
              <w:jc w:val="right"/>
              <w:rPr>
                <w:rFonts w:cs="Arial"/>
              </w:rPr>
            </w:pPr>
          </w:p>
        </w:tc>
        <w:tc>
          <w:tcPr>
            <w:tcW w:w="236" w:type="dxa"/>
            <w:tcBorders>
              <w:top w:val="double" w:sz="4" w:space="0" w:color="auto"/>
            </w:tcBorders>
          </w:tcPr>
          <w:p w14:paraId="4F8F3CA0" w14:textId="77777777" w:rsidR="00A842D3" w:rsidRPr="007433B7" w:rsidRDefault="00A842D3" w:rsidP="00B3683F">
            <w:pPr>
              <w:jc w:val="right"/>
              <w:rPr>
                <w:rFonts w:cs="Arial"/>
              </w:rPr>
            </w:pPr>
          </w:p>
        </w:tc>
        <w:tc>
          <w:tcPr>
            <w:tcW w:w="1249" w:type="dxa"/>
            <w:tcBorders>
              <w:top w:val="double" w:sz="4" w:space="0" w:color="auto"/>
            </w:tcBorders>
          </w:tcPr>
          <w:p w14:paraId="4515AE33" w14:textId="77777777" w:rsidR="00A842D3" w:rsidRPr="007433B7" w:rsidRDefault="00A842D3" w:rsidP="00B3683F">
            <w:pPr>
              <w:jc w:val="right"/>
              <w:rPr>
                <w:rFonts w:cs="Arial"/>
              </w:rPr>
            </w:pPr>
          </w:p>
        </w:tc>
      </w:tr>
    </w:tbl>
    <w:p w14:paraId="0F741809" w14:textId="77777777" w:rsidR="00947950" w:rsidRPr="004310B2" w:rsidRDefault="00947950" w:rsidP="00A842D3">
      <w:pPr>
        <w:rPr>
          <w:rFonts w:cs="Arial"/>
        </w:rPr>
      </w:pPr>
    </w:p>
    <w:p w14:paraId="73CADA06" w14:textId="77777777" w:rsidR="00A842D3" w:rsidRDefault="00A842D3" w:rsidP="00A842D3">
      <w:pPr>
        <w:jc w:val="both"/>
        <w:rPr>
          <w:rFonts w:cs="Arial"/>
        </w:rPr>
      </w:pPr>
      <w:r w:rsidRPr="007433B7">
        <w:rPr>
          <w:rFonts w:cs="Arial"/>
        </w:rPr>
        <w:t>The Group uses a wide range of key performance indicators (KPIs)</w:t>
      </w:r>
      <w:r w:rsidR="00FE7F5D">
        <w:rPr>
          <w:rFonts w:cs="Arial"/>
        </w:rPr>
        <w:t xml:space="preserve"> </w:t>
      </w:r>
      <w:r w:rsidRPr="007433B7">
        <w:rPr>
          <w:rFonts w:cs="Arial"/>
        </w:rPr>
        <w:t>to monitor progress in achieving its objectives</w:t>
      </w:r>
      <w:r w:rsidR="00947950">
        <w:rPr>
          <w:rFonts w:cs="Arial"/>
        </w:rPr>
        <w:t xml:space="preserve"> and these are set out in the individual reports of Lothian Buses and Edinburgh Trams</w:t>
      </w:r>
      <w:r w:rsidRPr="007433B7">
        <w:rPr>
          <w:rFonts w:cs="Arial"/>
        </w:rPr>
        <w:t>. The most important KPIs are:</w:t>
      </w:r>
    </w:p>
    <w:p w14:paraId="481B0054" w14:textId="77777777" w:rsidR="00A842D3" w:rsidRPr="007433B7" w:rsidRDefault="00A842D3" w:rsidP="00A842D3">
      <w:pPr>
        <w:jc w:val="both"/>
        <w:rPr>
          <w:rFonts w:cs="Arial"/>
          <w:sz w:val="12"/>
          <w:szCs w:val="12"/>
        </w:rPr>
      </w:pPr>
      <w:r w:rsidRPr="007433B7">
        <w:rPr>
          <w:rFonts w:cs="Arial"/>
        </w:rPr>
        <w:t xml:space="preserve"> </w:t>
      </w:r>
    </w:p>
    <w:tbl>
      <w:tblPr>
        <w:tblW w:w="10314" w:type="dxa"/>
        <w:tblLayout w:type="fixed"/>
        <w:tblLook w:val="01E0" w:firstRow="1" w:lastRow="1" w:firstColumn="1" w:lastColumn="1" w:noHBand="0" w:noVBand="0"/>
      </w:tblPr>
      <w:tblGrid>
        <w:gridCol w:w="6912"/>
        <w:gridCol w:w="1054"/>
        <w:gridCol w:w="1276"/>
        <w:gridCol w:w="1072"/>
      </w:tblGrid>
      <w:tr w:rsidR="00A842D3" w:rsidRPr="007433B7" w14:paraId="3DFD4981" w14:textId="77777777" w:rsidTr="00B3683F">
        <w:trPr>
          <w:trHeight w:val="210"/>
        </w:trPr>
        <w:tc>
          <w:tcPr>
            <w:tcW w:w="6912" w:type="dxa"/>
          </w:tcPr>
          <w:p w14:paraId="4EE882F0" w14:textId="77777777" w:rsidR="00A842D3" w:rsidRPr="007433B7" w:rsidRDefault="00A842D3" w:rsidP="00B3683F">
            <w:pPr>
              <w:rPr>
                <w:rFonts w:cs="Arial"/>
              </w:rPr>
            </w:pPr>
          </w:p>
        </w:tc>
        <w:tc>
          <w:tcPr>
            <w:tcW w:w="1054" w:type="dxa"/>
          </w:tcPr>
          <w:p w14:paraId="48F404A8" w14:textId="77777777" w:rsidR="00A842D3" w:rsidRPr="007433B7" w:rsidRDefault="00A842D3" w:rsidP="00B3683F">
            <w:pPr>
              <w:jc w:val="center"/>
              <w:rPr>
                <w:rFonts w:cs="Arial"/>
                <w:b/>
              </w:rPr>
            </w:pPr>
            <w:r w:rsidRPr="007433B7">
              <w:rPr>
                <w:rFonts w:cs="Arial"/>
                <w:b/>
              </w:rPr>
              <w:t>2024</w:t>
            </w:r>
          </w:p>
        </w:tc>
        <w:tc>
          <w:tcPr>
            <w:tcW w:w="1276" w:type="dxa"/>
          </w:tcPr>
          <w:p w14:paraId="54638835" w14:textId="77777777" w:rsidR="00A842D3" w:rsidRPr="007433B7" w:rsidRDefault="00A842D3" w:rsidP="00B3683F">
            <w:pPr>
              <w:jc w:val="center"/>
              <w:rPr>
                <w:rFonts w:cs="Arial"/>
                <w:b/>
              </w:rPr>
            </w:pPr>
            <w:r w:rsidRPr="007433B7">
              <w:rPr>
                <w:rFonts w:cs="Arial"/>
                <w:b/>
              </w:rPr>
              <w:t>2023</w:t>
            </w:r>
          </w:p>
        </w:tc>
        <w:tc>
          <w:tcPr>
            <w:tcW w:w="1072" w:type="dxa"/>
          </w:tcPr>
          <w:p w14:paraId="096D37AB" w14:textId="77777777" w:rsidR="00A842D3" w:rsidRPr="007433B7" w:rsidRDefault="00A842D3" w:rsidP="00B3683F">
            <w:pPr>
              <w:jc w:val="center"/>
              <w:rPr>
                <w:rFonts w:cs="Arial"/>
                <w:b/>
              </w:rPr>
            </w:pPr>
            <w:r w:rsidRPr="007433B7">
              <w:rPr>
                <w:rFonts w:cs="Arial"/>
                <w:b/>
              </w:rPr>
              <w:t>Change</w:t>
            </w:r>
          </w:p>
        </w:tc>
      </w:tr>
      <w:tr w:rsidR="00A842D3" w:rsidRPr="007433B7" w14:paraId="506A4F03" w14:textId="77777777" w:rsidTr="00B3683F">
        <w:trPr>
          <w:trHeight w:val="210"/>
        </w:trPr>
        <w:tc>
          <w:tcPr>
            <w:tcW w:w="6912" w:type="dxa"/>
          </w:tcPr>
          <w:p w14:paraId="38F99E0C" w14:textId="77777777" w:rsidR="00A842D3" w:rsidRPr="007433B7" w:rsidRDefault="00A842D3" w:rsidP="00B3683F">
            <w:pPr>
              <w:rPr>
                <w:rFonts w:cs="Arial"/>
              </w:rPr>
            </w:pPr>
            <w:r w:rsidRPr="007433B7">
              <w:rPr>
                <w:rFonts w:cs="Arial"/>
              </w:rPr>
              <w:t>Group operating margin – operating loss relative to revenue</w:t>
            </w:r>
          </w:p>
        </w:tc>
        <w:tc>
          <w:tcPr>
            <w:tcW w:w="1054" w:type="dxa"/>
          </w:tcPr>
          <w:p w14:paraId="5B311770" w14:textId="77777777" w:rsidR="00A842D3" w:rsidRPr="007433B7" w:rsidRDefault="00A842D3" w:rsidP="00B3683F">
            <w:pPr>
              <w:jc w:val="center"/>
              <w:rPr>
                <w:rFonts w:cs="Arial"/>
              </w:rPr>
            </w:pPr>
            <w:r w:rsidRPr="007433B7">
              <w:rPr>
                <w:rFonts w:cs="Arial"/>
              </w:rPr>
              <w:t>-4.2%</w:t>
            </w:r>
          </w:p>
        </w:tc>
        <w:tc>
          <w:tcPr>
            <w:tcW w:w="1276" w:type="dxa"/>
          </w:tcPr>
          <w:p w14:paraId="055CFECE" w14:textId="77777777" w:rsidR="00A842D3" w:rsidRPr="007433B7" w:rsidRDefault="00A842D3" w:rsidP="00B3683F">
            <w:pPr>
              <w:jc w:val="center"/>
              <w:rPr>
                <w:rFonts w:cs="Arial"/>
              </w:rPr>
            </w:pPr>
            <w:r w:rsidRPr="007433B7">
              <w:rPr>
                <w:rFonts w:cs="Arial"/>
              </w:rPr>
              <w:t>-1.4%</w:t>
            </w:r>
          </w:p>
        </w:tc>
        <w:tc>
          <w:tcPr>
            <w:tcW w:w="1072" w:type="dxa"/>
          </w:tcPr>
          <w:p w14:paraId="5BA7D384" w14:textId="77777777" w:rsidR="00A842D3" w:rsidRPr="007433B7" w:rsidRDefault="00A842D3" w:rsidP="00B3683F">
            <w:pPr>
              <w:jc w:val="center"/>
              <w:rPr>
                <w:rFonts w:cs="Arial"/>
              </w:rPr>
            </w:pPr>
            <w:r w:rsidRPr="007433B7">
              <w:rPr>
                <w:rFonts w:cs="Arial"/>
              </w:rPr>
              <w:t xml:space="preserve"> -2.8%</w:t>
            </w:r>
          </w:p>
        </w:tc>
      </w:tr>
      <w:tr w:rsidR="00A842D3" w:rsidRPr="007433B7" w14:paraId="5B5AFE0B" w14:textId="77777777" w:rsidTr="00B3683F">
        <w:trPr>
          <w:trHeight w:val="210"/>
        </w:trPr>
        <w:tc>
          <w:tcPr>
            <w:tcW w:w="6912" w:type="dxa"/>
          </w:tcPr>
          <w:p w14:paraId="1965FAB0" w14:textId="77777777" w:rsidR="00A842D3" w:rsidRPr="007433B7" w:rsidRDefault="00A842D3" w:rsidP="00B3683F">
            <w:pPr>
              <w:rPr>
                <w:rFonts w:cs="Arial"/>
              </w:rPr>
            </w:pPr>
            <w:r w:rsidRPr="007433B7">
              <w:rPr>
                <w:rFonts w:cs="Arial"/>
              </w:rPr>
              <w:t>Group patronage – period on period movement in passenger journeys</w:t>
            </w:r>
          </w:p>
        </w:tc>
        <w:tc>
          <w:tcPr>
            <w:tcW w:w="1054" w:type="dxa"/>
          </w:tcPr>
          <w:p w14:paraId="784EE82F" w14:textId="77777777" w:rsidR="00A842D3" w:rsidRPr="007433B7" w:rsidRDefault="00A842D3" w:rsidP="00B3683F">
            <w:pPr>
              <w:jc w:val="center"/>
              <w:rPr>
                <w:rFonts w:cs="Arial"/>
              </w:rPr>
            </w:pPr>
            <w:r w:rsidRPr="007433B7">
              <w:rPr>
                <w:rFonts w:cs="Arial"/>
              </w:rPr>
              <w:t>127.9m</w:t>
            </w:r>
          </w:p>
        </w:tc>
        <w:tc>
          <w:tcPr>
            <w:tcW w:w="1276" w:type="dxa"/>
          </w:tcPr>
          <w:p w14:paraId="062E4066" w14:textId="77777777" w:rsidR="00A842D3" w:rsidRPr="007433B7" w:rsidRDefault="00A842D3" w:rsidP="00B3683F">
            <w:pPr>
              <w:jc w:val="center"/>
              <w:rPr>
                <w:rFonts w:cs="Arial"/>
              </w:rPr>
            </w:pPr>
            <w:r w:rsidRPr="007433B7">
              <w:rPr>
                <w:rFonts w:cs="Arial"/>
              </w:rPr>
              <w:t>119.3m</w:t>
            </w:r>
          </w:p>
        </w:tc>
        <w:tc>
          <w:tcPr>
            <w:tcW w:w="1072" w:type="dxa"/>
          </w:tcPr>
          <w:p w14:paraId="37693D21" w14:textId="77777777" w:rsidR="00A842D3" w:rsidRPr="007433B7" w:rsidRDefault="00A842D3" w:rsidP="00B3683F">
            <w:pPr>
              <w:jc w:val="center"/>
              <w:rPr>
                <w:rFonts w:cs="Arial"/>
              </w:rPr>
            </w:pPr>
            <w:r w:rsidRPr="007433B7">
              <w:rPr>
                <w:rFonts w:cs="Arial"/>
              </w:rPr>
              <w:t>+8.6m</w:t>
            </w:r>
          </w:p>
        </w:tc>
      </w:tr>
    </w:tbl>
    <w:p w14:paraId="4CD0CAC8" w14:textId="77777777" w:rsidR="00A842D3" w:rsidRPr="007433B7" w:rsidRDefault="00A842D3" w:rsidP="00A842D3">
      <w:pPr>
        <w:jc w:val="both"/>
        <w:rPr>
          <w:rFonts w:cs="Arial"/>
          <w:sz w:val="12"/>
          <w:szCs w:val="12"/>
        </w:rPr>
      </w:pPr>
    </w:p>
    <w:p w14:paraId="01002BE2" w14:textId="77777777" w:rsidR="00CD2B5C" w:rsidRDefault="00CD2B5C" w:rsidP="00A842D3">
      <w:pPr>
        <w:jc w:val="both"/>
        <w:rPr>
          <w:rFonts w:cs="Arial"/>
        </w:rPr>
      </w:pPr>
    </w:p>
    <w:p w14:paraId="7EA02CAD" w14:textId="77777777" w:rsidR="00505D28" w:rsidRDefault="00A842D3" w:rsidP="00A842D3">
      <w:pPr>
        <w:jc w:val="both"/>
        <w:rPr>
          <w:rFonts w:cs="Arial"/>
        </w:rPr>
      </w:pPr>
      <w:r w:rsidRPr="007433B7">
        <w:rPr>
          <w:rFonts w:cs="Arial"/>
        </w:rPr>
        <w:t xml:space="preserve">Group operating margin </w:t>
      </w:r>
      <w:r w:rsidR="00FE7F5D">
        <w:rPr>
          <w:rFonts w:cs="Arial"/>
        </w:rPr>
        <w:t>wa</w:t>
      </w:r>
      <w:r w:rsidRPr="007433B7">
        <w:rPr>
          <w:rFonts w:cs="Arial"/>
        </w:rPr>
        <w:t xml:space="preserve">s 2.8% </w:t>
      </w:r>
      <w:r w:rsidR="00695924">
        <w:rPr>
          <w:rFonts w:cs="Arial"/>
        </w:rPr>
        <w:t xml:space="preserve">lower </w:t>
      </w:r>
      <w:r w:rsidRPr="007433B7">
        <w:rPr>
          <w:rFonts w:cs="Arial"/>
        </w:rPr>
        <w:t>compared to 2023</w:t>
      </w:r>
      <w:r w:rsidR="002E0727">
        <w:rPr>
          <w:rFonts w:cs="Arial"/>
        </w:rPr>
        <w:t xml:space="preserve">, </w:t>
      </w:r>
      <w:r w:rsidR="00695924">
        <w:rPr>
          <w:rFonts w:cs="Arial"/>
        </w:rPr>
        <w:t xml:space="preserve">with </w:t>
      </w:r>
      <w:r w:rsidR="00FE7F5D">
        <w:rPr>
          <w:rFonts w:cs="Arial"/>
        </w:rPr>
        <w:t xml:space="preserve">the </w:t>
      </w:r>
      <w:r w:rsidR="00505D28">
        <w:rPr>
          <w:rFonts w:cs="Arial"/>
        </w:rPr>
        <w:t>improvement in Edinburgh Trams in their first full year of running trams between the Airport and Newhaven being more than offset by reduced operating margin in Lothian Buses which faced significant increased operating and cost pressures during 2024, and which are expected to continue into the 2025 period.</w:t>
      </w:r>
    </w:p>
    <w:p w14:paraId="61DEF629" w14:textId="77777777" w:rsidR="00505D28" w:rsidRDefault="00505D28" w:rsidP="00A842D3">
      <w:pPr>
        <w:jc w:val="both"/>
        <w:rPr>
          <w:rFonts w:cs="Arial"/>
        </w:rPr>
      </w:pPr>
    </w:p>
    <w:p w14:paraId="41967E4D" w14:textId="77777777" w:rsidR="00A842D3" w:rsidRPr="007433B7" w:rsidRDefault="00A842D3" w:rsidP="00A842D3">
      <w:pPr>
        <w:jc w:val="both"/>
        <w:rPr>
          <w:rFonts w:cs="Arial"/>
        </w:rPr>
      </w:pPr>
      <w:r w:rsidRPr="007433B7">
        <w:rPr>
          <w:rFonts w:cs="Arial"/>
        </w:rPr>
        <w:t>Group patronage has increased by 8.6</w:t>
      </w:r>
      <w:r w:rsidR="00FE7F5D">
        <w:rPr>
          <w:rFonts w:cs="Arial"/>
        </w:rPr>
        <w:t>m</w:t>
      </w:r>
      <w:r w:rsidRPr="007433B7">
        <w:rPr>
          <w:rFonts w:cs="Arial"/>
        </w:rPr>
        <w:t xml:space="preserve"> period on period as a result of organic growth, expansion through acquisition, improved schedule frequencies via service changes and the positive effects of the extension of the Tram line to Newhaven in Leith.</w:t>
      </w:r>
    </w:p>
    <w:p w14:paraId="45783008" w14:textId="77777777" w:rsidR="000E64AD" w:rsidRDefault="000E64AD" w:rsidP="000E64AD">
      <w:pPr>
        <w:rPr>
          <w:rFonts w:cs="Arial"/>
        </w:rPr>
      </w:pPr>
    </w:p>
    <w:p w14:paraId="2ED77780" w14:textId="77777777" w:rsidR="000E64AD" w:rsidRDefault="00091892" w:rsidP="000E64AD">
      <w:pPr>
        <w:rPr>
          <w:rFonts w:cs="Arial"/>
        </w:rPr>
      </w:pPr>
      <w:r>
        <w:rPr>
          <w:rFonts w:cs="Arial"/>
        </w:rPr>
        <w:t xml:space="preserve">A final dividend of £2.912m was approved on 10 May 2024 and was paid to CEC on 28 May 2024. </w:t>
      </w:r>
      <w:r w:rsidRPr="008B65BB">
        <w:rPr>
          <w:rFonts w:cs="Arial"/>
        </w:rPr>
        <w:t>The final dividend of £287,500 payable by a subsidiary to non-controlling interests was</w:t>
      </w:r>
      <w:r>
        <w:rPr>
          <w:rFonts w:cs="Arial"/>
        </w:rPr>
        <w:t xml:space="preserve"> approved on 14 December 2023 and </w:t>
      </w:r>
      <w:r w:rsidRPr="008B65BB">
        <w:rPr>
          <w:rFonts w:cs="Arial"/>
        </w:rPr>
        <w:t>paid on 28 March 2024</w:t>
      </w:r>
      <w:r>
        <w:rPr>
          <w:rFonts w:cs="Arial"/>
        </w:rPr>
        <w:t>.</w:t>
      </w:r>
    </w:p>
    <w:p w14:paraId="1B10461D" w14:textId="77777777" w:rsidR="000E64AD" w:rsidRDefault="000E64AD" w:rsidP="0026566D">
      <w:pPr>
        <w:jc w:val="both"/>
        <w:rPr>
          <w:rFonts w:cs="Arial"/>
        </w:rPr>
      </w:pPr>
    </w:p>
    <w:p w14:paraId="5A5E8D7E" w14:textId="77777777" w:rsidR="00EB2186" w:rsidRPr="007433B7" w:rsidRDefault="00EB2186" w:rsidP="00EB2186">
      <w:pPr>
        <w:jc w:val="both"/>
        <w:outlineLvl w:val="0"/>
        <w:rPr>
          <w:rFonts w:cs="Arial"/>
        </w:rPr>
      </w:pPr>
      <w:r w:rsidRPr="007433B7">
        <w:rPr>
          <w:rFonts w:cs="Arial"/>
          <w:b/>
        </w:rPr>
        <w:t>Future Prospects</w:t>
      </w:r>
    </w:p>
    <w:p w14:paraId="7866F522" w14:textId="77777777" w:rsidR="00EB2186" w:rsidRPr="007433B7" w:rsidRDefault="00EB2186" w:rsidP="00EB2186">
      <w:pPr>
        <w:jc w:val="both"/>
        <w:rPr>
          <w:rFonts w:cs="Arial"/>
          <w:sz w:val="12"/>
          <w:szCs w:val="12"/>
        </w:rPr>
      </w:pPr>
    </w:p>
    <w:p w14:paraId="20D71BCE" w14:textId="77777777" w:rsidR="00EB2186" w:rsidRDefault="00EB2186" w:rsidP="00EB2186">
      <w:pPr>
        <w:jc w:val="both"/>
        <w:rPr>
          <w:rFonts w:cs="Arial"/>
        </w:rPr>
      </w:pPr>
      <w:r w:rsidRPr="007433B7">
        <w:rPr>
          <w:rFonts w:cs="Arial"/>
        </w:rPr>
        <w:t xml:space="preserve">The Directors are of the opinion that the Group remains in a sound position to maintain its role as the major operator of buses, trams and open top tours in Edinburgh and the Lothians. </w:t>
      </w:r>
      <w:r>
        <w:rPr>
          <w:rFonts w:cs="Arial"/>
        </w:rPr>
        <w:t>Under the new ALEO reform arrangements, Lothian Buses and Edinburgh Trams will continue to develop and deliver an integrated public transport network in Edinburgh and t</w:t>
      </w:r>
      <w:r w:rsidRPr="007433B7">
        <w:rPr>
          <w:rFonts w:cs="Arial"/>
        </w:rPr>
        <w:t xml:space="preserve">he Group remains engaged with the City of Edinburgh Council, Stakeholders and Partners regarding </w:t>
      </w:r>
      <w:r>
        <w:rPr>
          <w:rFonts w:cs="Arial"/>
        </w:rPr>
        <w:t>a range of transport related projects.</w:t>
      </w:r>
    </w:p>
    <w:p w14:paraId="77526A73" w14:textId="77777777" w:rsidR="00FE7F5D" w:rsidRDefault="00FE7F5D" w:rsidP="00EB2186">
      <w:pPr>
        <w:jc w:val="both"/>
        <w:rPr>
          <w:rFonts w:cs="Arial"/>
        </w:rPr>
      </w:pPr>
    </w:p>
    <w:p w14:paraId="2FCABBF5" w14:textId="77777777" w:rsidR="00EB2186" w:rsidRDefault="00EB2186" w:rsidP="00DF68E4">
      <w:pPr>
        <w:jc w:val="both"/>
        <w:rPr>
          <w:rFonts w:cs="Arial"/>
        </w:rPr>
      </w:pPr>
      <w:r w:rsidRPr="007433B7">
        <w:rPr>
          <w:rFonts w:cs="Arial"/>
        </w:rPr>
        <w:t xml:space="preserve">Trading to date in 2025 </w:t>
      </w:r>
      <w:r>
        <w:rPr>
          <w:rFonts w:cs="Arial"/>
        </w:rPr>
        <w:t xml:space="preserve">has been broadly </w:t>
      </w:r>
      <w:r w:rsidRPr="007433B7">
        <w:rPr>
          <w:rFonts w:cs="Arial"/>
        </w:rPr>
        <w:t xml:space="preserve">in line with expectations </w:t>
      </w:r>
      <w:bookmarkStart w:id="3" w:name="_Hlk38548251"/>
      <w:r w:rsidRPr="007433B7">
        <w:rPr>
          <w:rFonts w:cs="Arial"/>
        </w:rPr>
        <w:t>and the Directors remain confident in the ability of the businesses to change and adapt quickly in the short-term</w:t>
      </w:r>
      <w:r>
        <w:rPr>
          <w:rFonts w:cs="Arial"/>
        </w:rPr>
        <w:t xml:space="preserve"> despite the challenges from external factors on both the operations and financial results of the Group</w:t>
      </w:r>
      <w:r w:rsidRPr="007433B7">
        <w:rPr>
          <w:rFonts w:cs="Arial"/>
        </w:rPr>
        <w:t>.</w:t>
      </w:r>
      <w:bookmarkEnd w:id="3"/>
    </w:p>
    <w:p w14:paraId="0F997B5A" w14:textId="77777777" w:rsidR="00EB2186" w:rsidRDefault="00EB2186" w:rsidP="00EB2186">
      <w:pPr>
        <w:jc w:val="both"/>
        <w:rPr>
          <w:rFonts w:cs="Arial"/>
        </w:rPr>
      </w:pPr>
    </w:p>
    <w:p w14:paraId="0E1DDAE7" w14:textId="77777777" w:rsidR="00A842D3" w:rsidRDefault="00EB2186" w:rsidP="00EB2186">
      <w:pPr>
        <w:jc w:val="both"/>
        <w:rPr>
          <w:rFonts w:cs="Arial"/>
        </w:rPr>
      </w:pPr>
      <w:r>
        <w:rPr>
          <w:rFonts w:cs="Arial"/>
        </w:rPr>
        <w:t>Capital investment continues to focus on medium to long term objectives, in particular the electrification of</w:t>
      </w:r>
      <w:r w:rsidR="00951CC2">
        <w:rPr>
          <w:rFonts w:cs="Arial"/>
        </w:rPr>
        <w:t xml:space="preserve"> </w:t>
      </w:r>
      <w:r>
        <w:rPr>
          <w:rFonts w:cs="Arial"/>
        </w:rPr>
        <w:t xml:space="preserve">Lothian’s </w:t>
      </w:r>
      <w:r w:rsidR="00FE7F5D">
        <w:rPr>
          <w:rFonts w:cs="Arial"/>
        </w:rPr>
        <w:t>b</w:t>
      </w:r>
      <w:r>
        <w:rPr>
          <w:rFonts w:cs="Arial"/>
        </w:rPr>
        <w:t>us fleet in line with its Net Zero Plan.</w:t>
      </w:r>
    </w:p>
    <w:p w14:paraId="2A639408" w14:textId="77777777" w:rsidR="00EB2186" w:rsidRDefault="00EB2186" w:rsidP="00EB2186">
      <w:pPr>
        <w:jc w:val="both"/>
        <w:rPr>
          <w:rFonts w:cs="Arial"/>
        </w:rPr>
      </w:pPr>
    </w:p>
    <w:p w14:paraId="4932AEA7" w14:textId="77777777" w:rsidR="00465EB7" w:rsidRDefault="00465EB7" w:rsidP="00EB2186">
      <w:pPr>
        <w:jc w:val="both"/>
        <w:rPr>
          <w:rFonts w:cs="Arial"/>
        </w:rPr>
      </w:pPr>
    </w:p>
    <w:p w14:paraId="38631BE7" w14:textId="77777777" w:rsidR="00EB2186" w:rsidRDefault="00EB2186" w:rsidP="00EB2186">
      <w:pPr>
        <w:jc w:val="both"/>
        <w:rPr>
          <w:rFonts w:cs="Arial"/>
        </w:rPr>
      </w:pPr>
    </w:p>
    <w:p w14:paraId="4D324196" w14:textId="77777777" w:rsidR="00EB2186" w:rsidRDefault="00EB2186" w:rsidP="00EB2186">
      <w:pPr>
        <w:jc w:val="both"/>
        <w:rPr>
          <w:rFonts w:cs="Arial"/>
        </w:rPr>
      </w:pPr>
    </w:p>
    <w:p w14:paraId="1C0AFB13" w14:textId="77777777" w:rsidR="00EB2186" w:rsidRDefault="00EB2186" w:rsidP="007256EB">
      <w:pPr>
        <w:jc w:val="center"/>
        <w:outlineLvl w:val="0"/>
        <w:rPr>
          <w:b/>
        </w:rPr>
      </w:pPr>
    </w:p>
    <w:p w14:paraId="6C4ECABC" w14:textId="77777777" w:rsidR="00476D7C" w:rsidRPr="007433B7" w:rsidRDefault="00476D7C" w:rsidP="007256EB">
      <w:pPr>
        <w:jc w:val="center"/>
        <w:outlineLvl w:val="0"/>
        <w:rPr>
          <w:b/>
        </w:rPr>
      </w:pPr>
      <w:r w:rsidRPr="007433B7">
        <w:rPr>
          <w:b/>
        </w:rPr>
        <w:t>TRANSPORT FOR EDINBURGH LIMITED</w:t>
      </w:r>
    </w:p>
    <w:p w14:paraId="25C48F66" w14:textId="77777777" w:rsidR="00476D7C" w:rsidRPr="007433B7" w:rsidRDefault="00476D7C" w:rsidP="00476D7C">
      <w:pPr>
        <w:rPr>
          <w:b/>
        </w:rPr>
      </w:pPr>
    </w:p>
    <w:p w14:paraId="00BE14B3" w14:textId="77777777" w:rsidR="00476D7C" w:rsidRPr="007433B7" w:rsidRDefault="00476D7C" w:rsidP="00476D7C">
      <w:pPr>
        <w:jc w:val="center"/>
        <w:rPr>
          <w:b/>
        </w:rPr>
      </w:pPr>
      <w:r w:rsidRPr="007433B7">
        <w:rPr>
          <w:b/>
        </w:rPr>
        <w:t>Strategic Report (continued)</w:t>
      </w:r>
    </w:p>
    <w:p w14:paraId="172CC5EF" w14:textId="77777777" w:rsidR="00476D7C" w:rsidRPr="007433B7" w:rsidRDefault="00476D7C" w:rsidP="00476D7C">
      <w:pPr>
        <w:jc w:val="center"/>
        <w:rPr>
          <w:b/>
        </w:rPr>
      </w:pPr>
    </w:p>
    <w:p w14:paraId="2BB2306D" w14:textId="77777777" w:rsidR="00476D7C" w:rsidRPr="007433B7" w:rsidRDefault="00D90B89" w:rsidP="00476D7C">
      <w:pPr>
        <w:jc w:val="center"/>
        <w:rPr>
          <w:b/>
        </w:rPr>
      </w:pPr>
      <w:r w:rsidRPr="007433B7">
        <w:rPr>
          <w:b/>
        </w:rPr>
        <w:t>For the period ended 28 December 2024</w:t>
      </w:r>
    </w:p>
    <w:p w14:paraId="6DF89954" w14:textId="77777777" w:rsidR="00476D7C" w:rsidRPr="007433B7" w:rsidRDefault="00476D7C" w:rsidP="00476D7C">
      <w:pPr>
        <w:jc w:val="center"/>
        <w:rPr>
          <w:b/>
        </w:rPr>
      </w:pPr>
    </w:p>
    <w:p w14:paraId="751F17E6" w14:textId="77777777" w:rsidR="00F17BA5" w:rsidRPr="007433B7" w:rsidRDefault="00F17BA5" w:rsidP="00F17BA5">
      <w:pPr>
        <w:jc w:val="both"/>
        <w:rPr>
          <w:rFonts w:cs="Arial"/>
          <w:sz w:val="12"/>
          <w:szCs w:val="12"/>
        </w:rPr>
      </w:pPr>
    </w:p>
    <w:p w14:paraId="44E4B5D6" w14:textId="4DCB2E53" w:rsidR="002C76BB" w:rsidRPr="002C76BB" w:rsidRDefault="002C76BB" w:rsidP="002C76BB">
      <w:pPr>
        <w:jc w:val="both"/>
        <w:rPr>
          <w:rFonts w:cs="Arial"/>
        </w:rPr>
      </w:pPr>
      <w:r w:rsidRPr="002C76BB">
        <w:rPr>
          <w:rFonts w:cs="Arial"/>
        </w:rPr>
        <w:t xml:space="preserve">The first half of 2025 </w:t>
      </w:r>
      <w:r w:rsidR="00B7147C">
        <w:rPr>
          <w:rFonts w:cs="Arial"/>
        </w:rPr>
        <w:t>saw</w:t>
      </w:r>
      <w:r w:rsidRPr="002C76BB">
        <w:rPr>
          <w:rFonts w:cs="Arial"/>
        </w:rPr>
        <w:t xml:space="preserve"> the introduction of Account Based Ticketing (ABT), bringing Edinburgh Trams in line with other operators in the city. The introduction of the tap on tap off system will also enable quicker and easier transactions for customers.</w:t>
      </w:r>
    </w:p>
    <w:p w14:paraId="1520A025" w14:textId="77777777" w:rsidR="002C76BB" w:rsidRPr="002C76BB" w:rsidRDefault="002C76BB" w:rsidP="002C76BB">
      <w:pPr>
        <w:jc w:val="both"/>
        <w:rPr>
          <w:rFonts w:cs="Arial"/>
        </w:rPr>
      </w:pPr>
    </w:p>
    <w:p w14:paraId="1FAC7745" w14:textId="77777777" w:rsidR="002C76BB" w:rsidRPr="002C76BB" w:rsidRDefault="002C76BB" w:rsidP="002C76BB">
      <w:pPr>
        <w:jc w:val="both"/>
        <w:rPr>
          <w:rFonts w:cs="Arial"/>
        </w:rPr>
      </w:pPr>
      <w:r w:rsidRPr="002C76BB">
        <w:rPr>
          <w:rFonts w:cs="Arial"/>
        </w:rPr>
        <w:t>Working in partnership with CEC, Edinburgh Trams will also be reviewing proposals for extending the network from Granton to the South-East of the City. It has been noted that this area has the lowest car use in the city, implying that residents rely on public transport and an extended line would complement and enhance the travel needs of both Edinburgh residents and visitors.</w:t>
      </w:r>
    </w:p>
    <w:p w14:paraId="36686503" w14:textId="77777777" w:rsidR="002C76BB" w:rsidRPr="007433B7" w:rsidRDefault="002C76BB" w:rsidP="002C76BB">
      <w:pPr>
        <w:jc w:val="both"/>
        <w:rPr>
          <w:rFonts w:cs="Arial"/>
        </w:rPr>
      </w:pPr>
    </w:p>
    <w:p w14:paraId="5DF800D9" w14:textId="77777777" w:rsidR="002C76BB" w:rsidRPr="007433B7" w:rsidRDefault="002C76BB" w:rsidP="002C76BB">
      <w:pPr>
        <w:jc w:val="both"/>
        <w:rPr>
          <w:rFonts w:cs="Arial"/>
          <w:b/>
          <w:sz w:val="12"/>
          <w:szCs w:val="12"/>
        </w:rPr>
      </w:pPr>
    </w:p>
    <w:p w14:paraId="0E458018" w14:textId="77777777" w:rsidR="00476D7C" w:rsidRPr="007433B7" w:rsidRDefault="00476D7C" w:rsidP="00476D7C">
      <w:pPr>
        <w:ind w:right="21"/>
        <w:jc w:val="both"/>
        <w:outlineLvl w:val="0"/>
        <w:rPr>
          <w:rFonts w:cs="Arial"/>
          <w:b/>
        </w:rPr>
      </w:pPr>
      <w:r w:rsidRPr="007433B7">
        <w:rPr>
          <w:rFonts w:cs="Arial"/>
          <w:b/>
        </w:rPr>
        <w:t>Employees</w:t>
      </w:r>
    </w:p>
    <w:p w14:paraId="1B4FC47B" w14:textId="77777777" w:rsidR="00F17BA5" w:rsidRPr="007433B7" w:rsidRDefault="00F17BA5" w:rsidP="00F17BA5">
      <w:pPr>
        <w:jc w:val="both"/>
        <w:outlineLvl w:val="0"/>
        <w:rPr>
          <w:rFonts w:cs="Arial"/>
        </w:rPr>
      </w:pPr>
    </w:p>
    <w:p w14:paraId="5E315928" w14:textId="3D3F4859" w:rsidR="00F17BA5" w:rsidRPr="007433B7" w:rsidRDefault="00F17BA5" w:rsidP="00F17BA5">
      <w:pPr>
        <w:jc w:val="both"/>
        <w:outlineLvl w:val="0"/>
        <w:rPr>
          <w:rFonts w:cs="Arial"/>
        </w:rPr>
      </w:pPr>
      <w:r w:rsidRPr="007433B7">
        <w:rPr>
          <w:rFonts w:cs="Arial"/>
        </w:rPr>
        <w:t xml:space="preserve">Details of the number of employees and related costs can be found in note 7 </w:t>
      </w:r>
      <w:r w:rsidR="00951CC2">
        <w:rPr>
          <w:rFonts w:cs="Arial"/>
        </w:rPr>
        <w:t>t</w:t>
      </w:r>
      <w:r w:rsidRPr="007433B7">
        <w:rPr>
          <w:rFonts w:cs="Arial"/>
        </w:rPr>
        <w:t>o the financial statements. We value our staff and have a strong commitment to equal opportunities and partnership working with trade unions. TfE</w:t>
      </w:r>
      <w:r w:rsidR="00CB21E8" w:rsidRPr="007433B7">
        <w:rPr>
          <w:rFonts w:cs="Arial"/>
        </w:rPr>
        <w:t>, Lothian Buses</w:t>
      </w:r>
      <w:r w:rsidRPr="007433B7">
        <w:rPr>
          <w:rFonts w:cs="Arial"/>
        </w:rPr>
        <w:t xml:space="preserve"> and Edinburgh Trams are accredited Living Wage Employers.</w:t>
      </w:r>
    </w:p>
    <w:p w14:paraId="26362F65" w14:textId="77777777" w:rsidR="00F17BA5" w:rsidRPr="007433B7" w:rsidRDefault="00F17BA5" w:rsidP="00F17BA5">
      <w:pPr>
        <w:jc w:val="both"/>
        <w:outlineLvl w:val="0"/>
        <w:rPr>
          <w:rFonts w:cs="Arial"/>
        </w:rPr>
      </w:pPr>
    </w:p>
    <w:p w14:paraId="07C503B2" w14:textId="77777777" w:rsidR="00F17BA5" w:rsidRPr="007433B7" w:rsidRDefault="00F17BA5" w:rsidP="00F17BA5">
      <w:pPr>
        <w:jc w:val="both"/>
        <w:outlineLvl w:val="0"/>
        <w:rPr>
          <w:rFonts w:cs="Arial"/>
        </w:rPr>
      </w:pPr>
      <w:r w:rsidRPr="007433B7">
        <w:rPr>
          <w:rFonts w:cs="Arial"/>
        </w:rPr>
        <w:t>Training, development</w:t>
      </w:r>
      <w:r w:rsidR="00951CC2">
        <w:rPr>
          <w:rFonts w:cs="Arial"/>
        </w:rPr>
        <w:t xml:space="preserve"> </w:t>
      </w:r>
      <w:r w:rsidRPr="007433B7">
        <w:rPr>
          <w:rFonts w:cs="Arial"/>
        </w:rPr>
        <w:t>and promotion opportunities, where appropriate, are available to all employees. Employment practices are continuously reviewed and updated to ensure that non-discriminatory legislation and codes of practice apply equally to all current and potential employees. We recognise the need for ongoing training, not just for new recruits, but also on a continuing basis for existing staff.</w:t>
      </w:r>
    </w:p>
    <w:p w14:paraId="2C2B7A83" w14:textId="77777777" w:rsidR="00476D7C" w:rsidRPr="007433B7" w:rsidRDefault="00476D7C" w:rsidP="00476D7C">
      <w:pPr>
        <w:jc w:val="both"/>
        <w:outlineLvl w:val="0"/>
        <w:rPr>
          <w:rFonts w:cs="Arial"/>
          <w:b/>
        </w:rPr>
      </w:pPr>
    </w:p>
    <w:p w14:paraId="1B07CBEF" w14:textId="77777777" w:rsidR="00BE3723" w:rsidRPr="007433B7" w:rsidRDefault="0088241A" w:rsidP="00BE3723">
      <w:pPr>
        <w:jc w:val="both"/>
        <w:outlineLvl w:val="0"/>
        <w:rPr>
          <w:iCs/>
        </w:rPr>
      </w:pPr>
      <w:r w:rsidRPr="007433B7">
        <w:rPr>
          <w:rFonts w:cs="Arial"/>
        </w:rPr>
        <w:t xml:space="preserve">Training programmes include customer care and disability awareness. The training is an essential part of employee development and helps ensure best practice. The Group recognises that employee involvement is fundamental to its success. Executive Directors have regular meetings with elected staff representatives and informal meetings at employee level from time to time. Employees are encouraged to contribute to discussions on specific areas of importance such as health and safety, staff catering and staff welfare. Applications for employment received from disabled persons are considered on an equal basis with other applications, subject to the nature and extent of the disability and the degree of physical fitness demanded of the post. </w:t>
      </w:r>
      <w:r w:rsidRPr="007433B7">
        <w:rPr>
          <w:iCs/>
        </w:rPr>
        <w:t>We recognise the need to develop our staff and during 202</w:t>
      </w:r>
      <w:r w:rsidR="006D4B73" w:rsidRPr="007433B7">
        <w:rPr>
          <w:iCs/>
        </w:rPr>
        <w:t>5</w:t>
      </w:r>
      <w:r w:rsidRPr="007433B7">
        <w:rPr>
          <w:iCs/>
        </w:rPr>
        <w:t xml:space="preserve"> we will again invest heavily in our Supervisors, Managers and Leaders to ensure they have the right skills and attributes to lead and inspire our staff. Health and wellbeing training will </w:t>
      </w:r>
      <w:r w:rsidR="00465EB7">
        <w:rPr>
          <w:iCs/>
        </w:rPr>
        <w:t xml:space="preserve">also </w:t>
      </w:r>
      <w:r w:rsidRPr="007433B7">
        <w:rPr>
          <w:iCs/>
        </w:rPr>
        <w:t>continue in 202</w:t>
      </w:r>
      <w:r w:rsidR="000C26A7" w:rsidRPr="007433B7">
        <w:rPr>
          <w:iCs/>
        </w:rPr>
        <w:t>5</w:t>
      </w:r>
      <w:r w:rsidRPr="007433B7">
        <w:rPr>
          <w:iCs/>
        </w:rPr>
        <w:t>. To ensure our ongoing commitment to good and progressive employee relations and engagement</w:t>
      </w:r>
      <w:r w:rsidR="00D5024E">
        <w:rPr>
          <w:iCs/>
        </w:rPr>
        <w:t>,</w:t>
      </w:r>
      <w:r w:rsidRPr="007433B7">
        <w:rPr>
          <w:iCs/>
        </w:rPr>
        <w:t xml:space="preserve"> Lothian Buses and Edinburgh Trams have a People Function with dedicated People Managers in the main bus depots and at the Gogar tram depot. Working alongside both operational and non-operational management they advise and guide on a wide range of employment matters, ensuring legal compliance and best practice is at the fore when dealing with employees.</w:t>
      </w:r>
    </w:p>
    <w:p w14:paraId="15274939" w14:textId="77777777" w:rsidR="00476D7C" w:rsidRPr="007433B7" w:rsidRDefault="00476D7C" w:rsidP="00476D7C">
      <w:pPr>
        <w:jc w:val="both"/>
        <w:outlineLvl w:val="0"/>
        <w:rPr>
          <w:rFonts w:cs="Arial"/>
          <w:b/>
        </w:rPr>
      </w:pPr>
    </w:p>
    <w:p w14:paraId="1F30C86E" w14:textId="77777777" w:rsidR="0088241A" w:rsidRPr="007433B7" w:rsidRDefault="0088241A" w:rsidP="0088241A">
      <w:pPr>
        <w:jc w:val="both"/>
        <w:rPr>
          <w:rFonts w:cs="Arial"/>
        </w:rPr>
      </w:pPr>
      <w:r w:rsidRPr="007433B7">
        <w:rPr>
          <w:rFonts w:cs="Arial"/>
          <w:b/>
        </w:rPr>
        <w:t>Risks and Uncertainties</w:t>
      </w:r>
    </w:p>
    <w:p w14:paraId="2D85EAB2" w14:textId="77777777" w:rsidR="0088241A" w:rsidRPr="007433B7" w:rsidRDefault="0088241A" w:rsidP="0088241A">
      <w:pPr>
        <w:jc w:val="both"/>
        <w:rPr>
          <w:rFonts w:cs="Arial"/>
        </w:rPr>
      </w:pPr>
    </w:p>
    <w:p w14:paraId="05897420" w14:textId="6B7773B7" w:rsidR="0088241A" w:rsidRPr="007433B7" w:rsidRDefault="0088241A" w:rsidP="0088241A">
      <w:pPr>
        <w:jc w:val="both"/>
        <w:rPr>
          <w:rFonts w:cs="Arial"/>
        </w:rPr>
      </w:pPr>
      <w:r w:rsidRPr="007433B7">
        <w:rPr>
          <w:rFonts w:cs="Arial"/>
        </w:rPr>
        <w:t>The Boards regularly review the Risk Registers, which detail and identify risks from all areas of operations.</w:t>
      </w:r>
      <w:r w:rsidR="00B42E83" w:rsidRPr="00B42E83">
        <w:rPr>
          <w:rFonts w:cs="Arial"/>
        </w:rPr>
        <w:t xml:space="preserve"> The Boards and the Audit and Risk Committees of the Company and Lothian Buses, regularly review the process of identifying, evaluating and managing the significant risks that the Group faces</w:t>
      </w:r>
      <w:r w:rsidR="00E509CB">
        <w:rPr>
          <w:rFonts w:cs="Arial"/>
        </w:rPr>
        <w:t>.</w:t>
      </w:r>
      <w:r w:rsidR="004E7A8B" w:rsidRPr="007433B7">
        <w:rPr>
          <w:rFonts w:cs="Arial"/>
        </w:rPr>
        <w:t xml:space="preserve"> </w:t>
      </w:r>
      <w:r w:rsidRPr="007433B7">
        <w:rPr>
          <w:rFonts w:cs="Arial"/>
        </w:rPr>
        <w:t>The Group is subject to risk factors both internal and external to its business. External risks include, political and economic conditions, competitive developments, supply chain interruptions, regulatory and legislative changes, service di</w:t>
      </w:r>
      <w:r w:rsidR="00465EB7">
        <w:rPr>
          <w:rFonts w:cs="Arial"/>
        </w:rPr>
        <w:t>sruption</w:t>
      </w:r>
      <w:r w:rsidRPr="007433B7">
        <w:rPr>
          <w:rFonts w:cs="Arial"/>
        </w:rPr>
        <w:t>, supply price increases, pension funding, environmental risks, strikes, congestion, and litigation. Internal risks include risks related to capital expenditure, regulatory compliance failure and the failure of internal controls. The Boards consider acceptance of appropriate risk to be an integral part of business and unacceptable levels of risks are treated or transferred.</w:t>
      </w:r>
    </w:p>
    <w:p w14:paraId="0538B1B7" w14:textId="77777777" w:rsidR="0088241A" w:rsidRPr="007433B7" w:rsidRDefault="0088241A" w:rsidP="0088241A">
      <w:pPr>
        <w:jc w:val="both"/>
        <w:rPr>
          <w:rFonts w:cs="Arial"/>
        </w:rPr>
      </w:pPr>
    </w:p>
    <w:p w14:paraId="6B0674E5" w14:textId="77777777" w:rsidR="00BE3723" w:rsidRPr="007433B7" w:rsidRDefault="0088241A" w:rsidP="0088241A">
      <w:pPr>
        <w:jc w:val="both"/>
        <w:rPr>
          <w:rFonts w:cs="Arial"/>
        </w:rPr>
      </w:pPr>
      <w:r w:rsidRPr="007433B7">
        <w:rPr>
          <w:rFonts w:cs="Arial"/>
        </w:rPr>
        <w:t>The Group uses an advance contracting strategy to reduce the impact of future volatility in diesel fuel prices. The strategy is targeted to fix the cost of diesel fuel to the Group through a part volume fixed price contract.</w:t>
      </w:r>
    </w:p>
    <w:p w14:paraId="71BF76F7" w14:textId="77777777" w:rsidR="00476D7C" w:rsidRPr="007433B7" w:rsidRDefault="00476D7C" w:rsidP="00476D7C">
      <w:pPr>
        <w:jc w:val="both"/>
        <w:rPr>
          <w:rFonts w:cs="Arial"/>
        </w:rPr>
      </w:pPr>
    </w:p>
    <w:p w14:paraId="5943D2A5" w14:textId="77777777" w:rsidR="00EB2186" w:rsidRPr="007433B7" w:rsidRDefault="00EB2186" w:rsidP="00EB2186">
      <w:pPr>
        <w:jc w:val="center"/>
        <w:rPr>
          <w:b/>
        </w:rPr>
      </w:pPr>
      <w:r>
        <w:rPr>
          <w:rFonts w:cs="Arial"/>
          <w:b/>
        </w:rPr>
        <w:br w:type="page"/>
      </w:r>
      <w:r w:rsidRPr="007433B7">
        <w:rPr>
          <w:b/>
        </w:rPr>
        <w:lastRenderedPageBreak/>
        <w:t>TRANSPORT FOR EDINBURGH LIMITED</w:t>
      </w:r>
    </w:p>
    <w:p w14:paraId="19F4F9F5" w14:textId="77777777" w:rsidR="00EB2186" w:rsidRPr="007433B7" w:rsidRDefault="00EB2186" w:rsidP="00EB2186">
      <w:pPr>
        <w:rPr>
          <w:b/>
        </w:rPr>
      </w:pPr>
    </w:p>
    <w:p w14:paraId="6625E2B3" w14:textId="77777777" w:rsidR="00EB2186" w:rsidRPr="007433B7" w:rsidRDefault="00EB2186" w:rsidP="00EB2186">
      <w:pPr>
        <w:jc w:val="center"/>
        <w:rPr>
          <w:b/>
        </w:rPr>
      </w:pPr>
      <w:r w:rsidRPr="007433B7">
        <w:rPr>
          <w:b/>
        </w:rPr>
        <w:t>Strategic Report (continued)</w:t>
      </w:r>
    </w:p>
    <w:p w14:paraId="5676DDCB" w14:textId="77777777" w:rsidR="00EB2186" w:rsidRPr="007433B7" w:rsidRDefault="00EB2186" w:rsidP="00EB2186">
      <w:pPr>
        <w:jc w:val="center"/>
        <w:rPr>
          <w:b/>
        </w:rPr>
      </w:pPr>
    </w:p>
    <w:p w14:paraId="29279CC0" w14:textId="77777777" w:rsidR="00EB2186" w:rsidRPr="007433B7" w:rsidRDefault="00EB2186" w:rsidP="00EB2186">
      <w:pPr>
        <w:jc w:val="center"/>
        <w:rPr>
          <w:b/>
        </w:rPr>
      </w:pPr>
      <w:r w:rsidRPr="007433B7">
        <w:rPr>
          <w:b/>
        </w:rPr>
        <w:t>For the period ended 28 December 2024</w:t>
      </w:r>
    </w:p>
    <w:p w14:paraId="6FB529B8" w14:textId="77777777" w:rsidR="00EB2186" w:rsidRPr="007433B7" w:rsidRDefault="00EB2186" w:rsidP="00EB2186">
      <w:pPr>
        <w:jc w:val="center"/>
        <w:rPr>
          <w:b/>
        </w:rPr>
      </w:pPr>
    </w:p>
    <w:p w14:paraId="140E6BFC" w14:textId="77777777" w:rsidR="00AE0A47" w:rsidRPr="007433B7" w:rsidRDefault="00AE0A47" w:rsidP="00AE0A47">
      <w:pPr>
        <w:jc w:val="both"/>
        <w:rPr>
          <w:rFonts w:cs="Arial"/>
          <w:b/>
        </w:rPr>
      </w:pPr>
      <w:r w:rsidRPr="007433B7">
        <w:rPr>
          <w:rFonts w:cs="Arial"/>
          <w:b/>
        </w:rPr>
        <w:t>Corporate Social Responsibility</w:t>
      </w:r>
    </w:p>
    <w:p w14:paraId="08516B02" w14:textId="77777777" w:rsidR="00AE0A47" w:rsidRPr="007433B7" w:rsidRDefault="00AE0A47" w:rsidP="00AE0A47">
      <w:pPr>
        <w:jc w:val="both"/>
        <w:rPr>
          <w:rFonts w:cs="Arial"/>
          <w:b/>
          <w:sz w:val="10"/>
          <w:szCs w:val="10"/>
        </w:rPr>
      </w:pPr>
    </w:p>
    <w:p w14:paraId="3682D1A4" w14:textId="77777777" w:rsidR="00AE0A47" w:rsidRPr="007433B7" w:rsidRDefault="000B16F6" w:rsidP="00AE0A47">
      <w:pPr>
        <w:jc w:val="both"/>
        <w:rPr>
          <w:rFonts w:cs="Arial"/>
        </w:rPr>
      </w:pPr>
      <w:r>
        <w:rPr>
          <w:rFonts w:cs="Arial"/>
        </w:rPr>
        <w:t xml:space="preserve">The Group </w:t>
      </w:r>
      <w:r w:rsidR="002053E9" w:rsidRPr="007433B7">
        <w:rPr>
          <w:rFonts w:cs="Arial"/>
        </w:rPr>
        <w:t>continue</w:t>
      </w:r>
      <w:r>
        <w:rPr>
          <w:rFonts w:cs="Arial"/>
        </w:rPr>
        <w:t>s</w:t>
      </w:r>
      <w:r w:rsidR="002053E9" w:rsidRPr="007433B7">
        <w:rPr>
          <w:rFonts w:cs="Arial"/>
        </w:rPr>
        <w:t xml:space="preserve"> to be</w:t>
      </w:r>
      <w:r w:rsidR="00AE0A47" w:rsidRPr="007433B7">
        <w:rPr>
          <w:rFonts w:cs="Arial"/>
        </w:rPr>
        <w:t xml:space="preserve"> proactive both in </w:t>
      </w:r>
      <w:r w:rsidR="002053E9" w:rsidRPr="007433B7">
        <w:rPr>
          <w:rFonts w:cs="Arial"/>
        </w:rPr>
        <w:t xml:space="preserve">terms of </w:t>
      </w:r>
      <w:r w:rsidR="00AE0A47" w:rsidRPr="007433B7">
        <w:rPr>
          <w:rFonts w:cs="Arial"/>
        </w:rPr>
        <w:t xml:space="preserve">environmental achievements and other partnerships. </w:t>
      </w:r>
    </w:p>
    <w:p w14:paraId="53B156F8" w14:textId="77777777" w:rsidR="00AE0A47" w:rsidRPr="007433B7" w:rsidRDefault="00AE0A47" w:rsidP="00AE0A47">
      <w:pPr>
        <w:jc w:val="both"/>
        <w:rPr>
          <w:rFonts w:cs="Arial"/>
          <w:sz w:val="10"/>
          <w:szCs w:val="10"/>
        </w:rPr>
      </w:pPr>
    </w:p>
    <w:p w14:paraId="5562527E" w14:textId="77777777" w:rsidR="002D0BD0" w:rsidRDefault="00C06944" w:rsidP="00025A82">
      <w:pPr>
        <w:jc w:val="both"/>
      </w:pPr>
      <w:r w:rsidRPr="007433B7">
        <w:t>Lothian Buses acquired a further 20 new electric double deck buses in 2024</w:t>
      </w:r>
      <w:r w:rsidR="00E0748B">
        <w:t>, a</w:t>
      </w:r>
      <w:r w:rsidRPr="007433B7">
        <w:t>dd</w:t>
      </w:r>
      <w:r w:rsidR="00E0748B">
        <w:t>ing</w:t>
      </w:r>
      <w:r w:rsidRPr="007433B7">
        <w:t xml:space="preserve"> to their zero emission fleet and provid</w:t>
      </w:r>
      <w:r w:rsidR="00E0748B">
        <w:t>ing</w:t>
      </w:r>
      <w:r w:rsidRPr="007433B7">
        <w:t xml:space="preserve"> an enhanced passenger experience. The</w:t>
      </w:r>
      <w:r w:rsidR="0018043C">
        <w:t xml:space="preserve"> Lothian fleet</w:t>
      </w:r>
      <w:r w:rsidRPr="007433B7">
        <w:rPr>
          <w:lang w:val="en-US"/>
        </w:rPr>
        <w:t xml:space="preserve"> met the requirements of the Low Emission Zone introduced by the City of Edinburgh Council well before the June 2024 deadline with their vehicles being at least Euro VI</w:t>
      </w:r>
      <w:r w:rsidR="0018043C">
        <w:rPr>
          <w:lang w:val="en-US"/>
        </w:rPr>
        <w:t xml:space="preserve"> compliant</w:t>
      </w:r>
      <w:r w:rsidRPr="007433B7">
        <w:rPr>
          <w:lang w:val="en-US"/>
        </w:rPr>
        <w:t>. During 2024 Lothian</w:t>
      </w:r>
      <w:r w:rsidRPr="007433B7">
        <w:t xml:space="preserve"> Buses continued to conduct extensive research into zero emission technology</w:t>
      </w:r>
      <w:r w:rsidR="0018043C">
        <w:t xml:space="preserve">, </w:t>
      </w:r>
      <w:r w:rsidRPr="007433B7">
        <w:t xml:space="preserve">making good use of zero emission demo vehicles from Volvo, Mercedes and Wrightbus. Additional charging infrastructure was added for the use of further new electric vans in their ancillary vehicle fleet. Over the next few years there are commitments to upgrade their vehicle fleet further using zero emission technology. During 2025, </w:t>
      </w:r>
      <w:r w:rsidR="007B2678">
        <w:t>Lothian</w:t>
      </w:r>
      <w:r w:rsidR="00342238">
        <w:t xml:space="preserve"> Buses</w:t>
      </w:r>
      <w:r w:rsidRPr="007433B7">
        <w:t xml:space="preserve"> will have more zero emission vans introduced and expect delivery of a new order of 48 zero emission double deck buses. Continued investment in zero emission technology both in terms of time and money heavily supports air quality improvements in the operational environment and local community. </w:t>
      </w:r>
    </w:p>
    <w:p w14:paraId="380382EA" w14:textId="77777777" w:rsidR="002D0BD0" w:rsidRDefault="002D0BD0" w:rsidP="00025A82">
      <w:pPr>
        <w:jc w:val="both"/>
      </w:pPr>
    </w:p>
    <w:p w14:paraId="79C22E5C" w14:textId="77777777" w:rsidR="002D0BD0" w:rsidRDefault="00C06944" w:rsidP="00025A82">
      <w:pPr>
        <w:jc w:val="both"/>
        <w:rPr>
          <w:lang w:val="en-US"/>
        </w:rPr>
      </w:pPr>
      <w:r w:rsidRPr="007433B7">
        <w:rPr>
          <w:lang w:val="en-US"/>
        </w:rPr>
        <w:t>Since 2022 the Privilege Ridacard scheme for staff has allowed staff to nominate one friend or family member to receive a discounted annual Ridacard assisting and improving access to public transport and therefore helping to reduc</w:t>
      </w:r>
      <w:r w:rsidR="00E0748B">
        <w:rPr>
          <w:lang w:val="en-US"/>
        </w:rPr>
        <w:t>e</w:t>
      </w:r>
      <w:r w:rsidRPr="007433B7">
        <w:rPr>
          <w:lang w:val="en-US"/>
        </w:rPr>
        <w:t xml:space="preserve"> reliance on car travel and related journeys. </w:t>
      </w:r>
    </w:p>
    <w:p w14:paraId="29797A15" w14:textId="77777777" w:rsidR="002D0BD0" w:rsidRDefault="002D0BD0" w:rsidP="00025A82">
      <w:pPr>
        <w:jc w:val="both"/>
        <w:rPr>
          <w:lang w:val="en-US"/>
        </w:rPr>
      </w:pPr>
    </w:p>
    <w:p w14:paraId="344D3871" w14:textId="77777777" w:rsidR="002D0BD0" w:rsidRDefault="00C06944" w:rsidP="00025A82">
      <w:pPr>
        <w:jc w:val="both"/>
        <w:rPr>
          <w:lang w:val="en-US"/>
        </w:rPr>
      </w:pPr>
      <w:r w:rsidRPr="007433B7">
        <w:rPr>
          <w:lang w:val="en-US"/>
        </w:rPr>
        <w:t xml:space="preserve">In 2024 Lothian Buses completed their annual Green Tourism </w:t>
      </w:r>
      <w:r w:rsidR="00E0748B">
        <w:rPr>
          <w:lang w:val="en-US"/>
        </w:rPr>
        <w:t>E</w:t>
      </w:r>
      <w:r w:rsidRPr="007433B7">
        <w:rPr>
          <w:lang w:val="en-US"/>
        </w:rPr>
        <w:t xml:space="preserve">nvironmental &amp; </w:t>
      </w:r>
      <w:r w:rsidR="00E0748B">
        <w:rPr>
          <w:lang w:val="en-US"/>
        </w:rPr>
        <w:t>S</w:t>
      </w:r>
      <w:r w:rsidRPr="007433B7">
        <w:rPr>
          <w:lang w:val="en-US"/>
        </w:rPr>
        <w:t xml:space="preserve">ustainability assessment which recognized strong performance in the key areas of Fleet, Health &amp; Wellbeing and Accessibility, Equality &amp; Inclusivity. </w:t>
      </w:r>
    </w:p>
    <w:p w14:paraId="117B2577" w14:textId="77777777" w:rsidR="002D0BD0" w:rsidRDefault="002D0BD0" w:rsidP="00025A82">
      <w:pPr>
        <w:jc w:val="both"/>
        <w:rPr>
          <w:lang w:val="en-US"/>
        </w:rPr>
      </w:pPr>
    </w:p>
    <w:p w14:paraId="3C58F49D" w14:textId="77777777" w:rsidR="002D0BD0" w:rsidRDefault="00C06944" w:rsidP="00025A82">
      <w:pPr>
        <w:jc w:val="both"/>
      </w:pPr>
      <w:r w:rsidRPr="007433B7">
        <w:rPr>
          <w:lang w:val="en-US"/>
        </w:rPr>
        <w:t>Lothian Buses</w:t>
      </w:r>
      <w:r w:rsidRPr="007433B7">
        <w:t xml:space="preserve"> successfully guided first-year engineering apprentices through a Powering Futures challenge that was specifically tailored to the workplace. It involved working closely with the Powering Futures team to design a challenge that was both relevant and engaging, ensuring it aligned with real-world issues within the business. Their final presentations were a great success demonstrating the value of investing in future talent. </w:t>
      </w:r>
    </w:p>
    <w:p w14:paraId="3BACEF38" w14:textId="77777777" w:rsidR="002D0BD0" w:rsidRDefault="002D0BD0" w:rsidP="00025A82">
      <w:pPr>
        <w:jc w:val="both"/>
      </w:pPr>
    </w:p>
    <w:p w14:paraId="74621C6B" w14:textId="77777777" w:rsidR="002D0BD0" w:rsidRDefault="00C06944" w:rsidP="00025A82">
      <w:pPr>
        <w:jc w:val="both"/>
      </w:pPr>
      <w:r w:rsidRPr="007433B7">
        <w:t xml:space="preserve">Lothian Buses were fully compliant with Energy Savings Opportunities Scheme (ESOS) Phase 3 by the December 2024 deadline. This new phase is much more involved and will now </w:t>
      </w:r>
      <w:r w:rsidR="00E0748B">
        <w:t>include</w:t>
      </w:r>
      <w:r w:rsidRPr="007433B7">
        <w:t xml:space="preserve"> an annual update report to track progress. </w:t>
      </w:r>
    </w:p>
    <w:p w14:paraId="72E93658" w14:textId="77777777" w:rsidR="002D0BD0" w:rsidRDefault="002D0BD0" w:rsidP="00025A82">
      <w:pPr>
        <w:jc w:val="both"/>
      </w:pPr>
    </w:p>
    <w:p w14:paraId="77D6C95F" w14:textId="77777777" w:rsidR="00AE0A47" w:rsidRPr="007433B7" w:rsidRDefault="00C06944" w:rsidP="00025A82">
      <w:pPr>
        <w:jc w:val="both"/>
      </w:pPr>
      <w:r w:rsidRPr="007433B7">
        <w:t>A lot of work went into investigation and improvement of site drainage to ensure continued compliance at each location. Th</w:t>
      </w:r>
      <w:r w:rsidR="0018043C">
        <w:t xml:space="preserve">is included </w:t>
      </w:r>
      <w:r w:rsidRPr="007433B7">
        <w:t>review</w:t>
      </w:r>
      <w:r w:rsidR="0018043C">
        <w:t>ing</w:t>
      </w:r>
      <w:r w:rsidRPr="007433B7">
        <w:t xml:space="preserve"> and updat</w:t>
      </w:r>
      <w:r w:rsidR="0018043C">
        <w:t>ing</w:t>
      </w:r>
      <w:r w:rsidRPr="007433B7">
        <w:t xml:space="preserve"> the spills procedures which inc</w:t>
      </w:r>
      <w:r w:rsidR="00AE4DD5">
        <w:t xml:space="preserve">orporate </w:t>
      </w:r>
      <w:r w:rsidRPr="007433B7">
        <w:t>secondary containment measures.</w:t>
      </w:r>
    </w:p>
    <w:p w14:paraId="05F84803" w14:textId="77777777" w:rsidR="002053E9" w:rsidRPr="007433B7" w:rsidRDefault="002053E9" w:rsidP="00025A82">
      <w:pPr>
        <w:jc w:val="both"/>
      </w:pPr>
    </w:p>
    <w:p w14:paraId="20EF505E" w14:textId="77777777" w:rsidR="002D0BD0" w:rsidRDefault="00AE0A47" w:rsidP="00025A82">
      <w:pPr>
        <w:jc w:val="both"/>
        <w:rPr>
          <w:rFonts w:cs="Arial"/>
          <w:lang w:eastAsia="en-GB"/>
        </w:rPr>
      </w:pPr>
      <w:r w:rsidRPr="007433B7">
        <w:rPr>
          <w:rFonts w:cs="Arial"/>
        </w:rPr>
        <w:t>Edinburgh Trams</w:t>
      </w:r>
      <w:r w:rsidR="00BA1D4D" w:rsidRPr="007433B7">
        <w:rPr>
          <w:rFonts w:cs="Arial"/>
        </w:rPr>
        <w:t xml:space="preserve">, being </w:t>
      </w:r>
      <w:r w:rsidR="00BA1D4D" w:rsidRPr="007433B7">
        <w:rPr>
          <w:rFonts w:cs="Arial"/>
          <w:lang w:eastAsia="en-GB"/>
        </w:rPr>
        <w:t>members of the Edinburgh Climate Compact, continue</w:t>
      </w:r>
      <w:r w:rsidR="00E0748B">
        <w:rPr>
          <w:rFonts w:cs="Arial"/>
          <w:lang w:eastAsia="en-GB"/>
        </w:rPr>
        <w:t>d</w:t>
      </w:r>
      <w:r w:rsidR="00BA1D4D" w:rsidRPr="007433B7">
        <w:rPr>
          <w:rFonts w:cs="Arial"/>
          <w:lang w:eastAsia="en-GB"/>
        </w:rPr>
        <w:t xml:space="preserve"> to implement emission reduction measures </w:t>
      </w:r>
      <w:r w:rsidR="00296266" w:rsidRPr="007433B7">
        <w:rPr>
          <w:rFonts w:cs="Arial"/>
          <w:lang w:eastAsia="en-GB"/>
        </w:rPr>
        <w:t>and contribute to the ongoing success of the Group</w:t>
      </w:r>
      <w:r w:rsidR="00BA1D4D" w:rsidRPr="007433B7">
        <w:rPr>
          <w:rFonts w:cs="Arial"/>
          <w:lang w:eastAsia="en-GB"/>
        </w:rPr>
        <w:t xml:space="preserve">. </w:t>
      </w:r>
    </w:p>
    <w:p w14:paraId="17EADF3F" w14:textId="77777777" w:rsidR="002D0BD0" w:rsidRDefault="002D0BD0" w:rsidP="00025A82">
      <w:pPr>
        <w:jc w:val="both"/>
        <w:rPr>
          <w:rFonts w:cs="Arial"/>
          <w:lang w:eastAsia="en-GB"/>
        </w:rPr>
      </w:pPr>
    </w:p>
    <w:p w14:paraId="28833719" w14:textId="77777777" w:rsidR="002D0BD0" w:rsidRPr="00E0748B" w:rsidRDefault="00296266" w:rsidP="00025A82">
      <w:pPr>
        <w:jc w:val="both"/>
        <w:rPr>
          <w:rFonts w:cs="Arial"/>
        </w:rPr>
      </w:pPr>
      <w:r w:rsidRPr="007433B7">
        <w:rPr>
          <w:rFonts w:cs="Arial"/>
        </w:rPr>
        <w:t>Good</w:t>
      </w:r>
      <w:r w:rsidR="00BA1D4D" w:rsidRPr="00E0748B">
        <w:rPr>
          <w:rFonts w:cs="Arial"/>
        </w:rPr>
        <w:t xml:space="preserve"> </w:t>
      </w:r>
      <w:r w:rsidR="00BA1D4D" w:rsidRPr="007433B7">
        <w:rPr>
          <w:rFonts w:cs="Arial"/>
        </w:rPr>
        <w:t>progress</w:t>
      </w:r>
      <w:r w:rsidR="00BA1D4D" w:rsidRPr="00E0748B">
        <w:rPr>
          <w:rFonts w:cs="Arial"/>
        </w:rPr>
        <w:t xml:space="preserve"> </w:t>
      </w:r>
      <w:r w:rsidR="00BA1D4D" w:rsidRPr="007433B7">
        <w:rPr>
          <w:rFonts w:cs="Arial"/>
        </w:rPr>
        <w:t>has</w:t>
      </w:r>
      <w:r w:rsidR="00BA1D4D" w:rsidRPr="00E0748B">
        <w:rPr>
          <w:rFonts w:cs="Arial"/>
        </w:rPr>
        <w:t xml:space="preserve"> </w:t>
      </w:r>
      <w:r w:rsidR="00BA1D4D" w:rsidRPr="007433B7">
        <w:rPr>
          <w:rFonts w:cs="Arial"/>
        </w:rPr>
        <w:t>been</w:t>
      </w:r>
      <w:r w:rsidR="00BA1D4D" w:rsidRPr="00E0748B">
        <w:rPr>
          <w:rFonts w:cs="Arial"/>
        </w:rPr>
        <w:t xml:space="preserve"> </w:t>
      </w:r>
      <w:r w:rsidR="00BA1D4D" w:rsidRPr="007433B7">
        <w:rPr>
          <w:rFonts w:cs="Arial"/>
        </w:rPr>
        <w:t>made</w:t>
      </w:r>
      <w:r w:rsidR="00BA1D4D" w:rsidRPr="00E0748B">
        <w:rPr>
          <w:rFonts w:cs="Arial"/>
        </w:rPr>
        <w:t xml:space="preserve"> </w:t>
      </w:r>
      <w:r w:rsidR="00BA1D4D" w:rsidRPr="007433B7">
        <w:rPr>
          <w:rFonts w:cs="Arial"/>
        </w:rPr>
        <w:t>with</w:t>
      </w:r>
      <w:r w:rsidR="00BA1D4D" w:rsidRPr="00E0748B">
        <w:rPr>
          <w:rFonts w:cs="Arial"/>
        </w:rPr>
        <w:t xml:space="preserve"> </w:t>
      </w:r>
      <w:r w:rsidR="00E81C36" w:rsidRPr="00E0748B">
        <w:rPr>
          <w:rFonts w:cs="Arial"/>
        </w:rPr>
        <w:t>internal</w:t>
      </w:r>
      <w:r w:rsidR="00BA1D4D" w:rsidRPr="00E0748B">
        <w:rPr>
          <w:rFonts w:cs="Arial"/>
        </w:rPr>
        <w:t xml:space="preserve"> </w:t>
      </w:r>
      <w:r w:rsidR="00BA1D4D" w:rsidRPr="007433B7">
        <w:rPr>
          <w:rFonts w:cs="Arial"/>
        </w:rPr>
        <w:t>environmental</w:t>
      </w:r>
      <w:r w:rsidR="00BA1D4D" w:rsidRPr="00E0748B">
        <w:rPr>
          <w:rFonts w:cs="Arial"/>
        </w:rPr>
        <w:t xml:space="preserve"> </w:t>
      </w:r>
      <w:r w:rsidR="00BA1D4D" w:rsidRPr="007433B7">
        <w:rPr>
          <w:rFonts w:cs="Arial"/>
        </w:rPr>
        <w:t>objectives</w:t>
      </w:r>
      <w:r w:rsidR="00BA1D4D" w:rsidRPr="00E0748B">
        <w:rPr>
          <w:rFonts w:cs="Arial"/>
        </w:rPr>
        <w:t xml:space="preserve"> </w:t>
      </w:r>
      <w:r w:rsidR="00BA1D4D" w:rsidRPr="007433B7">
        <w:rPr>
          <w:rFonts w:cs="Arial"/>
        </w:rPr>
        <w:t>in</w:t>
      </w:r>
      <w:r w:rsidR="00BA1D4D" w:rsidRPr="00E0748B">
        <w:rPr>
          <w:rFonts w:cs="Arial"/>
        </w:rPr>
        <w:t xml:space="preserve"> </w:t>
      </w:r>
      <w:r w:rsidR="00BA1D4D" w:rsidRPr="007433B7">
        <w:rPr>
          <w:rFonts w:cs="Arial"/>
        </w:rPr>
        <w:t>202</w:t>
      </w:r>
      <w:r w:rsidRPr="007433B7">
        <w:rPr>
          <w:rFonts w:cs="Arial"/>
        </w:rPr>
        <w:t>4</w:t>
      </w:r>
      <w:r w:rsidR="00BA1D4D" w:rsidRPr="00E0748B">
        <w:rPr>
          <w:rFonts w:cs="Arial"/>
        </w:rPr>
        <w:t xml:space="preserve"> </w:t>
      </w:r>
      <w:r w:rsidR="00BA1D4D" w:rsidRPr="007433B7">
        <w:rPr>
          <w:rFonts w:cs="Arial"/>
        </w:rPr>
        <w:t>which</w:t>
      </w:r>
      <w:r w:rsidR="00BA1D4D" w:rsidRPr="00E0748B">
        <w:rPr>
          <w:rFonts w:cs="Arial"/>
        </w:rPr>
        <w:t xml:space="preserve"> </w:t>
      </w:r>
      <w:r w:rsidR="00E81C36" w:rsidRPr="00E0748B">
        <w:rPr>
          <w:rFonts w:cs="Arial"/>
        </w:rPr>
        <w:t>included the installation of smart LED lighting throughout the depot</w:t>
      </w:r>
      <w:r w:rsidR="00025A82" w:rsidRPr="00E0748B">
        <w:rPr>
          <w:rFonts w:cs="Arial"/>
        </w:rPr>
        <w:t>, automatically turning off lights in rooms not in use.</w:t>
      </w:r>
    </w:p>
    <w:p w14:paraId="4CE5914C" w14:textId="77777777" w:rsidR="002D0BD0" w:rsidRPr="00E0748B" w:rsidRDefault="002D0BD0" w:rsidP="00025A82">
      <w:pPr>
        <w:jc w:val="both"/>
        <w:rPr>
          <w:rFonts w:cs="Arial"/>
        </w:rPr>
      </w:pPr>
    </w:p>
    <w:p w14:paraId="1E03FAEF" w14:textId="77777777" w:rsidR="002D0BD0" w:rsidRDefault="00BA1D4D" w:rsidP="00025A82">
      <w:pPr>
        <w:jc w:val="both"/>
        <w:rPr>
          <w:rFonts w:cs="Arial"/>
        </w:rPr>
      </w:pPr>
      <w:r w:rsidRPr="007433B7">
        <w:rPr>
          <w:rFonts w:cs="Arial"/>
        </w:rPr>
        <w:t>Zero</w:t>
      </w:r>
      <w:r w:rsidRPr="00E0748B">
        <w:rPr>
          <w:rFonts w:cs="Arial"/>
        </w:rPr>
        <w:t xml:space="preserve"> </w:t>
      </w:r>
      <w:r w:rsidR="00296266" w:rsidRPr="007433B7">
        <w:rPr>
          <w:rFonts w:cs="Arial"/>
        </w:rPr>
        <w:t>n</w:t>
      </w:r>
      <w:r w:rsidRPr="007433B7">
        <w:rPr>
          <w:rFonts w:cs="Arial"/>
        </w:rPr>
        <w:t>on-</w:t>
      </w:r>
      <w:r w:rsidR="00296266" w:rsidRPr="007433B7">
        <w:rPr>
          <w:rFonts w:cs="Arial"/>
        </w:rPr>
        <w:t>c</w:t>
      </w:r>
      <w:r w:rsidRPr="007433B7">
        <w:rPr>
          <w:rFonts w:cs="Arial"/>
        </w:rPr>
        <w:t>onformities</w:t>
      </w:r>
      <w:r w:rsidRPr="00E0748B">
        <w:rPr>
          <w:rFonts w:cs="Arial"/>
        </w:rPr>
        <w:t xml:space="preserve"> </w:t>
      </w:r>
      <w:r w:rsidRPr="007433B7">
        <w:rPr>
          <w:rFonts w:cs="Arial"/>
        </w:rPr>
        <w:t>were</w:t>
      </w:r>
      <w:r w:rsidRPr="00E0748B">
        <w:rPr>
          <w:rFonts w:cs="Arial"/>
        </w:rPr>
        <w:t xml:space="preserve"> </w:t>
      </w:r>
      <w:r w:rsidRPr="007433B7">
        <w:rPr>
          <w:rFonts w:cs="Arial"/>
        </w:rPr>
        <w:t xml:space="preserve">raised against </w:t>
      </w:r>
      <w:r w:rsidR="00AE4DD5">
        <w:rPr>
          <w:rFonts w:cs="Arial"/>
        </w:rPr>
        <w:t xml:space="preserve">the </w:t>
      </w:r>
      <w:r w:rsidRPr="007433B7">
        <w:rPr>
          <w:rFonts w:cs="Arial"/>
        </w:rPr>
        <w:t>ISO 14001 certified Environmental</w:t>
      </w:r>
      <w:r w:rsidRPr="00E0748B">
        <w:rPr>
          <w:rFonts w:cs="Arial"/>
        </w:rPr>
        <w:t xml:space="preserve"> </w:t>
      </w:r>
      <w:r w:rsidRPr="007433B7">
        <w:rPr>
          <w:rFonts w:cs="Arial"/>
        </w:rPr>
        <w:t>Management System by</w:t>
      </w:r>
      <w:r w:rsidRPr="00E0748B">
        <w:rPr>
          <w:rFonts w:cs="Arial"/>
        </w:rPr>
        <w:t xml:space="preserve"> </w:t>
      </w:r>
      <w:r w:rsidRPr="007433B7">
        <w:rPr>
          <w:rFonts w:cs="Arial"/>
        </w:rPr>
        <w:t xml:space="preserve">BSI (external auditor) with all internally raised audit actions being fully closed out on the Master Action Tracker. </w:t>
      </w:r>
    </w:p>
    <w:p w14:paraId="19BE7300" w14:textId="77777777" w:rsidR="00E0748B" w:rsidRDefault="00E0748B" w:rsidP="00025A82">
      <w:pPr>
        <w:jc w:val="both"/>
        <w:rPr>
          <w:rFonts w:cs="Arial"/>
        </w:rPr>
      </w:pPr>
    </w:p>
    <w:p w14:paraId="3A4E881D" w14:textId="77777777" w:rsidR="002D0BD0" w:rsidRDefault="00BA1D4D" w:rsidP="00025A82">
      <w:pPr>
        <w:jc w:val="both"/>
        <w:rPr>
          <w:spacing w:val="-2"/>
          <w:lang w:eastAsia="en-GB"/>
        </w:rPr>
      </w:pPr>
      <w:r w:rsidRPr="007433B7">
        <w:rPr>
          <w:rFonts w:cs="Arial"/>
          <w:lang w:eastAsia="en-GB"/>
        </w:rPr>
        <w:t>In</w:t>
      </w:r>
      <w:r w:rsidRPr="007433B7">
        <w:rPr>
          <w:rFonts w:cs="Arial"/>
          <w:spacing w:val="-2"/>
          <w:lang w:eastAsia="en-GB"/>
        </w:rPr>
        <w:t xml:space="preserve"> </w:t>
      </w:r>
      <w:r w:rsidRPr="007433B7">
        <w:rPr>
          <w:rFonts w:cs="Arial"/>
          <w:lang w:eastAsia="en-GB"/>
        </w:rPr>
        <w:t>202</w:t>
      </w:r>
      <w:r w:rsidR="00296266" w:rsidRPr="007433B7">
        <w:rPr>
          <w:rFonts w:cs="Arial"/>
          <w:lang w:eastAsia="en-GB"/>
        </w:rPr>
        <w:t>4</w:t>
      </w:r>
      <w:r w:rsidRPr="007433B7">
        <w:rPr>
          <w:lang w:eastAsia="en-GB"/>
        </w:rPr>
        <w:t>,</w:t>
      </w:r>
      <w:r w:rsidRPr="007433B7">
        <w:rPr>
          <w:spacing w:val="-2"/>
          <w:lang w:eastAsia="en-GB"/>
        </w:rPr>
        <w:t xml:space="preserve"> Edinburgh </w:t>
      </w:r>
      <w:r w:rsidRPr="00E0748B">
        <w:rPr>
          <w:rFonts w:cs="Arial"/>
        </w:rPr>
        <w:t>Trams</w:t>
      </w:r>
      <w:r w:rsidRPr="007433B7">
        <w:rPr>
          <w:spacing w:val="-2"/>
          <w:lang w:eastAsia="en-GB"/>
        </w:rPr>
        <w:t xml:space="preserve"> </w:t>
      </w:r>
      <w:r w:rsidRPr="007433B7">
        <w:rPr>
          <w:lang w:eastAsia="en-GB"/>
        </w:rPr>
        <w:t xml:space="preserve">met </w:t>
      </w:r>
      <w:r w:rsidR="00025A82" w:rsidRPr="007433B7">
        <w:rPr>
          <w:lang w:eastAsia="en-GB"/>
        </w:rPr>
        <w:t>five</w:t>
      </w:r>
      <w:r w:rsidRPr="007433B7">
        <w:rPr>
          <w:spacing w:val="-4"/>
          <w:lang w:eastAsia="en-GB"/>
        </w:rPr>
        <w:t xml:space="preserve"> </w:t>
      </w:r>
      <w:r w:rsidRPr="007433B7">
        <w:rPr>
          <w:lang w:eastAsia="en-GB"/>
        </w:rPr>
        <w:t>of</w:t>
      </w:r>
      <w:r w:rsidRPr="007433B7">
        <w:rPr>
          <w:spacing w:val="-4"/>
          <w:lang w:eastAsia="en-GB"/>
        </w:rPr>
        <w:t xml:space="preserve"> </w:t>
      </w:r>
      <w:r w:rsidR="00025A82" w:rsidRPr="007433B7">
        <w:rPr>
          <w:spacing w:val="-4"/>
          <w:lang w:eastAsia="en-GB"/>
        </w:rPr>
        <w:t>five</w:t>
      </w:r>
      <w:r w:rsidR="00296266" w:rsidRPr="007433B7">
        <w:rPr>
          <w:spacing w:val="-4"/>
          <w:lang w:eastAsia="en-GB"/>
        </w:rPr>
        <w:t xml:space="preserve"> </w:t>
      </w:r>
      <w:r w:rsidR="00025A82" w:rsidRPr="007433B7">
        <w:rPr>
          <w:spacing w:val="-4"/>
          <w:lang w:eastAsia="en-GB"/>
        </w:rPr>
        <w:t>annual</w:t>
      </w:r>
      <w:r w:rsidRPr="007433B7">
        <w:rPr>
          <w:spacing w:val="-3"/>
          <w:lang w:eastAsia="en-GB"/>
        </w:rPr>
        <w:t xml:space="preserve"> </w:t>
      </w:r>
      <w:r w:rsidRPr="007433B7">
        <w:rPr>
          <w:lang w:eastAsia="en-GB"/>
        </w:rPr>
        <w:t>Environmental Key Performance Indicators (EKPIs</w:t>
      </w:r>
      <w:r w:rsidR="00025A82" w:rsidRPr="007433B7">
        <w:rPr>
          <w:lang w:eastAsia="en-GB"/>
        </w:rPr>
        <w:t xml:space="preserve">) ensuring that FSSE tours, </w:t>
      </w:r>
      <w:r w:rsidR="00025A82" w:rsidRPr="00E0748B">
        <w:rPr>
          <w:rFonts w:cs="Arial"/>
        </w:rPr>
        <w:t>Environmental</w:t>
      </w:r>
      <w:r w:rsidR="00025A82" w:rsidRPr="007433B7">
        <w:rPr>
          <w:lang w:eastAsia="en-GB"/>
        </w:rPr>
        <w:t xml:space="preserve"> Audits and Emergency Response Drills were all completed</w:t>
      </w:r>
      <w:r w:rsidRPr="007433B7">
        <w:rPr>
          <w:spacing w:val="-2"/>
          <w:lang w:eastAsia="en-GB"/>
        </w:rPr>
        <w:t xml:space="preserve">. </w:t>
      </w:r>
    </w:p>
    <w:p w14:paraId="71C89474" w14:textId="77777777" w:rsidR="002D0BD0" w:rsidRDefault="002D0BD0" w:rsidP="00025A82">
      <w:pPr>
        <w:jc w:val="both"/>
        <w:rPr>
          <w:spacing w:val="-2"/>
          <w:lang w:eastAsia="en-GB"/>
        </w:rPr>
      </w:pPr>
    </w:p>
    <w:p w14:paraId="36F410C4" w14:textId="77777777" w:rsidR="002D0BD0" w:rsidRDefault="00025A82" w:rsidP="00025A82">
      <w:pPr>
        <w:jc w:val="both"/>
        <w:rPr>
          <w:rFonts w:eastAsia="Arial"/>
          <w:lang w:val="en-US"/>
        </w:rPr>
      </w:pPr>
      <w:r w:rsidRPr="007433B7">
        <w:rPr>
          <w:rFonts w:eastAsia="Arial"/>
          <w:lang w:val="en-US"/>
        </w:rPr>
        <w:t>Going</w:t>
      </w:r>
      <w:r w:rsidRPr="007433B7">
        <w:rPr>
          <w:rFonts w:eastAsia="Arial"/>
          <w:spacing w:val="40"/>
          <w:lang w:val="en-US"/>
        </w:rPr>
        <w:t xml:space="preserve"> </w:t>
      </w:r>
      <w:r w:rsidRPr="007433B7">
        <w:rPr>
          <w:rFonts w:eastAsia="Arial"/>
          <w:lang w:val="en-US"/>
        </w:rPr>
        <w:t>forward</w:t>
      </w:r>
      <w:r w:rsidRPr="007433B7">
        <w:rPr>
          <w:rFonts w:eastAsia="Arial"/>
          <w:spacing w:val="40"/>
          <w:lang w:val="en-US"/>
        </w:rPr>
        <w:t xml:space="preserve"> </w:t>
      </w:r>
      <w:r w:rsidRPr="007433B7">
        <w:rPr>
          <w:rFonts w:eastAsia="Arial"/>
          <w:lang w:val="en-US"/>
        </w:rPr>
        <w:t>the</w:t>
      </w:r>
      <w:r w:rsidRPr="007433B7">
        <w:rPr>
          <w:rFonts w:eastAsia="Arial"/>
          <w:spacing w:val="40"/>
          <w:lang w:val="en-US"/>
        </w:rPr>
        <w:t xml:space="preserve"> </w:t>
      </w:r>
      <w:r w:rsidRPr="007433B7">
        <w:rPr>
          <w:rFonts w:eastAsia="Arial"/>
          <w:lang w:val="en-US"/>
        </w:rPr>
        <w:t>Marketing</w:t>
      </w:r>
      <w:r w:rsidRPr="007433B7">
        <w:rPr>
          <w:rFonts w:eastAsia="Arial"/>
          <w:spacing w:val="40"/>
          <w:lang w:val="en-US"/>
        </w:rPr>
        <w:t xml:space="preserve"> </w:t>
      </w:r>
      <w:r w:rsidRPr="007433B7">
        <w:rPr>
          <w:rFonts w:eastAsia="Arial"/>
          <w:lang w:val="en-US"/>
        </w:rPr>
        <w:t>department</w:t>
      </w:r>
      <w:r w:rsidRPr="007433B7">
        <w:rPr>
          <w:rFonts w:eastAsia="Arial"/>
          <w:spacing w:val="40"/>
          <w:lang w:val="en-US"/>
        </w:rPr>
        <w:t xml:space="preserve"> </w:t>
      </w:r>
      <w:r w:rsidRPr="007433B7">
        <w:rPr>
          <w:rFonts w:eastAsia="Arial"/>
          <w:lang w:val="en-US"/>
        </w:rPr>
        <w:t>are</w:t>
      </w:r>
      <w:r w:rsidRPr="007433B7">
        <w:rPr>
          <w:rFonts w:eastAsia="Arial"/>
          <w:spacing w:val="40"/>
          <w:lang w:val="en-US"/>
        </w:rPr>
        <w:t xml:space="preserve"> </w:t>
      </w:r>
      <w:r w:rsidRPr="007433B7">
        <w:rPr>
          <w:rFonts w:eastAsia="Arial"/>
          <w:lang w:val="en-US"/>
        </w:rPr>
        <w:t>introducing</w:t>
      </w:r>
      <w:r w:rsidRPr="007433B7">
        <w:rPr>
          <w:rFonts w:eastAsia="Arial"/>
          <w:spacing w:val="40"/>
          <w:lang w:val="en-US"/>
        </w:rPr>
        <w:t xml:space="preserve"> </w:t>
      </w:r>
      <w:r w:rsidRPr="007433B7">
        <w:rPr>
          <w:rFonts w:eastAsia="Arial"/>
          <w:lang w:val="en-US"/>
        </w:rPr>
        <w:t>sustainable</w:t>
      </w:r>
      <w:r w:rsidRPr="007433B7">
        <w:rPr>
          <w:rFonts w:eastAsia="Arial"/>
          <w:spacing w:val="40"/>
          <w:lang w:val="en-US"/>
        </w:rPr>
        <w:t xml:space="preserve"> </w:t>
      </w:r>
      <w:r w:rsidRPr="007433B7">
        <w:rPr>
          <w:rFonts w:eastAsia="Arial"/>
          <w:lang w:val="en-US"/>
        </w:rPr>
        <w:t>marketing</w:t>
      </w:r>
      <w:r w:rsidRPr="007433B7">
        <w:rPr>
          <w:rFonts w:eastAsia="Arial"/>
          <w:spacing w:val="40"/>
          <w:lang w:val="en-US"/>
        </w:rPr>
        <w:t xml:space="preserve"> </w:t>
      </w:r>
      <w:r w:rsidRPr="007433B7">
        <w:rPr>
          <w:rFonts w:eastAsia="Arial"/>
          <w:lang w:val="en-US"/>
        </w:rPr>
        <w:t>materials</w:t>
      </w:r>
      <w:r w:rsidRPr="007433B7">
        <w:rPr>
          <w:rFonts w:eastAsia="Arial"/>
          <w:spacing w:val="40"/>
          <w:lang w:val="en-US"/>
        </w:rPr>
        <w:t xml:space="preserve"> </w:t>
      </w:r>
      <w:r w:rsidRPr="007433B7">
        <w:rPr>
          <w:rFonts w:eastAsia="Arial"/>
          <w:lang w:val="en-US"/>
        </w:rPr>
        <w:t>which</w:t>
      </w:r>
      <w:r w:rsidRPr="007433B7">
        <w:rPr>
          <w:rFonts w:eastAsia="Arial"/>
          <w:spacing w:val="40"/>
          <w:lang w:val="en-US"/>
        </w:rPr>
        <w:t xml:space="preserve"> </w:t>
      </w:r>
      <w:r w:rsidRPr="007433B7">
        <w:rPr>
          <w:rFonts w:eastAsia="Arial"/>
          <w:lang w:val="en-US"/>
        </w:rPr>
        <w:t>reduces</w:t>
      </w:r>
      <w:r w:rsidRPr="007433B7">
        <w:rPr>
          <w:rFonts w:eastAsia="Arial"/>
          <w:spacing w:val="40"/>
          <w:lang w:val="en-US"/>
        </w:rPr>
        <w:t xml:space="preserve"> </w:t>
      </w:r>
      <w:r w:rsidRPr="007433B7">
        <w:rPr>
          <w:rFonts w:eastAsia="Arial"/>
          <w:lang w:val="en-US"/>
        </w:rPr>
        <w:t xml:space="preserve">businesses demand for natural resources and impact on the environment. </w:t>
      </w:r>
    </w:p>
    <w:p w14:paraId="4C33F4F6" w14:textId="77777777" w:rsidR="002D0BD0" w:rsidRDefault="002D0BD0" w:rsidP="00025A82">
      <w:pPr>
        <w:jc w:val="both"/>
        <w:rPr>
          <w:rFonts w:eastAsia="Arial"/>
          <w:lang w:val="en-US"/>
        </w:rPr>
      </w:pPr>
    </w:p>
    <w:p w14:paraId="00495F55" w14:textId="02F3CB5B" w:rsidR="002D0BD0" w:rsidRDefault="00025A82" w:rsidP="00025A82">
      <w:pPr>
        <w:jc w:val="both"/>
        <w:rPr>
          <w:rFonts w:eastAsia="Arial"/>
          <w:lang w:val="en-US"/>
        </w:rPr>
      </w:pPr>
      <w:r w:rsidRPr="007433B7">
        <w:rPr>
          <w:rFonts w:eastAsia="Arial"/>
          <w:lang w:val="en-US"/>
        </w:rPr>
        <w:t>Car charging facilities remain in operation and are used by both the compan</w:t>
      </w:r>
      <w:r w:rsidR="00A14CF5">
        <w:rPr>
          <w:rFonts w:eastAsia="Arial"/>
          <w:lang w:val="en-US"/>
        </w:rPr>
        <w:t>ies</w:t>
      </w:r>
      <w:r w:rsidRPr="007433B7">
        <w:rPr>
          <w:rFonts w:eastAsia="Arial"/>
          <w:lang w:val="en-US"/>
        </w:rPr>
        <w:t xml:space="preserve"> for powering </w:t>
      </w:r>
      <w:r w:rsidR="00E0748B">
        <w:rPr>
          <w:rFonts w:eastAsia="Arial"/>
          <w:lang w:val="en-US"/>
        </w:rPr>
        <w:t>its</w:t>
      </w:r>
      <w:r w:rsidRPr="007433B7">
        <w:rPr>
          <w:rFonts w:eastAsia="Arial"/>
          <w:lang w:val="en-US"/>
        </w:rPr>
        <w:t xml:space="preserve"> electric fleet, the Maintainers based at the</w:t>
      </w:r>
      <w:r w:rsidRPr="007433B7">
        <w:rPr>
          <w:rFonts w:eastAsia="Arial"/>
          <w:spacing w:val="-2"/>
          <w:lang w:val="en-US"/>
        </w:rPr>
        <w:t xml:space="preserve"> </w:t>
      </w:r>
      <w:r w:rsidR="00E0748B">
        <w:rPr>
          <w:rFonts w:eastAsia="Arial"/>
          <w:spacing w:val="-2"/>
          <w:lang w:val="en-US"/>
        </w:rPr>
        <w:t xml:space="preserve">Tram </w:t>
      </w:r>
      <w:r w:rsidRPr="007433B7">
        <w:rPr>
          <w:rFonts w:eastAsia="Arial"/>
          <w:lang w:val="en-US"/>
        </w:rPr>
        <w:t>depot and by staff who benefit</w:t>
      </w:r>
      <w:r w:rsidRPr="007433B7">
        <w:rPr>
          <w:rFonts w:eastAsia="Arial"/>
          <w:spacing w:val="-2"/>
          <w:lang w:val="en-US"/>
        </w:rPr>
        <w:t xml:space="preserve"> </w:t>
      </w:r>
      <w:r w:rsidRPr="007433B7">
        <w:rPr>
          <w:rFonts w:eastAsia="Arial"/>
          <w:lang w:val="en-US"/>
        </w:rPr>
        <w:t>from a</w:t>
      </w:r>
      <w:r w:rsidRPr="007433B7">
        <w:rPr>
          <w:rFonts w:eastAsia="Arial"/>
          <w:spacing w:val="-2"/>
          <w:lang w:val="en-US"/>
        </w:rPr>
        <w:t xml:space="preserve"> </w:t>
      </w:r>
      <w:r w:rsidRPr="007433B7">
        <w:rPr>
          <w:rFonts w:eastAsia="Arial"/>
          <w:lang w:val="en-US"/>
        </w:rPr>
        <w:t>set fee</w:t>
      </w:r>
      <w:r w:rsidRPr="007433B7">
        <w:rPr>
          <w:rFonts w:eastAsia="Arial"/>
          <w:spacing w:val="-2"/>
          <w:lang w:val="en-US"/>
        </w:rPr>
        <w:t xml:space="preserve"> </w:t>
      </w:r>
      <w:r w:rsidRPr="007433B7">
        <w:rPr>
          <w:rFonts w:eastAsia="Arial"/>
          <w:lang w:val="en-US"/>
        </w:rPr>
        <w:t>per kWh used. A main</w:t>
      </w:r>
      <w:r w:rsidRPr="007433B7">
        <w:rPr>
          <w:rFonts w:eastAsia="Arial"/>
          <w:spacing w:val="-2"/>
          <w:lang w:val="en-US"/>
        </w:rPr>
        <w:t xml:space="preserve"> </w:t>
      </w:r>
      <w:r w:rsidRPr="007433B7">
        <w:rPr>
          <w:rFonts w:eastAsia="Arial"/>
          <w:lang w:val="en-US"/>
        </w:rPr>
        <w:t xml:space="preserve">benefit to staff is that they can leave their car charging while performing their day job, a great time-saving opportunity for them that has been widely welcomed. </w:t>
      </w:r>
    </w:p>
    <w:p w14:paraId="19DAEAD1" w14:textId="77777777" w:rsidR="002D0BD0" w:rsidRDefault="002D0BD0" w:rsidP="00025A82">
      <w:pPr>
        <w:jc w:val="both"/>
        <w:rPr>
          <w:rFonts w:eastAsia="Arial"/>
          <w:lang w:val="en-US"/>
        </w:rPr>
      </w:pPr>
    </w:p>
    <w:p w14:paraId="7E6F0A79" w14:textId="77777777" w:rsidR="00025A82" w:rsidRPr="00025A82" w:rsidRDefault="00025A82" w:rsidP="00025A82">
      <w:pPr>
        <w:jc w:val="both"/>
        <w:rPr>
          <w:rFonts w:eastAsia="Arial"/>
          <w:lang w:val="en-US"/>
        </w:rPr>
      </w:pPr>
      <w:r w:rsidRPr="007433B7">
        <w:rPr>
          <w:rFonts w:eastAsia="Arial"/>
          <w:lang w:val="en-US"/>
        </w:rPr>
        <w:t>Edinburgh Trams have also familiarised the</w:t>
      </w:r>
      <w:r w:rsidR="0097259D" w:rsidRPr="007433B7">
        <w:rPr>
          <w:rFonts w:eastAsia="Arial"/>
          <w:lang w:val="en-US"/>
        </w:rPr>
        <w:t>ir</w:t>
      </w:r>
      <w:r w:rsidRPr="007433B7">
        <w:rPr>
          <w:rFonts w:eastAsia="Arial"/>
          <w:lang w:val="en-US"/>
        </w:rPr>
        <w:t xml:space="preserve"> heads of department with the UN Sustainable Development Goals</w:t>
      </w:r>
      <w:r w:rsidR="005E1566">
        <w:rPr>
          <w:rFonts w:eastAsia="Arial"/>
          <w:lang w:val="en-US"/>
        </w:rPr>
        <w:t>, w</w:t>
      </w:r>
      <w:r w:rsidRPr="007433B7">
        <w:rPr>
          <w:rFonts w:eastAsia="Arial"/>
          <w:lang w:val="en-US"/>
        </w:rPr>
        <w:t>ith new sustainability objectives based on the United Nations Sustainable Development Goals being rolled out for each department in 2025.</w:t>
      </w:r>
    </w:p>
    <w:p w14:paraId="04F1B529" w14:textId="77777777" w:rsidR="00820267" w:rsidRPr="00820267" w:rsidRDefault="00820267" w:rsidP="00820267">
      <w:pPr>
        <w:jc w:val="center"/>
        <w:outlineLvl w:val="0"/>
        <w:rPr>
          <w:b/>
        </w:rPr>
      </w:pPr>
      <w:r>
        <w:rPr>
          <w:rFonts w:cs="Arial"/>
          <w:b/>
          <w:highlight w:val="yellow"/>
        </w:rPr>
        <w:br w:type="page"/>
      </w:r>
      <w:r w:rsidRPr="00820267">
        <w:rPr>
          <w:b/>
        </w:rPr>
        <w:lastRenderedPageBreak/>
        <w:t>TRANSPORT FOR EDINBURGH LIMITED</w:t>
      </w:r>
    </w:p>
    <w:p w14:paraId="47BF8C7C" w14:textId="77777777" w:rsidR="00820267" w:rsidRPr="00820267" w:rsidRDefault="00820267" w:rsidP="00820267">
      <w:pPr>
        <w:rPr>
          <w:b/>
        </w:rPr>
      </w:pPr>
    </w:p>
    <w:p w14:paraId="1A7D396E" w14:textId="77777777" w:rsidR="00820267" w:rsidRPr="00820267" w:rsidRDefault="00820267" w:rsidP="00820267">
      <w:pPr>
        <w:jc w:val="center"/>
        <w:rPr>
          <w:b/>
        </w:rPr>
      </w:pPr>
      <w:r w:rsidRPr="00820267">
        <w:rPr>
          <w:b/>
        </w:rPr>
        <w:t>Strategic Report (continued)</w:t>
      </w:r>
    </w:p>
    <w:p w14:paraId="5110F645" w14:textId="77777777" w:rsidR="00820267" w:rsidRPr="00820267" w:rsidRDefault="00820267" w:rsidP="00820267">
      <w:pPr>
        <w:jc w:val="center"/>
        <w:rPr>
          <w:b/>
        </w:rPr>
      </w:pPr>
    </w:p>
    <w:p w14:paraId="12C48F95" w14:textId="77777777" w:rsidR="00820267" w:rsidRPr="00820267" w:rsidRDefault="00D90B89" w:rsidP="00820267">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19C50ACB" w14:textId="77777777" w:rsidR="00274A95" w:rsidRPr="00C328EF" w:rsidRDefault="00274A95" w:rsidP="00274A95">
      <w:pPr>
        <w:jc w:val="both"/>
        <w:outlineLvl w:val="0"/>
        <w:rPr>
          <w:rFonts w:cs="Arial"/>
          <w:b/>
          <w:highlight w:val="yellow"/>
        </w:rPr>
      </w:pPr>
    </w:p>
    <w:p w14:paraId="373BC20C" w14:textId="77777777" w:rsidR="00AE0A47" w:rsidRPr="005310C1" w:rsidRDefault="00AE0A47" w:rsidP="00AE0A47">
      <w:pPr>
        <w:jc w:val="both"/>
        <w:rPr>
          <w:rFonts w:eastAsia="Calibri" w:cs="Arial"/>
          <w:b/>
        </w:rPr>
      </w:pPr>
      <w:r w:rsidRPr="005310C1">
        <w:rPr>
          <w:rFonts w:eastAsia="Calibri" w:cs="Arial"/>
          <w:b/>
        </w:rPr>
        <w:t>Streamlined Energy and Carbon Reporting</w:t>
      </w:r>
    </w:p>
    <w:p w14:paraId="0A9017F6" w14:textId="77777777" w:rsidR="00AE0A47" w:rsidRPr="005310C1" w:rsidRDefault="00AE0A47" w:rsidP="00AE0A47">
      <w:pPr>
        <w:jc w:val="both"/>
        <w:rPr>
          <w:rFonts w:eastAsia="Calibri" w:cs="Arial"/>
          <w:sz w:val="16"/>
          <w:szCs w:val="16"/>
        </w:rPr>
      </w:pPr>
      <w:bookmarkStart w:id="4" w:name="_Hlk56004341"/>
    </w:p>
    <w:p w14:paraId="54F3E46D" w14:textId="77777777" w:rsidR="005310C1" w:rsidRPr="0008397D" w:rsidRDefault="00AE0A47" w:rsidP="005310C1">
      <w:pPr>
        <w:spacing w:line="259" w:lineRule="auto"/>
        <w:jc w:val="both"/>
        <w:rPr>
          <w:rFonts w:cs="Arial"/>
        </w:rPr>
      </w:pPr>
      <w:r w:rsidRPr="005310C1">
        <w:rPr>
          <w:rFonts w:eastAsia="Calibri" w:cs="Arial"/>
        </w:rPr>
        <w:t>In accordance with the Streamlined Energy and Carbon Reporting (SECR) requirements outlined in the Companies Act (2006) for large quoted and unlisted companies, Transport for Edinburgh Limited is required to report on its Greenhouse Gas (GHG) emissions. The following paragraphs detail information on annual GHG emissions, total energy consumption covering the Group’s offices, depots</w:t>
      </w:r>
      <w:r w:rsidR="00F006A4" w:rsidRPr="005310C1">
        <w:rPr>
          <w:rFonts w:eastAsia="Calibri" w:cs="Arial"/>
        </w:rPr>
        <w:t>,</w:t>
      </w:r>
      <w:r w:rsidRPr="005310C1">
        <w:rPr>
          <w:rFonts w:eastAsia="Calibri" w:cs="Arial"/>
        </w:rPr>
        <w:t xml:space="preserve"> and transport fleet, as well as energy efficiency and environmental management actions implemented during the financial </w:t>
      </w:r>
      <w:r w:rsidR="00415FF1">
        <w:rPr>
          <w:rFonts w:eastAsia="Calibri" w:cs="Arial"/>
        </w:rPr>
        <w:t>period</w:t>
      </w:r>
      <w:r w:rsidRPr="005310C1">
        <w:rPr>
          <w:rFonts w:eastAsia="Calibri" w:cs="Arial"/>
        </w:rPr>
        <w:t xml:space="preserve">. </w:t>
      </w:r>
      <w:bookmarkEnd w:id="4"/>
      <w:r w:rsidR="00A95444" w:rsidRPr="005310C1">
        <w:rPr>
          <w:rFonts w:eastAsia="Calibri" w:cs="Arial"/>
        </w:rPr>
        <w:t xml:space="preserve">This information is the Group’s SECR disclosure for </w:t>
      </w:r>
      <w:r w:rsidR="005310C1" w:rsidRPr="0008397D">
        <w:rPr>
          <w:rFonts w:eastAsia="Calibri" w:cs="Arial"/>
        </w:rPr>
        <w:t>the 2024 financial period.</w:t>
      </w:r>
      <w:r w:rsidR="005310C1" w:rsidRPr="0008397D">
        <w:rPr>
          <w:rFonts w:cs="Arial"/>
        </w:rPr>
        <w:t xml:space="preserve"> We have chosen 2021 as the baseline year as this better represents business as usual operations and is therefore a fairer comparison for future reporting periods.</w:t>
      </w:r>
    </w:p>
    <w:p w14:paraId="2B8EFBF2" w14:textId="77777777" w:rsidR="00AE0A47" w:rsidRPr="00C328EF" w:rsidRDefault="00AE0A47" w:rsidP="00AE0A47">
      <w:pPr>
        <w:jc w:val="both"/>
        <w:rPr>
          <w:rFonts w:eastAsia="Calibri" w:cs="Arial"/>
          <w:b/>
          <w:sz w:val="14"/>
          <w:szCs w:val="14"/>
          <w:highlight w:val="yellow"/>
        </w:rPr>
      </w:pPr>
    </w:p>
    <w:p w14:paraId="27643E4B" w14:textId="77777777" w:rsidR="00AE0A47" w:rsidRPr="005310C1" w:rsidRDefault="00AE0A47" w:rsidP="00AE0A47">
      <w:pPr>
        <w:jc w:val="both"/>
        <w:rPr>
          <w:rFonts w:eastAsia="Calibri" w:cs="Arial"/>
          <w:b/>
        </w:rPr>
      </w:pPr>
      <w:r w:rsidRPr="005310C1">
        <w:rPr>
          <w:rFonts w:eastAsia="Calibri" w:cs="Arial"/>
          <w:b/>
        </w:rPr>
        <w:t>Scope of Analysis and Data Collection</w:t>
      </w:r>
    </w:p>
    <w:p w14:paraId="4BB692BF" w14:textId="77777777" w:rsidR="00AE0A47" w:rsidRPr="005310C1" w:rsidRDefault="00AE0A47" w:rsidP="00AE0A47">
      <w:pPr>
        <w:jc w:val="both"/>
        <w:rPr>
          <w:rFonts w:eastAsia="Calibri" w:cs="Arial"/>
          <w:b/>
          <w:color w:val="002060"/>
          <w:sz w:val="14"/>
          <w:szCs w:val="14"/>
        </w:rPr>
      </w:pPr>
    </w:p>
    <w:p w14:paraId="36287883" w14:textId="77777777" w:rsidR="00AE0A47" w:rsidRPr="005310C1" w:rsidRDefault="00AE0A47" w:rsidP="00AE0A47">
      <w:pPr>
        <w:jc w:val="both"/>
        <w:rPr>
          <w:rFonts w:eastAsia="Calibri" w:cs="Arial"/>
        </w:rPr>
      </w:pPr>
      <w:bookmarkStart w:id="5" w:name="_Hlk55757967"/>
      <w:r w:rsidRPr="005310C1">
        <w:rPr>
          <w:rFonts w:eastAsia="Calibri" w:cs="Arial"/>
        </w:rPr>
        <w:t>Over 202</w:t>
      </w:r>
      <w:r w:rsidR="005310C1" w:rsidRPr="005310C1">
        <w:rPr>
          <w:rFonts w:eastAsia="Calibri" w:cs="Arial"/>
        </w:rPr>
        <w:t>4</w:t>
      </w:r>
      <w:r w:rsidR="00FC156A" w:rsidRPr="005310C1">
        <w:rPr>
          <w:rFonts w:eastAsia="Calibri" w:cs="Arial"/>
        </w:rPr>
        <w:t xml:space="preserve"> </w:t>
      </w:r>
      <w:r w:rsidRPr="005310C1">
        <w:rPr>
          <w:rFonts w:eastAsia="Calibri" w:cs="Arial"/>
        </w:rPr>
        <w:t xml:space="preserve">the TfE Group has collected primary data for our offices and business travel activities including: electricity consumption (kWh), gas consumption (kWh), traction current consumption (kWh), vehicle bus fleet fuel consumption (litres) and vehicle fleet mileage. All primary data used within this report is from </w:t>
      </w:r>
      <w:r w:rsidR="005310C1" w:rsidRPr="005310C1">
        <w:rPr>
          <w:rFonts w:eastAsia="Calibri" w:cs="Arial"/>
        </w:rPr>
        <w:t>30</w:t>
      </w:r>
      <w:r w:rsidR="005310C1" w:rsidRPr="0008397D">
        <w:rPr>
          <w:rFonts w:eastAsia="Calibri" w:cs="Arial"/>
        </w:rPr>
        <w:t xml:space="preserve"> December 2023 – 28 December 2024, covering our financial </w:t>
      </w:r>
      <w:r w:rsidR="005310C1" w:rsidRPr="005310C1">
        <w:rPr>
          <w:rFonts w:eastAsia="Calibri" w:cs="Arial"/>
        </w:rPr>
        <w:t xml:space="preserve">period. </w:t>
      </w:r>
      <w:r w:rsidRPr="005310C1">
        <w:rPr>
          <w:rFonts w:eastAsia="Calibri" w:cs="Arial"/>
        </w:rPr>
        <w:t>The scope of our GHG emissions calculation covers all our operations and vehicle fleets, operated by the Lothian Buses Group and Edinburgh Trams.</w:t>
      </w:r>
      <w:bookmarkEnd w:id="5"/>
    </w:p>
    <w:p w14:paraId="49A40C3C" w14:textId="77777777" w:rsidR="00AE0A47" w:rsidRPr="005310C1" w:rsidRDefault="00AE0A47" w:rsidP="00AE0A47">
      <w:pPr>
        <w:jc w:val="both"/>
        <w:rPr>
          <w:rFonts w:eastAsia="Calibri" w:cs="Arial"/>
          <w:b/>
          <w:sz w:val="12"/>
          <w:szCs w:val="12"/>
        </w:rPr>
      </w:pPr>
      <w:bookmarkStart w:id="6" w:name="_Hlk55757990"/>
    </w:p>
    <w:p w14:paraId="3576410D" w14:textId="77777777" w:rsidR="00AE0A47" w:rsidRPr="005310C1" w:rsidRDefault="00AE0A47" w:rsidP="00AE0A47">
      <w:pPr>
        <w:jc w:val="both"/>
        <w:rPr>
          <w:rFonts w:eastAsia="Calibri" w:cs="Arial"/>
          <w:b/>
        </w:rPr>
      </w:pPr>
      <w:r w:rsidRPr="005310C1">
        <w:rPr>
          <w:rFonts w:eastAsia="Calibri" w:cs="Arial"/>
          <w:b/>
        </w:rPr>
        <w:t>Calculation Methodology</w:t>
      </w:r>
    </w:p>
    <w:p w14:paraId="14AA4EBE" w14:textId="77777777" w:rsidR="00AE0A47" w:rsidRPr="00230E5A" w:rsidRDefault="00AE0A47" w:rsidP="00AE0A47">
      <w:pPr>
        <w:jc w:val="both"/>
        <w:rPr>
          <w:rFonts w:eastAsia="Calibri" w:cs="Arial"/>
          <w:b/>
          <w:sz w:val="8"/>
          <w:szCs w:val="8"/>
        </w:rPr>
      </w:pPr>
    </w:p>
    <w:p w14:paraId="649B7948" w14:textId="77777777" w:rsidR="00D14324" w:rsidRPr="005310C1" w:rsidRDefault="00AE0A47" w:rsidP="00AE0A47">
      <w:pPr>
        <w:spacing w:line="259" w:lineRule="auto"/>
        <w:jc w:val="both"/>
        <w:rPr>
          <w:rFonts w:eastAsia="Calibri" w:cs="Arial"/>
          <w:b/>
        </w:rPr>
      </w:pPr>
      <w:bookmarkStart w:id="7" w:name="_Hlk56004383"/>
      <w:r w:rsidRPr="005310C1">
        <w:rPr>
          <w:rFonts w:eastAsia="Calibri" w:cs="Arial"/>
        </w:rPr>
        <w:t xml:space="preserve">We have used the </w:t>
      </w:r>
      <w:r w:rsidR="005310C1" w:rsidRPr="005310C1">
        <w:rPr>
          <w:rFonts w:eastAsia="Calibri" w:cs="Arial"/>
        </w:rPr>
        <w:t>Department for Energy Security and Net Zero (DESNZ)</w:t>
      </w:r>
      <w:r w:rsidRPr="005310C1">
        <w:rPr>
          <w:rFonts w:eastAsia="Calibri" w:cs="Arial"/>
        </w:rPr>
        <w:t xml:space="preserve"> and Greenhouse Gas Protocol Corporate Reporting Standard (GHG Protocol) methodology for compiling this GHG data and have calculated our GHG emissions in accordance with the UK Government’s reporting guidelines for Company Reporting. To ensure consistency in our reporting we are reporting all GHG emissions in units of CO</w:t>
      </w:r>
      <w:r w:rsidRPr="005310C1">
        <w:rPr>
          <w:rFonts w:eastAsia="Calibri" w:cs="Arial"/>
          <w:vertAlign w:val="subscript"/>
        </w:rPr>
        <w:t>2</w:t>
      </w:r>
      <w:r w:rsidRPr="005310C1">
        <w:rPr>
          <w:rFonts w:eastAsia="Calibri" w:cs="Arial"/>
        </w:rPr>
        <w:t>e (carbon dioxide equivalent) and have used 202</w:t>
      </w:r>
      <w:r w:rsidR="005310C1" w:rsidRPr="005310C1">
        <w:rPr>
          <w:rFonts w:eastAsia="Calibri" w:cs="Arial"/>
        </w:rPr>
        <w:t>4</w:t>
      </w:r>
      <w:r w:rsidRPr="005310C1">
        <w:rPr>
          <w:rFonts w:eastAsia="Calibri" w:cs="Arial"/>
        </w:rPr>
        <w:t xml:space="preserve"> GHG Conversion Factors for Company Reporting, published annually by </w:t>
      </w:r>
      <w:r w:rsidR="005310C1" w:rsidRPr="0008397D">
        <w:rPr>
          <w:rFonts w:eastAsia="Calibri" w:cs="Arial"/>
        </w:rPr>
        <w:t xml:space="preserve">the Department for Environment, Food &amp; Rural Affairs (Defra) and </w:t>
      </w:r>
      <w:r w:rsidR="00622EF4" w:rsidRPr="005310C1">
        <w:rPr>
          <w:rFonts w:eastAsia="Calibri" w:cs="Arial"/>
        </w:rPr>
        <w:t>DESNZ</w:t>
      </w:r>
      <w:r w:rsidRPr="005310C1">
        <w:rPr>
          <w:rFonts w:eastAsia="Calibri" w:cs="Arial"/>
        </w:rPr>
        <w:t>.</w:t>
      </w:r>
      <w:bookmarkEnd w:id="6"/>
      <w:bookmarkEnd w:id="7"/>
    </w:p>
    <w:p w14:paraId="3B88AA14" w14:textId="77777777" w:rsidR="00C30726" w:rsidRPr="00230E5A" w:rsidRDefault="00C30726" w:rsidP="00D14324">
      <w:pPr>
        <w:spacing w:line="259" w:lineRule="auto"/>
        <w:jc w:val="both"/>
        <w:rPr>
          <w:rFonts w:eastAsia="Calibri" w:cs="Arial"/>
          <w:b/>
          <w:sz w:val="8"/>
          <w:szCs w:val="8"/>
          <w:highlight w:val="yellow"/>
        </w:rPr>
      </w:pPr>
    </w:p>
    <w:p w14:paraId="04F1A2D4" w14:textId="77777777" w:rsidR="00D14324" w:rsidRPr="005310C1" w:rsidRDefault="00D14324" w:rsidP="00D14324">
      <w:pPr>
        <w:spacing w:line="259" w:lineRule="auto"/>
        <w:jc w:val="both"/>
        <w:rPr>
          <w:rFonts w:eastAsia="Calibri" w:cs="Arial"/>
          <w:b/>
        </w:rPr>
      </w:pPr>
      <w:r w:rsidRPr="005310C1">
        <w:rPr>
          <w:rFonts w:eastAsia="Calibri" w:cs="Arial"/>
          <w:b/>
        </w:rPr>
        <w:t>GHG Emissions Scopes</w:t>
      </w:r>
    </w:p>
    <w:p w14:paraId="45003F29" w14:textId="77777777" w:rsidR="00D14324" w:rsidRPr="005310C1" w:rsidRDefault="00D14324" w:rsidP="00D14324">
      <w:pPr>
        <w:spacing w:line="259" w:lineRule="auto"/>
        <w:jc w:val="both"/>
        <w:rPr>
          <w:rFonts w:eastAsia="Calibri" w:cs="Arial"/>
        </w:rPr>
      </w:pPr>
      <w:r w:rsidRPr="005310C1">
        <w:rPr>
          <w:rFonts w:eastAsia="Calibri" w:cs="Arial"/>
        </w:rPr>
        <w:t>The following reporting scopes (as outlined by the Greenhouse Gas Protocol) are included within this disclosure:</w:t>
      </w:r>
    </w:p>
    <w:p w14:paraId="3583DED0" w14:textId="77777777" w:rsidR="00D14324" w:rsidRPr="005310C1" w:rsidRDefault="00D14324" w:rsidP="00A5227C">
      <w:pPr>
        <w:numPr>
          <w:ilvl w:val="0"/>
          <w:numId w:val="24"/>
        </w:numPr>
        <w:spacing w:line="259" w:lineRule="auto"/>
        <w:ind w:left="417"/>
        <w:jc w:val="both"/>
        <w:rPr>
          <w:rFonts w:eastAsia="Calibri" w:cs="Arial"/>
        </w:rPr>
      </w:pPr>
      <w:r w:rsidRPr="005310C1">
        <w:rPr>
          <w:rFonts w:cs="Arial"/>
          <w:b/>
          <w:kern w:val="24"/>
          <w:lang w:val="en-US" w:eastAsia="ja-JP"/>
        </w:rPr>
        <w:t>Scope 1 Emissions:</w:t>
      </w:r>
      <w:r w:rsidRPr="005310C1">
        <w:rPr>
          <w:rFonts w:cs="Arial"/>
          <w:kern w:val="24"/>
          <w:lang w:val="en-US" w:eastAsia="ja-JP"/>
        </w:rPr>
        <w:t xml:space="preserve"> direct emissions from sources which the Group owns or controls. This includes natural gas consumption in our offices</w:t>
      </w:r>
      <w:r w:rsidR="006D72CD" w:rsidRPr="005310C1">
        <w:rPr>
          <w:rFonts w:cs="Arial"/>
          <w:kern w:val="24"/>
          <w:lang w:val="en-US" w:eastAsia="ja-JP"/>
        </w:rPr>
        <w:t xml:space="preserve">, </w:t>
      </w:r>
      <w:r w:rsidRPr="005310C1">
        <w:rPr>
          <w:rFonts w:cs="Arial"/>
          <w:kern w:val="24"/>
          <w:lang w:val="en-US" w:eastAsia="ja-JP"/>
        </w:rPr>
        <w:t>fuel consumed</w:t>
      </w:r>
      <w:r w:rsidR="00F006A4" w:rsidRPr="005310C1">
        <w:rPr>
          <w:rFonts w:cs="Arial"/>
          <w:kern w:val="24"/>
          <w:lang w:val="en-US" w:eastAsia="ja-JP"/>
        </w:rPr>
        <w:t>,</w:t>
      </w:r>
      <w:r w:rsidR="006D72CD" w:rsidRPr="005310C1">
        <w:rPr>
          <w:rFonts w:cs="Arial"/>
          <w:kern w:val="24"/>
          <w:lang w:val="en-US" w:eastAsia="ja-JP"/>
        </w:rPr>
        <w:t xml:space="preserve"> and annual mileage completed</w:t>
      </w:r>
      <w:r w:rsidRPr="005310C1">
        <w:rPr>
          <w:rFonts w:cs="Arial"/>
          <w:kern w:val="24"/>
          <w:lang w:val="en-US" w:eastAsia="ja-JP"/>
        </w:rPr>
        <w:t xml:space="preserve"> by our vehicle fleets.</w:t>
      </w:r>
    </w:p>
    <w:p w14:paraId="1F07A004" w14:textId="77777777" w:rsidR="00D14324" w:rsidRPr="005310C1" w:rsidRDefault="00D14324" w:rsidP="00A5227C">
      <w:pPr>
        <w:numPr>
          <w:ilvl w:val="0"/>
          <w:numId w:val="24"/>
        </w:numPr>
        <w:spacing w:line="259" w:lineRule="auto"/>
        <w:ind w:left="417"/>
        <w:contextualSpacing/>
        <w:jc w:val="both"/>
        <w:rPr>
          <w:rFonts w:cs="Arial"/>
          <w:kern w:val="24"/>
          <w:lang w:val="en-US" w:eastAsia="ja-JP"/>
        </w:rPr>
      </w:pPr>
      <w:r w:rsidRPr="005310C1">
        <w:rPr>
          <w:rFonts w:cs="Arial"/>
          <w:b/>
          <w:kern w:val="24"/>
          <w:lang w:val="en-US" w:eastAsia="ja-JP"/>
        </w:rPr>
        <w:t>Scope 2 Emissions:</w:t>
      </w:r>
      <w:r w:rsidRPr="005310C1">
        <w:rPr>
          <w:rFonts w:cs="Arial"/>
          <w:kern w:val="24"/>
          <w:lang w:val="en-US" w:eastAsia="ja-JP"/>
        </w:rPr>
        <w:t xml:space="preserve"> indirect emissions relating solely to the generation of purchased electricity that is consumed by the Group across our sites</w:t>
      </w:r>
      <w:r w:rsidR="006D72CD" w:rsidRPr="005310C1">
        <w:rPr>
          <w:rFonts w:cs="Arial"/>
          <w:kern w:val="24"/>
          <w:lang w:val="en-US" w:eastAsia="ja-JP"/>
        </w:rPr>
        <w:t xml:space="preserve"> and operations</w:t>
      </w:r>
      <w:r w:rsidRPr="005310C1">
        <w:rPr>
          <w:rFonts w:cs="Arial"/>
          <w:kern w:val="24"/>
          <w:lang w:val="en-US" w:eastAsia="ja-JP"/>
        </w:rPr>
        <w:t>.</w:t>
      </w:r>
    </w:p>
    <w:p w14:paraId="029273C0" w14:textId="77777777" w:rsidR="00D14324" w:rsidRPr="005310C1" w:rsidRDefault="00D14324" w:rsidP="00A5227C">
      <w:pPr>
        <w:numPr>
          <w:ilvl w:val="0"/>
          <w:numId w:val="24"/>
        </w:numPr>
        <w:spacing w:line="259" w:lineRule="auto"/>
        <w:ind w:left="417"/>
        <w:contextualSpacing/>
        <w:jc w:val="both"/>
        <w:rPr>
          <w:rFonts w:cs="Arial"/>
          <w:kern w:val="24"/>
          <w:lang w:val="en-US" w:eastAsia="ja-JP"/>
        </w:rPr>
      </w:pPr>
      <w:r w:rsidRPr="005310C1">
        <w:rPr>
          <w:rFonts w:eastAsia="Calibri" w:cs="Arial"/>
          <w:b/>
        </w:rPr>
        <w:t>Scope 3 Emissions:</w:t>
      </w:r>
      <w:r w:rsidRPr="005310C1">
        <w:rPr>
          <w:rFonts w:eastAsia="Calibri" w:cs="Arial"/>
        </w:rPr>
        <w:t xml:space="preserve"> indirect emissions relating solely to the transmission and distribution of purchased electricity that is consumed by the Group across our sites</w:t>
      </w:r>
      <w:r w:rsidR="006D72CD" w:rsidRPr="005310C1">
        <w:rPr>
          <w:rFonts w:eastAsia="Calibri" w:cs="Arial"/>
        </w:rPr>
        <w:t xml:space="preserve"> and operations</w:t>
      </w:r>
      <w:r w:rsidRPr="005310C1">
        <w:rPr>
          <w:rFonts w:eastAsia="Calibri" w:cs="Arial"/>
        </w:rPr>
        <w:t>.</w:t>
      </w:r>
    </w:p>
    <w:p w14:paraId="476F4C5D" w14:textId="77777777" w:rsidR="00D51309" w:rsidRPr="00230E5A" w:rsidRDefault="00D51309" w:rsidP="00D51309">
      <w:pPr>
        <w:jc w:val="both"/>
        <w:rPr>
          <w:rFonts w:cs="Arial"/>
          <w:b/>
          <w:sz w:val="8"/>
          <w:szCs w:val="8"/>
        </w:rPr>
      </w:pPr>
    </w:p>
    <w:p w14:paraId="13D16DCC" w14:textId="77777777" w:rsidR="00274A95" w:rsidRPr="005310C1" w:rsidRDefault="00274A95" w:rsidP="00274A95">
      <w:pPr>
        <w:jc w:val="both"/>
        <w:rPr>
          <w:rFonts w:cs="Arial"/>
        </w:rPr>
      </w:pPr>
      <w:bookmarkStart w:id="8" w:name="_Hlk63166937"/>
      <w:r w:rsidRPr="005310C1">
        <w:rPr>
          <w:rFonts w:cs="Arial"/>
          <w:b/>
        </w:rPr>
        <w:t>Energy Consumption</w:t>
      </w:r>
    </w:p>
    <w:bookmarkEnd w:id="8"/>
    <w:p w14:paraId="646DE5B4" w14:textId="77777777" w:rsidR="00D00C49" w:rsidRPr="001D3CA3" w:rsidRDefault="00AE0A47" w:rsidP="00274A95">
      <w:pPr>
        <w:jc w:val="both"/>
        <w:rPr>
          <w:rFonts w:cs="Arial"/>
        </w:rPr>
      </w:pPr>
      <w:r w:rsidRPr="005310C1">
        <w:rPr>
          <w:rFonts w:cs="Arial"/>
        </w:rPr>
        <w:t>The table below displays our annual energy consumption for electricity, natural gas and vehicle fuel for the 202</w:t>
      </w:r>
      <w:r w:rsidR="005310C1">
        <w:rPr>
          <w:rFonts w:cs="Arial"/>
        </w:rPr>
        <w:t>4</w:t>
      </w:r>
      <w:r w:rsidRPr="005310C1">
        <w:rPr>
          <w:rFonts w:cs="Arial"/>
        </w:rPr>
        <w:t xml:space="preserve"> </w:t>
      </w:r>
      <w:r w:rsidRPr="001D3CA3">
        <w:rPr>
          <w:rFonts w:cs="Arial"/>
        </w:rPr>
        <w:t xml:space="preserve">financial </w:t>
      </w:r>
      <w:r w:rsidR="005310C1" w:rsidRPr="001D3CA3">
        <w:rPr>
          <w:rFonts w:cs="Arial"/>
        </w:rPr>
        <w:t>period</w:t>
      </w:r>
      <w:r w:rsidRPr="001D3CA3">
        <w:rPr>
          <w:rFonts w:cs="Arial"/>
        </w:rPr>
        <w:t>. As per SECR requirements this information is presented in kilowatt hours (kWh).</w:t>
      </w:r>
    </w:p>
    <w:p w14:paraId="671205E0" w14:textId="77777777" w:rsidR="00AE0A47" w:rsidRPr="001D3CA3" w:rsidRDefault="00AE0A47" w:rsidP="00274A95">
      <w:pPr>
        <w:jc w:val="both"/>
        <w:rPr>
          <w:rFonts w:cs="Arial"/>
          <w:sz w:val="10"/>
          <w:szCs w:val="10"/>
        </w:rPr>
      </w:pPr>
    </w:p>
    <w:p w14:paraId="39785A43" w14:textId="77777777" w:rsidR="00274A95" w:rsidRPr="001D3CA3" w:rsidRDefault="00FB79F5" w:rsidP="00274A95">
      <w:pPr>
        <w:jc w:val="both"/>
        <w:rPr>
          <w:rFonts w:cs="Arial"/>
        </w:rPr>
      </w:pPr>
      <w:r w:rsidRPr="001D3CA3">
        <w:rPr>
          <w:rFonts w:cs="Arial"/>
        </w:rPr>
        <w:tab/>
      </w:r>
      <w:r w:rsidRPr="001D3CA3">
        <w:rPr>
          <w:rFonts w:cs="Arial"/>
        </w:rPr>
        <w:tab/>
      </w:r>
      <w:r w:rsidRPr="001D3CA3">
        <w:rPr>
          <w:rFonts w:cs="Arial"/>
        </w:rPr>
        <w:tab/>
      </w:r>
      <w:r w:rsidRPr="001D3CA3">
        <w:rPr>
          <w:rFonts w:cs="Arial"/>
        </w:rPr>
        <w:tab/>
      </w:r>
      <w:r w:rsidRPr="001D3CA3">
        <w:rPr>
          <w:rFonts w:cs="Arial"/>
        </w:rPr>
        <w:tab/>
      </w:r>
      <w:r w:rsidRPr="001D3CA3">
        <w:rPr>
          <w:rFonts w:cs="Arial"/>
          <w:b/>
        </w:rPr>
        <w:t>GHG Scope</w:t>
      </w:r>
      <w:r w:rsidRPr="001D3CA3">
        <w:rPr>
          <w:rFonts w:cs="Arial"/>
        </w:rPr>
        <w:tab/>
      </w:r>
      <w:r w:rsidRPr="001D3CA3">
        <w:rPr>
          <w:rFonts w:cs="Arial"/>
        </w:rPr>
        <w:tab/>
      </w:r>
      <w:r w:rsidRPr="001D3CA3">
        <w:rPr>
          <w:rFonts w:cs="Arial"/>
        </w:rPr>
        <w:tab/>
      </w:r>
      <w:r w:rsidRPr="001D3CA3">
        <w:rPr>
          <w:rFonts w:cs="Arial"/>
        </w:rPr>
        <w:tab/>
      </w:r>
      <w:r w:rsidRPr="001D3CA3">
        <w:rPr>
          <w:rFonts w:cs="Arial"/>
        </w:rPr>
        <w:tab/>
      </w:r>
      <w:r w:rsidRPr="001D3CA3">
        <w:rPr>
          <w:rFonts w:cs="Arial"/>
        </w:rPr>
        <w:tab/>
      </w:r>
      <w:r w:rsidRPr="001D3CA3">
        <w:rPr>
          <w:rFonts w:cs="Arial"/>
        </w:rPr>
        <w:tab/>
      </w:r>
      <w:r w:rsidR="00FC156A" w:rsidRPr="001D3CA3">
        <w:rPr>
          <w:rFonts w:cs="Arial"/>
        </w:rPr>
        <w:tab/>
      </w:r>
      <w:r w:rsidR="00FC156A" w:rsidRPr="001D3CA3">
        <w:rPr>
          <w:rFonts w:cs="Arial"/>
        </w:rPr>
        <w:tab/>
      </w:r>
      <w:r w:rsidR="00622EF4" w:rsidRPr="001D3CA3">
        <w:rPr>
          <w:rFonts w:cs="Arial"/>
        </w:rPr>
        <w:t xml:space="preserve">      </w:t>
      </w:r>
      <w:r w:rsidR="00622EF4" w:rsidRPr="001D3CA3">
        <w:rPr>
          <w:rFonts w:cs="Arial"/>
          <w:b/>
        </w:rPr>
        <w:t>% change</w:t>
      </w:r>
    </w:p>
    <w:p w14:paraId="592B87CB" w14:textId="77777777" w:rsidR="00274A95" w:rsidRPr="001D3CA3" w:rsidRDefault="00274A95" w:rsidP="00274A95">
      <w:pPr>
        <w:jc w:val="both"/>
        <w:rPr>
          <w:rFonts w:cs="Arial"/>
          <w:b/>
          <w:u w:val="single"/>
        </w:rPr>
      </w:pPr>
      <w:r w:rsidRPr="001D3CA3">
        <w:rPr>
          <w:rFonts w:cs="Arial"/>
          <w:b/>
          <w:u w:val="single"/>
        </w:rPr>
        <w:t>Emissions Source</w:t>
      </w:r>
      <w:r w:rsidRPr="001D3CA3">
        <w:rPr>
          <w:rFonts w:cs="Arial"/>
          <w:b/>
          <w:u w:val="single"/>
        </w:rPr>
        <w:tab/>
      </w:r>
      <w:r w:rsidRPr="001D3CA3">
        <w:rPr>
          <w:rFonts w:cs="Arial"/>
          <w:b/>
          <w:u w:val="single"/>
        </w:rPr>
        <w:tab/>
        <w:t>(Protocol)</w:t>
      </w:r>
      <w:r w:rsidRPr="001D3CA3">
        <w:rPr>
          <w:rFonts w:cs="Arial"/>
          <w:b/>
          <w:u w:val="single"/>
        </w:rPr>
        <w:tab/>
        <w:t>Reporting Units</w:t>
      </w:r>
      <w:r w:rsidRPr="001D3CA3">
        <w:rPr>
          <w:rFonts w:cs="Arial"/>
          <w:b/>
          <w:u w:val="single"/>
        </w:rPr>
        <w:tab/>
      </w:r>
      <w:r w:rsidR="00FB79F5" w:rsidRPr="001D3CA3">
        <w:rPr>
          <w:rFonts w:cs="Arial"/>
          <w:b/>
          <w:u w:val="single"/>
        </w:rPr>
        <w:t xml:space="preserve">       </w:t>
      </w:r>
      <w:r w:rsidR="005B51D9" w:rsidRPr="001D3CA3">
        <w:rPr>
          <w:rFonts w:cs="Arial"/>
          <w:b/>
          <w:u w:val="single"/>
        </w:rPr>
        <w:t>202</w:t>
      </w:r>
      <w:r w:rsidR="001D3CA3" w:rsidRPr="001D3CA3">
        <w:rPr>
          <w:rFonts w:cs="Arial"/>
          <w:b/>
          <w:u w:val="single"/>
        </w:rPr>
        <w:t>4</w:t>
      </w:r>
      <w:r w:rsidR="005B51D9" w:rsidRPr="001D3CA3">
        <w:rPr>
          <w:rFonts w:cs="Arial"/>
          <w:b/>
          <w:u w:val="single"/>
        </w:rPr>
        <w:tab/>
      </w:r>
      <w:r w:rsidR="005B51D9" w:rsidRPr="001D3CA3">
        <w:rPr>
          <w:rFonts w:cs="Arial"/>
          <w:b/>
          <w:u w:val="single"/>
        </w:rPr>
        <w:tab/>
      </w:r>
      <w:r w:rsidR="00C323BB" w:rsidRPr="001D3CA3">
        <w:rPr>
          <w:rFonts w:cs="Arial"/>
          <w:b/>
          <w:u w:val="single"/>
        </w:rPr>
        <w:t xml:space="preserve">      </w:t>
      </w:r>
      <w:r w:rsidRPr="001D3CA3">
        <w:rPr>
          <w:rFonts w:cs="Arial"/>
          <w:b/>
          <w:u w:val="single"/>
        </w:rPr>
        <w:t>202</w:t>
      </w:r>
      <w:r w:rsidR="006B3E3A" w:rsidRPr="001D3CA3">
        <w:rPr>
          <w:rFonts w:cs="Arial"/>
          <w:b/>
          <w:u w:val="single"/>
        </w:rPr>
        <w:t>1</w:t>
      </w:r>
      <w:r w:rsidR="00FB79F5" w:rsidRPr="001D3CA3">
        <w:rPr>
          <w:rFonts w:cs="Arial"/>
          <w:b/>
          <w:u w:val="single"/>
        </w:rPr>
        <w:tab/>
      </w:r>
      <w:r w:rsidR="00103DF5" w:rsidRPr="001D3CA3">
        <w:rPr>
          <w:rFonts w:cs="Arial"/>
          <w:b/>
          <w:u w:val="single"/>
        </w:rPr>
        <w:t xml:space="preserve">   </w:t>
      </w:r>
      <w:r w:rsidR="00622EF4" w:rsidRPr="001D3CA3">
        <w:rPr>
          <w:rFonts w:cs="Arial"/>
          <w:b/>
          <w:u w:val="single"/>
        </w:rPr>
        <w:t>v’s Baseline</w:t>
      </w:r>
    </w:p>
    <w:p w14:paraId="76054D36" w14:textId="77777777" w:rsidR="00274A95" w:rsidRPr="000E7D6A" w:rsidRDefault="00274A95" w:rsidP="00274A95">
      <w:pPr>
        <w:jc w:val="both"/>
        <w:rPr>
          <w:rFonts w:cs="Arial"/>
        </w:rPr>
      </w:pPr>
      <w:r w:rsidRPr="001D3CA3">
        <w:rPr>
          <w:rFonts w:cs="Arial"/>
        </w:rPr>
        <w:t>Vehicle Fleet Fuel</w:t>
      </w:r>
      <w:r w:rsidRPr="001D3CA3">
        <w:rPr>
          <w:rFonts w:cs="Arial"/>
        </w:rPr>
        <w:tab/>
      </w:r>
      <w:r w:rsidRPr="001D3CA3">
        <w:rPr>
          <w:rFonts w:cs="Arial"/>
        </w:rPr>
        <w:tab/>
      </w:r>
      <w:r w:rsidRPr="001D3CA3">
        <w:rPr>
          <w:rFonts w:cs="Arial"/>
        </w:rPr>
        <w:tab/>
      </w:r>
      <w:r w:rsidR="000E7D6A">
        <w:rPr>
          <w:rFonts w:cs="Arial"/>
        </w:rPr>
        <w:t xml:space="preserve">   </w:t>
      </w:r>
      <w:r w:rsidRPr="001D3CA3">
        <w:rPr>
          <w:rFonts w:cs="Arial"/>
        </w:rPr>
        <w:t>Scope 1</w:t>
      </w:r>
      <w:r w:rsidRPr="001D3CA3">
        <w:rPr>
          <w:rFonts w:cs="Arial"/>
        </w:rPr>
        <w:tab/>
      </w:r>
      <w:r w:rsidRPr="001D3CA3">
        <w:rPr>
          <w:rFonts w:cs="Arial"/>
        </w:rPr>
        <w:tab/>
        <w:t>kWh</w:t>
      </w:r>
      <w:r w:rsidRPr="001D3CA3">
        <w:rPr>
          <w:rFonts w:cs="Arial"/>
        </w:rPr>
        <w:tab/>
      </w:r>
      <w:r w:rsidRPr="001D3CA3">
        <w:rPr>
          <w:rFonts w:cs="Arial"/>
        </w:rPr>
        <w:tab/>
      </w:r>
      <w:r w:rsidR="00622EF4" w:rsidRPr="001D3CA3">
        <w:rPr>
          <w:rFonts w:cs="Arial"/>
        </w:rPr>
        <w:t>2</w:t>
      </w:r>
      <w:r w:rsidR="001D3CA3" w:rsidRPr="001D3CA3">
        <w:rPr>
          <w:rFonts w:cs="Arial"/>
        </w:rPr>
        <w:t>1</w:t>
      </w:r>
      <w:r w:rsidR="009E3673" w:rsidRPr="001D3CA3">
        <w:rPr>
          <w:rFonts w:cs="Arial"/>
        </w:rPr>
        <w:t>4,</w:t>
      </w:r>
      <w:r w:rsidR="001D3CA3" w:rsidRPr="001D3CA3">
        <w:rPr>
          <w:rFonts w:cs="Arial"/>
        </w:rPr>
        <w:t>905</w:t>
      </w:r>
      <w:r w:rsidR="009E3673" w:rsidRPr="001D3CA3">
        <w:rPr>
          <w:rFonts w:cs="Arial"/>
        </w:rPr>
        <w:t>,</w:t>
      </w:r>
      <w:r w:rsidR="001D3CA3" w:rsidRPr="001D3CA3">
        <w:rPr>
          <w:rFonts w:cs="Arial"/>
        </w:rPr>
        <w:t>602</w:t>
      </w:r>
      <w:r w:rsidR="009E3673" w:rsidRPr="001D3CA3">
        <w:rPr>
          <w:rFonts w:cs="Arial"/>
        </w:rPr>
        <w:tab/>
      </w:r>
      <w:r w:rsidR="009E3673" w:rsidRPr="001D3CA3">
        <w:rPr>
          <w:rFonts w:cs="Arial"/>
        </w:rPr>
        <w:tab/>
      </w:r>
      <w:r w:rsidR="009E3673" w:rsidRPr="000E7D6A">
        <w:rPr>
          <w:rFonts w:cs="Arial"/>
        </w:rPr>
        <w:t>204,</w:t>
      </w:r>
      <w:r w:rsidR="00594437">
        <w:rPr>
          <w:rFonts w:cs="Arial"/>
        </w:rPr>
        <w:t>157</w:t>
      </w:r>
      <w:r w:rsidR="009E3673" w:rsidRPr="000E7D6A">
        <w:rPr>
          <w:rFonts w:cs="Arial"/>
        </w:rPr>
        <w:t>,</w:t>
      </w:r>
      <w:r w:rsidR="00594437">
        <w:rPr>
          <w:rFonts w:cs="Arial"/>
        </w:rPr>
        <w:t>954</w:t>
      </w:r>
      <w:r w:rsidR="00103DF5" w:rsidRPr="000E7D6A">
        <w:rPr>
          <w:rFonts w:cs="Arial"/>
        </w:rPr>
        <w:tab/>
      </w:r>
      <w:r w:rsidR="00103DF5" w:rsidRPr="000E7D6A">
        <w:rPr>
          <w:rFonts w:cs="Arial"/>
        </w:rPr>
        <w:tab/>
      </w:r>
      <w:r w:rsidR="00175E11" w:rsidRPr="000E7D6A">
        <w:rPr>
          <w:rFonts w:cs="Arial"/>
        </w:rPr>
        <w:t xml:space="preserve"> </w:t>
      </w:r>
      <w:r w:rsidR="00594437">
        <w:rPr>
          <w:rFonts w:cs="Arial"/>
        </w:rPr>
        <w:t xml:space="preserve">  </w:t>
      </w:r>
      <w:r w:rsidR="00676399" w:rsidRPr="000E7D6A">
        <w:rPr>
          <w:rFonts w:cs="Arial"/>
        </w:rPr>
        <w:t>+</w:t>
      </w:r>
      <w:r w:rsidR="000E7D6A" w:rsidRPr="000E7D6A">
        <w:rPr>
          <w:rFonts w:cs="Arial"/>
        </w:rPr>
        <w:t>5</w:t>
      </w:r>
      <w:r w:rsidR="00103DF5" w:rsidRPr="000E7D6A">
        <w:rPr>
          <w:rFonts w:cs="Arial"/>
        </w:rPr>
        <w:t>.</w:t>
      </w:r>
      <w:r w:rsidR="00594437">
        <w:rPr>
          <w:rFonts w:cs="Arial"/>
        </w:rPr>
        <w:t>3</w:t>
      </w:r>
      <w:r w:rsidR="00103DF5" w:rsidRPr="000E7D6A">
        <w:rPr>
          <w:rFonts w:cs="Arial"/>
        </w:rPr>
        <w:t>%</w:t>
      </w:r>
    </w:p>
    <w:p w14:paraId="447001FC" w14:textId="19045ADD" w:rsidR="008C19D3" w:rsidRPr="000E7D6A" w:rsidRDefault="008C19D3" w:rsidP="008C19D3">
      <w:pPr>
        <w:jc w:val="both"/>
        <w:rPr>
          <w:rFonts w:cs="Arial"/>
        </w:rPr>
      </w:pPr>
      <w:bookmarkStart w:id="9" w:name="_Hlk67044675"/>
      <w:r w:rsidRPr="000E7D6A">
        <w:rPr>
          <w:rFonts w:cs="Arial"/>
        </w:rPr>
        <w:t xml:space="preserve">Trams </w:t>
      </w:r>
      <w:r w:rsidR="000E7D6A" w:rsidRPr="000E7D6A">
        <w:rPr>
          <w:rFonts w:cs="Arial"/>
        </w:rPr>
        <w:t>and Bus</w:t>
      </w:r>
      <w:r w:rsidRPr="000E7D6A">
        <w:rPr>
          <w:rFonts w:cs="Arial"/>
        </w:rPr>
        <w:t xml:space="preserve"> </w:t>
      </w:r>
      <w:r w:rsidR="000E7D6A" w:rsidRPr="000E7D6A">
        <w:rPr>
          <w:rFonts w:cs="Arial"/>
        </w:rPr>
        <w:t xml:space="preserve">Electricity usage </w:t>
      </w:r>
      <w:r w:rsidR="00996EB9">
        <w:rPr>
          <w:rFonts w:cs="Arial"/>
        </w:rPr>
        <w:t xml:space="preserve"> </w:t>
      </w:r>
      <w:r w:rsidR="000E7D6A" w:rsidRPr="000E7D6A">
        <w:rPr>
          <w:rFonts w:cs="Arial"/>
        </w:rPr>
        <w:t>S</w:t>
      </w:r>
      <w:r w:rsidRPr="000E7D6A">
        <w:rPr>
          <w:rFonts w:cs="Arial"/>
        </w:rPr>
        <w:t>cope 2</w:t>
      </w:r>
      <w:r w:rsidRPr="000E7D6A">
        <w:rPr>
          <w:rFonts w:cs="Arial"/>
        </w:rPr>
        <w:tab/>
      </w:r>
      <w:r w:rsidRPr="000E7D6A">
        <w:rPr>
          <w:rFonts w:cs="Arial"/>
        </w:rPr>
        <w:tab/>
        <w:t>kWh</w:t>
      </w:r>
      <w:r w:rsidRPr="000E7D6A">
        <w:rPr>
          <w:rFonts w:cs="Arial"/>
        </w:rPr>
        <w:tab/>
      </w:r>
      <w:r w:rsidRPr="000E7D6A">
        <w:rPr>
          <w:rFonts w:cs="Arial"/>
        </w:rPr>
        <w:tab/>
      </w:r>
      <w:r w:rsidR="00FB79F5" w:rsidRPr="000E7D6A">
        <w:rPr>
          <w:rFonts w:cs="Arial"/>
        </w:rPr>
        <w:t xml:space="preserve">  </w:t>
      </w:r>
      <w:r w:rsidR="001D3CA3" w:rsidRPr="000E7D6A">
        <w:rPr>
          <w:rFonts w:cs="Arial"/>
        </w:rPr>
        <w:t>1</w:t>
      </w:r>
      <w:r w:rsidR="000E7D6A" w:rsidRPr="000E7D6A">
        <w:rPr>
          <w:rFonts w:cs="Arial"/>
        </w:rPr>
        <w:t>2</w:t>
      </w:r>
      <w:r w:rsidR="00FB79F5" w:rsidRPr="000E7D6A">
        <w:rPr>
          <w:rFonts w:cs="Arial"/>
        </w:rPr>
        <w:t>,</w:t>
      </w:r>
      <w:r w:rsidR="000E7D6A" w:rsidRPr="000E7D6A">
        <w:rPr>
          <w:rFonts w:cs="Arial"/>
        </w:rPr>
        <w:t>328</w:t>
      </w:r>
      <w:r w:rsidR="009E3673" w:rsidRPr="000E7D6A">
        <w:rPr>
          <w:rFonts w:cs="Arial"/>
        </w:rPr>
        <w:t>,</w:t>
      </w:r>
      <w:r w:rsidR="000E7D6A" w:rsidRPr="000E7D6A">
        <w:rPr>
          <w:rFonts w:cs="Arial"/>
        </w:rPr>
        <w:t>696</w:t>
      </w:r>
      <w:r w:rsidRPr="000E7D6A">
        <w:rPr>
          <w:rFonts w:cs="Arial"/>
        </w:rPr>
        <w:tab/>
      </w:r>
      <w:r w:rsidRPr="000E7D6A">
        <w:rPr>
          <w:rFonts w:cs="Arial"/>
        </w:rPr>
        <w:tab/>
        <w:t xml:space="preserve">    </w:t>
      </w:r>
      <w:r w:rsidR="006B3E3A" w:rsidRPr="000E7D6A">
        <w:rPr>
          <w:rFonts w:cs="Arial"/>
        </w:rPr>
        <w:t>7</w:t>
      </w:r>
      <w:r w:rsidRPr="000E7D6A">
        <w:rPr>
          <w:rFonts w:cs="Arial"/>
        </w:rPr>
        <w:t>,</w:t>
      </w:r>
      <w:r w:rsidR="006B3E3A" w:rsidRPr="000E7D6A">
        <w:rPr>
          <w:rFonts w:cs="Arial"/>
        </w:rPr>
        <w:t>540</w:t>
      </w:r>
      <w:r w:rsidRPr="000E7D6A">
        <w:rPr>
          <w:rFonts w:cs="Arial"/>
        </w:rPr>
        <w:t>,</w:t>
      </w:r>
      <w:r w:rsidR="006B3E3A" w:rsidRPr="000E7D6A">
        <w:rPr>
          <w:rFonts w:cs="Arial"/>
        </w:rPr>
        <w:t>529</w:t>
      </w:r>
      <w:r w:rsidR="00103DF5" w:rsidRPr="000E7D6A">
        <w:rPr>
          <w:rFonts w:cs="Arial"/>
        </w:rPr>
        <w:tab/>
      </w:r>
      <w:r w:rsidR="00103DF5" w:rsidRPr="000E7D6A">
        <w:rPr>
          <w:rFonts w:cs="Arial"/>
        </w:rPr>
        <w:tab/>
      </w:r>
      <w:r w:rsidR="006B3E3A" w:rsidRPr="000E7D6A">
        <w:rPr>
          <w:rFonts w:cs="Arial"/>
        </w:rPr>
        <w:t xml:space="preserve"> </w:t>
      </w:r>
      <w:r w:rsidR="002C53C9" w:rsidRPr="000E7D6A">
        <w:rPr>
          <w:rFonts w:cs="Arial"/>
        </w:rPr>
        <w:t>+</w:t>
      </w:r>
      <w:r w:rsidR="000E7D6A" w:rsidRPr="000E7D6A">
        <w:rPr>
          <w:rFonts w:cs="Arial"/>
        </w:rPr>
        <w:t>63</w:t>
      </w:r>
      <w:r w:rsidR="002C53C9" w:rsidRPr="000E7D6A">
        <w:rPr>
          <w:rFonts w:cs="Arial"/>
        </w:rPr>
        <w:t>.</w:t>
      </w:r>
      <w:r w:rsidR="000E7D6A" w:rsidRPr="000E7D6A">
        <w:rPr>
          <w:rFonts w:cs="Arial"/>
        </w:rPr>
        <w:t>5</w:t>
      </w:r>
      <w:r w:rsidR="00103DF5" w:rsidRPr="000E7D6A">
        <w:rPr>
          <w:rFonts w:cs="Arial"/>
        </w:rPr>
        <w:t>%</w:t>
      </w:r>
    </w:p>
    <w:p w14:paraId="1808F3A5" w14:textId="77777777" w:rsidR="008C19D3" w:rsidRPr="000E7D6A" w:rsidRDefault="008C19D3" w:rsidP="008C19D3">
      <w:pPr>
        <w:jc w:val="both"/>
        <w:rPr>
          <w:rFonts w:cs="Arial"/>
        </w:rPr>
      </w:pPr>
      <w:r w:rsidRPr="000E7D6A">
        <w:rPr>
          <w:rFonts w:cs="Arial"/>
        </w:rPr>
        <w:t>Electricity (Sites &amp; Vehicles)</w:t>
      </w:r>
      <w:r w:rsidRPr="000E7D6A">
        <w:rPr>
          <w:rFonts w:cs="Arial"/>
        </w:rPr>
        <w:tab/>
      </w:r>
      <w:r w:rsidR="000E7D6A" w:rsidRPr="000E7D6A">
        <w:rPr>
          <w:rFonts w:cs="Arial"/>
        </w:rPr>
        <w:t xml:space="preserve">   </w:t>
      </w:r>
      <w:r w:rsidRPr="000E7D6A">
        <w:rPr>
          <w:rFonts w:cs="Arial"/>
        </w:rPr>
        <w:t>Scope 2&amp;3</w:t>
      </w:r>
      <w:r w:rsidRPr="000E7D6A">
        <w:rPr>
          <w:rFonts w:cs="Arial"/>
        </w:rPr>
        <w:tab/>
        <w:t>kWh</w:t>
      </w:r>
      <w:r w:rsidRPr="000E7D6A">
        <w:rPr>
          <w:rFonts w:cs="Arial"/>
        </w:rPr>
        <w:tab/>
      </w:r>
      <w:r w:rsidRPr="000E7D6A">
        <w:rPr>
          <w:rFonts w:cs="Arial"/>
        </w:rPr>
        <w:tab/>
      </w:r>
      <w:r w:rsidR="009E3673" w:rsidRPr="000E7D6A">
        <w:rPr>
          <w:rFonts w:cs="Arial"/>
        </w:rPr>
        <w:t xml:space="preserve">    4,</w:t>
      </w:r>
      <w:r w:rsidR="001D3CA3" w:rsidRPr="000E7D6A">
        <w:rPr>
          <w:rFonts w:cs="Arial"/>
        </w:rPr>
        <w:t>299</w:t>
      </w:r>
      <w:r w:rsidR="009E3673" w:rsidRPr="000E7D6A">
        <w:rPr>
          <w:rFonts w:cs="Arial"/>
        </w:rPr>
        <w:t>,</w:t>
      </w:r>
      <w:r w:rsidR="001D3CA3" w:rsidRPr="000E7D6A">
        <w:rPr>
          <w:rFonts w:cs="Arial"/>
        </w:rPr>
        <w:t>763</w:t>
      </w:r>
      <w:r w:rsidR="009E3673" w:rsidRPr="000E7D6A">
        <w:rPr>
          <w:rFonts w:cs="Arial"/>
        </w:rPr>
        <w:tab/>
      </w:r>
      <w:r w:rsidR="009E3673" w:rsidRPr="000E7D6A">
        <w:rPr>
          <w:rFonts w:cs="Arial"/>
        </w:rPr>
        <w:tab/>
        <w:t xml:space="preserve">    </w:t>
      </w:r>
      <w:r w:rsidR="00862A7C" w:rsidRPr="000E7D6A">
        <w:rPr>
          <w:rFonts w:cs="Arial"/>
        </w:rPr>
        <w:t>4,599,267</w:t>
      </w:r>
      <w:r w:rsidR="00103DF5" w:rsidRPr="000E7D6A">
        <w:rPr>
          <w:rFonts w:cs="Arial"/>
        </w:rPr>
        <w:tab/>
      </w:r>
      <w:r w:rsidR="00103DF5" w:rsidRPr="000E7D6A">
        <w:rPr>
          <w:rFonts w:cs="Arial"/>
        </w:rPr>
        <w:tab/>
      </w:r>
      <w:r w:rsidR="00175E11" w:rsidRPr="000E7D6A">
        <w:rPr>
          <w:rFonts w:cs="Arial"/>
        </w:rPr>
        <w:t xml:space="preserve">  </w:t>
      </w:r>
      <w:r w:rsidR="000E7D6A" w:rsidRPr="000E7D6A">
        <w:rPr>
          <w:rFonts w:cs="Arial"/>
        </w:rPr>
        <w:t xml:space="preserve">  -6.5</w:t>
      </w:r>
      <w:r w:rsidR="00175E11" w:rsidRPr="000E7D6A">
        <w:rPr>
          <w:rFonts w:cs="Arial"/>
        </w:rPr>
        <w:t>%</w:t>
      </w:r>
    </w:p>
    <w:p w14:paraId="2A77C547" w14:textId="77777777" w:rsidR="00274A95" w:rsidRPr="000E7D6A" w:rsidRDefault="008C19D3" w:rsidP="00274A95">
      <w:pPr>
        <w:jc w:val="both"/>
        <w:rPr>
          <w:rFonts w:cs="Arial"/>
        </w:rPr>
      </w:pPr>
      <w:r w:rsidRPr="001D3CA3">
        <w:rPr>
          <w:rFonts w:cs="Arial"/>
        </w:rPr>
        <w:t>Natural Gas</w:t>
      </w:r>
      <w:r w:rsidR="00274A95" w:rsidRPr="001D3CA3">
        <w:rPr>
          <w:rFonts w:cs="Arial"/>
        </w:rPr>
        <w:tab/>
      </w:r>
      <w:r w:rsidR="00274A95" w:rsidRPr="001D3CA3">
        <w:rPr>
          <w:rFonts w:cs="Arial"/>
        </w:rPr>
        <w:tab/>
      </w:r>
      <w:r w:rsidR="00274A95" w:rsidRPr="001D3CA3">
        <w:rPr>
          <w:rFonts w:cs="Arial"/>
        </w:rPr>
        <w:tab/>
      </w:r>
      <w:r w:rsidR="00274A95" w:rsidRPr="001D3CA3">
        <w:rPr>
          <w:rFonts w:cs="Arial"/>
        </w:rPr>
        <w:tab/>
      </w:r>
      <w:r w:rsidR="000E7D6A">
        <w:rPr>
          <w:rFonts w:cs="Arial"/>
        </w:rPr>
        <w:t xml:space="preserve">   </w:t>
      </w:r>
      <w:r w:rsidR="00274A95" w:rsidRPr="001D3CA3">
        <w:rPr>
          <w:rFonts w:cs="Arial"/>
        </w:rPr>
        <w:t xml:space="preserve">Scope </w:t>
      </w:r>
      <w:r w:rsidRPr="001D3CA3">
        <w:rPr>
          <w:rFonts w:cs="Arial"/>
        </w:rPr>
        <w:t>1</w:t>
      </w:r>
      <w:r w:rsidR="00274A95" w:rsidRPr="001D3CA3">
        <w:rPr>
          <w:rFonts w:cs="Arial"/>
        </w:rPr>
        <w:tab/>
      </w:r>
      <w:r w:rsidR="00274A95" w:rsidRPr="001D3CA3">
        <w:rPr>
          <w:rFonts w:cs="Arial"/>
        </w:rPr>
        <w:tab/>
        <w:t>kWh</w:t>
      </w:r>
      <w:r w:rsidR="00274A95" w:rsidRPr="001D3CA3">
        <w:rPr>
          <w:rFonts w:cs="Arial"/>
        </w:rPr>
        <w:tab/>
      </w:r>
      <w:r w:rsidR="00274A95" w:rsidRPr="001D3CA3">
        <w:rPr>
          <w:rFonts w:cs="Arial"/>
        </w:rPr>
        <w:tab/>
      </w:r>
      <w:r w:rsidR="009E3673" w:rsidRPr="001D3CA3">
        <w:rPr>
          <w:rFonts w:cs="Arial"/>
        </w:rPr>
        <w:t xml:space="preserve">    </w:t>
      </w:r>
      <w:r w:rsidR="001D3CA3" w:rsidRPr="001D3CA3">
        <w:rPr>
          <w:rFonts w:cs="Arial"/>
        </w:rPr>
        <w:t>5</w:t>
      </w:r>
      <w:r w:rsidR="009E3673" w:rsidRPr="001D3CA3">
        <w:rPr>
          <w:rFonts w:cs="Arial"/>
        </w:rPr>
        <w:t>,</w:t>
      </w:r>
      <w:r w:rsidR="001D3CA3" w:rsidRPr="001D3CA3">
        <w:rPr>
          <w:rFonts w:cs="Arial"/>
        </w:rPr>
        <w:t>650</w:t>
      </w:r>
      <w:r w:rsidR="009E3673" w:rsidRPr="001D3CA3">
        <w:rPr>
          <w:rFonts w:cs="Arial"/>
        </w:rPr>
        <w:t>,</w:t>
      </w:r>
      <w:r w:rsidR="001D3CA3" w:rsidRPr="000E7D6A">
        <w:rPr>
          <w:rFonts w:cs="Arial"/>
        </w:rPr>
        <w:t>675</w:t>
      </w:r>
      <w:r w:rsidR="009E3673" w:rsidRPr="000E7D6A">
        <w:rPr>
          <w:rFonts w:cs="Arial"/>
        </w:rPr>
        <w:tab/>
      </w:r>
      <w:r w:rsidR="009E3673" w:rsidRPr="000E7D6A">
        <w:rPr>
          <w:rFonts w:cs="Arial"/>
        </w:rPr>
        <w:tab/>
        <w:t xml:space="preserve">    </w:t>
      </w:r>
      <w:r w:rsidR="00594437">
        <w:rPr>
          <w:rFonts w:cs="Arial"/>
        </w:rPr>
        <w:t>5</w:t>
      </w:r>
      <w:r w:rsidR="00A07685" w:rsidRPr="000E7D6A">
        <w:rPr>
          <w:rFonts w:cs="Arial"/>
        </w:rPr>
        <w:t>,</w:t>
      </w:r>
      <w:r w:rsidR="00594437">
        <w:rPr>
          <w:rFonts w:cs="Arial"/>
        </w:rPr>
        <w:t>521</w:t>
      </w:r>
      <w:r w:rsidR="00A07685" w:rsidRPr="000E7D6A">
        <w:rPr>
          <w:rFonts w:cs="Arial"/>
        </w:rPr>
        <w:t>,</w:t>
      </w:r>
      <w:r w:rsidR="00594437">
        <w:rPr>
          <w:rFonts w:cs="Arial"/>
        </w:rPr>
        <w:t>005</w:t>
      </w:r>
      <w:r w:rsidR="00103DF5" w:rsidRPr="000E7D6A">
        <w:rPr>
          <w:rFonts w:cs="Arial"/>
        </w:rPr>
        <w:tab/>
      </w:r>
      <w:r w:rsidR="00103DF5" w:rsidRPr="000E7D6A">
        <w:rPr>
          <w:rFonts w:cs="Arial"/>
        </w:rPr>
        <w:tab/>
      </w:r>
      <w:r w:rsidR="006B3E3A" w:rsidRPr="000E7D6A">
        <w:rPr>
          <w:rFonts w:cs="Arial"/>
        </w:rPr>
        <w:t xml:space="preserve"> </w:t>
      </w:r>
      <w:r w:rsidR="00594437">
        <w:rPr>
          <w:rFonts w:cs="Arial"/>
        </w:rPr>
        <w:t xml:space="preserve">  </w:t>
      </w:r>
      <w:r w:rsidR="000E7D6A" w:rsidRPr="000E7D6A">
        <w:rPr>
          <w:rFonts w:cs="Arial"/>
        </w:rPr>
        <w:t>+2</w:t>
      </w:r>
      <w:r w:rsidR="002C53C9" w:rsidRPr="000E7D6A">
        <w:rPr>
          <w:rFonts w:cs="Arial"/>
        </w:rPr>
        <w:t>.</w:t>
      </w:r>
      <w:r w:rsidR="00594437">
        <w:rPr>
          <w:rFonts w:cs="Arial"/>
        </w:rPr>
        <w:t>3</w:t>
      </w:r>
      <w:r w:rsidR="00103DF5" w:rsidRPr="000E7D6A">
        <w:rPr>
          <w:rFonts w:cs="Arial"/>
        </w:rPr>
        <w:t>%</w:t>
      </w:r>
    </w:p>
    <w:bookmarkEnd w:id="9"/>
    <w:p w14:paraId="4FD80172" w14:textId="77777777" w:rsidR="00274A95" w:rsidRPr="009C12C1" w:rsidRDefault="005316A4" w:rsidP="00274A95">
      <w:pPr>
        <w:jc w:val="both"/>
        <w:rPr>
          <w:rFonts w:cs="Arial"/>
        </w:rPr>
      </w:pPr>
      <w:r w:rsidRPr="001D3CA3">
        <w:rPr>
          <w:rFonts w:cs="Arial"/>
          <w:u w:val="single"/>
        </w:rPr>
        <w:t>Tram Vehicle</w:t>
      </w:r>
      <w:r w:rsidR="008C19D3" w:rsidRPr="001D3CA3">
        <w:rPr>
          <w:rFonts w:cs="Arial"/>
          <w:u w:val="single"/>
        </w:rPr>
        <w:t xml:space="preserve"> Fleet Mileage</w:t>
      </w:r>
      <w:r w:rsidR="00274A95" w:rsidRPr="001D3CA3">
        <w:rPr>
          <w:rFonts w:cs="Arial"/>
          <w:u w:val="single"/>
        </w:rPr>
        <w:tab/>
      </w:r>
      <w:r w:rsidR="000E7D6A">
        <w:rPr>
          <w:rFonts w:cs="Arial"/>
          <w:u w:val="single"/>
        </w:rPr>
        <w:t xml:space="preserve">   </w:t>
      </w:r>
      <w:r w:rsidR="00274A95" w:rsidRPr="001D3CA3">
        <w:rPr>
          <w:rFonts w:cs="Arial"/>
          <w:u w:val="single"/>
        </w:rPr>
        <w:t>Scope 1</w:t>
      </w:r>
      <w:r w:rsidR="00274A95" w:rsidRPr="001D3CA3">
        <w:rPr>
          <w:rFonts w:cs="Arial"/>
          <w:u w:val="single"/>
        </w:rPr>
        <w:tab/>
      </w:r>
      <w:r w:rsidR="00274A95" w:rsidRPr="001D3CA3">
        <w:rPr>
          <w:rFonts w:cs="Arial"/>
          <w:u w:val="single"/>
        </w:rPr>
        <w:tab/>
        <w:t>kWh</w:t>
      </w:r>
      <w:r w:rsidR="00274A95" w:rsidRPr="001D3CA3">
        <w:rPr>
          <w:rFonts w:cs="Arial"/>
          <w:u w:val="single"/>
        </w:rPr>
        <w:tab/>
      </w:r>
      <w:r w:rsidR="00274A95" w:rsidRPr="001D3CA3">
        <w:rPr>
          <w:rFonts w:cs="Arial"/>
          <w:u w:val="single"/>
        </w:rPr>
        <w:tab/>
      </w:r>
      <w:r w:rsidR="00FB79F5" w:rsidRPr="001D3CA3">
        <w:rPr>
          <w:rFonts w:cs="Arial"/>
          <w:u w:val="single"/>
        </w:rPr>
        <w:t xml:space="preserve">         </w:t>
      </w:r>
      <w:r w:rsidR="00C913A6" w:rsidRPr="009C12C1">
        <w:rPr>
          <w:rFonts w:cs="Arial"/>
          <w:u w:val="single"/>
        </w:rPr>
        <w:t>38</w:t>
      </w:r>
      <w:r w:rsidR="009E3673" w:rsidRPr="009C12C1">
        <w:rPr>
          <w:rFonts w:cs="Arial"/>
          <w:u w:val="single"/>
        </w:rPr>
        <w:t>,</w:t>
      </w:r>
      <w:r w:rsidR="00C913A6" w:rsidRPr="009C12C1">
        <w:rPr>
          <w:rFonts w:cs="Arial"/>
          <w:u w:val="single"/>
        </w:rPr>
        <w:t>236</w:t>
      </w:r>
      <w:r w:rsidR="00274A95" w:rsidRPr="009C12C1">
        <w:rPr>
          <w:rFonts w:cs="Arial"/>
          <w:u w:val="single"/>
        </w:rPr>
        <w:tab/>
      </w:r>
      <w:r w:rsidR="00274A95" w:rsidRPr="009C12C1">
        <w:rPr>
          <w:rFonts w:cs="Arial"/>
          <w:u w:val="single"/>
        </w:rPr>
        <w:tab/>
        <w:t xml:space="preserve">    </w:t>
      </w:r>
      <w:r w:rsidR="008C19D3" w:rsidRPr="009C12C1">
        <w:rPr>
          <w:rFonts w:cs="Arial"/>
          <w:u w:val="single"/>
        </w:rPr>
        <w:t xml:space="preserve">     </w:t>
      </w:r>
      <w:r w:rsidR="009E3673" w:rsidRPr="009C12C1">
        <w:rPr>
          <w:rFonts w:cs="Arial"/>
          <w:u w:val="single"/>
        </w:rPr>
        <w:t>31,089</w:t>
      </w:r>
      <w:r w:rsidR="00274A95" w:rsidRPr="009C12C1">
        <w:rPr>
          <w:rFonts w:cs="Arial"/>
          <w:u w:val="single"/>
        </w:rPr>
        <w:tab/>
      </w:r>
      <w:r w:rsidR="00FB1A43" w:rsidRPr="009C12C1">
        <w:rPr>
          <w:rFonts w:cs="Arial"/>
          <w:u w:val="single"/>
        </w:rPr>
        <w:t xml:space="preserve">        </w:t>
      </w:r>
      <w:r w:rsidR="006B3E3A" w:rsidRPr="009C12C1">
        <w:rPr>
          <w:rFonts w:cs="Arial"/>
          <w:u w:val="single"/>
        </w:rPr>
        <w:t xml:space="preserve">  </w:t>
      </w:r>
      <w:r w:rsidR="000E7D6A" w:rsidRPr="009C12C1">
        <w:rPr>
          <w:rFonts w:cs="Arial"/>
          <w:u w:val="single"/>
        </w:rPr>
        <w:t xml:space="preserve"> </w:t>
      </w:r>
      <w:r w:rsidRPr="009C12C1">
        <w:rPr>
          <w:rFonts w:cs="Arial"/>
          <w:u w:val="single"/>
        </w:rPr>
        <w:t>+</w:t>
      </w:r>
      <w:r w:rsidR="00A8409E" w:rsidRPr="009C12C1">
        <w:rPr>
          <w:rFonts w:cs="Arial"/>
          <w:u w:val="single"/>
        </w:rPr>
        <w:t>2</w:t>
      </w:r>
      <w:r w:rsidR="009C12C1" w:rsidRPr="009C12C1">
        <w:rPr>
          <w:rFonts w:cs="Arial"/>
          <w:u w:val="single"/>
        </w:rPr>
        <w:t>3</w:t>
      </w:r>
      <w:r w:rsidRPr="009C12C1">
        <w:rPr>
          <w:rFonts w:cs="Arial"/>
          <w:u w:val="single"/>
        </w:rPr>
        <w:t>.</w:t>
      </w:r>
      <w:r w:rsidR="009C12C1" w:rsidRPr="009C12C1">
        <w:rPr>
          <w:rFonts w:cs="Arial"/>
          <w:u w:val="single"/>
        </w:rPr>
        <w:t>0</w:t>
      </w:r>
      <w:r w:rsidR="00103DF5" w:rsidRPr="009C12C1">
        <w:rPr>
          <w:rFonts w:cs="Arial"/>
          <w:u w:val="single"/>
        </w:rPr>
        <w:t>%</w:t>
      </w:r>
    </w:p>
    <w:p w14:paraId="2CBC4549" w14:textId="77777777" w:rsidR="00274A95" w:rsidRPr="009C12C1" w:rsidRDefault="00274A95" w:rsidP="00274A95">
      <w:pPr>
        <w:jc w:val="both"/>
        <w:rPr>
          <w:rFonts w:cs="Arial"/>
          <w:b/>
          <w:u w:val="single"/>
        </w:rPr>
      </w:pPr>
      <w:r w:rsidRPr="009C12C1">
        <w:rPr>
          <w:rFonts w:cs="Arial"/>
          <w:b/>
          <w:u w:val="single"/>
        </w:rPr>
        <w:t>Total Energy Consumption</w:t>
      </w:r>
      <w:r w:rsidRPr="009C12C1">
        <w:rPr>
          <w:rFonts w:cs="Arial"/>
          <w:b/>
          <w:u w:val="single"/>
        </w:rPr>
        <w:tab/>
      </w:r>
      <w:r w:rsidRPr="009C12C1">
        <w:rPr>
          <w:rFonts w:cs="Arial"/>
          <w:b/>
          <w:u w:val="single"/>
        </w:rPr>
        <w:tab/>
      </w:r>
      <w:r w:rsidRPr="009C12C1">
        <w:rPr>
          <w:rFonts w:cs="Arial"/>
          <w:b/>
          <w:u w:val="single"/>
        </w:rPr>
        <w:tab/>
      </w:r>
      <w:r w:rsidRPr="009C12C1">
        <w:rPr>
          <w:rFonts w:cs="Arial"/>
          <w:b/>
          <w:u w:val="single"/>
        </w:rPr>
        <w:tab/>
      </w:r>
      <w:r w:rsidRPr="009C12C1">
        <w:rPr>
          <w:rFonts w:cs="Arial"/>
          <w:b/>
          <w:u w:val="single"/>
        </w:rPr>
        <w:tab/>
      </w:r>
      <w:r w:rsidRPr="009C12C1">
        <w:rPr>
          <w:rFonts w:cs="Arial"/>
          <w:b/>
          <w:u w:val="single"/>
        </w:rPr>
        <w:tab/>
      </w:r>
      <w:r w:rsidR="00862A7C" w:rsidRPr="009C12C1">
        <w:rPr>
          <w:rFonts w:cs="Arial"/>
          <w:b/>
          <w:u w:val="single"/>
        </w:rPr>
        <w:t>2</w:t>
      </w:r>
      <w:r w:rsidR="001D3CA3" w:rsidRPr="009C12C1">
        <w:rPr>
          <w:rFonts w:cs="Arial"/>
          <w:b/>
          <w:u w:val="single"/>
        </w:rPr>
        <w:t>37</w:t>
      </w:r>
      <w:r w:rsidR="00862A7C" w:rsidRPr="009C12C1">
        <w:rPr>
          <w:rFonts w:cs="Arial"/>
          <w:b/>
          <w:u w:val="single"/>
        </w:rPr>
        <w:t>,</w:t>
      </w:r>
      <w:r w:rsidR="00D65E62" w:rsidRPr="009C12C1">
        <w:rPr>
          <w:rFonts w:cs="Arial"/>
          <w:b/>
          <w:u w:val="single"/>
        </w:rPr>
        <w:t>2</w:t>
      </w:r>
      <w:r w:rsidR="001D3CA3" w:rsidRPr="009C12C1">
        <w:rPr>
          <w:rFonts w:cs="Arial"/>
          <w:b/>
          <w:u w:val="single"/>
        </w:rPr>
        <w:t>2</w:t>
      </w:r>
      <w:r w:rsidR="009C12C1" w:rsidRPr="009C12C1">
        <w:rPr>
          <w:rFonts w:cs="Arial"/>
          <w:b/>
          <w:u w:val="single"/>
        </w:rPr>
        <w:t>2</w:t>
      </w:r>
      <w:r w:rsidR="00862A7C" w:rsidRPr="009C12C1">
        <w:rPr>
          <w:rFonts w:cs="Arial"/>
          <w:b/>
          <w:u w:val="single"/>
        </w:rPr>
        <w:t>,</w:t>
      </w:r>
      <w:r w:rsidR="009C12C1" w:rsidRPr="009C12C1">
        <w:rPr>
          <w:rFonts w:cs="Arial"/>
          <w:b/>
          <w:u w:val="single"/>
        </w:rPr>
        <w:t>972</w:t>
      </w:r>
      <w:r w:rsidR="009C12C1" w:rsidRPr="009C12C1">
        <w:rPr>
          <w:rFonts w:cs="Arial"/>
          <w:b/>
          <w:u w:val="single"/>
        </w:rPr>
        <w:tab/>
      </w:r>
      <w:r w:rsidRPr="009C12C1">
        <w:rPr>
          <w:rFonts w:cs="Arial"/>
          <w:b/>
          <w:u w:val="single"/>
        </w:rPr>
        <w:tab/>
      </w:r>
      <w:r w:rsidR="00862A7C" w:rsidRPr="009C12C1">
        <w:rPr>
          <w:rFonts w:cs="Arial"/>
          <w:b/>
          <w:u w:val="single"/>
        </w:rPr>
        <w:t>22</w:t>
      </w:r>
      <w:r w:rsidR="00594437">
        <w:rPr>
          <w:rFonts w:cs="Arial"/>
          <w:b/>
          <w:u w:val="single"/>
        </w:rPr>
        <w:t>1</w:t>
      </w:r>
      <w:r w:rsidR="00862A7C" w:rsidRPr="009C12C1">
        <w:rPr>
          <w:rFonts w:cs="Arial"/>
          <w:b/>
          <w:u w:val="single"/>
        </w:rPr>
        <w:t>,</w:t>
      </w:r>
      <w:r w:rsidR="00594437">
        <w:rPr>
          <w:rFonts w:cs="Arial"/>
          <w:b/>
          <w:u w:val="single"/>
        </w:rPr>
        <w:t>849</w:t>
      </w:r>
      <w:r w:rsidR="00862A7C" w:rsidRPr="009C12C1">
        <w:rPr>
          <w:rFonts w:cs="Arial"/>
          <w:b/>
          <w:u w:val="single"/>
        </w:rPr>
        <w:t>,</w:t>
      </w:r>
      <w:r w:rsidR="00594437">
        <w:rPr>
          <w:rFonts w:cs="Arial"/>
          <w:b/>
          <w:u w:val="single"/>
        </w:rPr>
        <w:t>844</w:t>
      </w:r>
      <w:r w:rsidRPr="009C12C1">
        <w:rPr>
          <w:rFonts w:cs="Arial"/>
          <w:b/>
          <w:u w:val="single"/>
        </w:rPr>
        <w:tab/>
      </w:r>
      <w:r w:rsidRPr="009C12C1">
        <w:rPr>
          <w:rFonts w:cs="Arial"/>
          <w:b/>
          <w:u w:val="single"/>
        </w:rPr>
        <w:tab/>
      </w:r>
      <w:r w:rsidR="00175E11" w:rsidRPr="009C12C1">
        <w:rPr>
          <w:rFonts w:cs="Arial"/>
          <w:b/>
          <w:u w:val="single"/>
        </w:rPr>
        <w:t xml:space="preserve"> </w:t>
      </w:r>
      <w:r w:rsidR="00A8409E" w:rsidRPr="009C12C1">
        <w:rPr>
          <w:rFonts w:cs="Arial"/>
          <w:b/>
          <w:u w:val="single"/>
        </w:rPr>
        <w:t xml:space="preserve"> </w:t>
      </w:r>
      <w:r w:rsidR="000E7D6A" w:rsidRPr="009C12C1">
        <w:rPr>
          <w:rFonts w:cs="Arial"/>
          <w:b/>
          <w:u w:val="single"/>
        </w:rPr>
        <w:t xml:space="preserve"> </w:t>
      </w:r>
      <w:r w:rsidR="00676399" w:rsidRPr="009C12C1">
        <w:rPr>
          <w:rFonts w:cs="Arial"/>
          <w:b/>
          <w:u w:val="single"/>
        </w:rPr>
        <w:t>+</w:t>
      </w:r>
      <w:r w:rsidR="00594437">
        <w:rPr>
          <w:rFonts w:cs="Arial"/>
          <w:b/>
          <w:u w:val="single"/>
        </w:rPr>
        <w:t>6.9</w:t>
      </w:r>
      <w:r w:rsidR="00103DF5" w:rsidRPr="009C12C1">
        <w:rPr>
          <w:rFonts w:cs="Arial"/>
          <w:b/>
          <w:u w:val="single"/>
        </w:rPr>
        <w:t>%</w:t>
      </w:r>
    </w:p>
    <w:p w14:paraId="4DBAD750" w14:textId="77777777" w:rsidR="00274A95" w:rsidRPr="00C328EF" w:rsidRDefault="00274A95" w:rsidP="00274A95">
      <w:pPr>
        <w:jc w:val="both"/>
        <w:rPr>
          <w:rFonts w:cs="Arial"/>
          <w:sz w:val="16"/>
          <w:szCs w:val="16"/>
          <w:highlight w:val="yellow"/>
        </w:rPr>
      </w:pPr>
    </w:p>
    <w:p w14:paraId="13E2F115" w14:textId="77777777" w:rsidR="00274A95" w:rsidRPr="00C91328" w:rsidRDefault="00274A95" w:rsidP="00274A95">
      <w:pPr>
        <w:jc w:val="both"/>
        <w:rPr>
          <w:rFonts w:cs="Arial"/>
          <w:u w:val="single"/>
        </w:rPr>
      </w:pPr>
      <w:r w:rsidRPr="00C91328">
        <w:rPr>
          <w:rFonts w:cs="Arial"/>
          <w:b/>
          <w:u w:val="single"/>
        </w:rPr>
        <w:t>GHG Emissions Reporting</w:t>
      </w:r>
    </w:p>
    <w:p w14:paraId="04475E04" w14:textId="77777777" w:rsidR="00274A95" w:rsidRPr="00C91328" w:rsidRDefault="00274A95" w:rsidP="00274A95">
      <w:pPr>
        <w:jc w:val="both"/>
        <w:rPr>
          <w:rFonts w:cs="Arial"/>
        </w:rPr>
      </w:pPr>
      <w:r w:rsidRPr="00C91328">
        <w:rPr>
          <w:rFonts w:cs="Arial"/>
        </w:rPr>
        <w:t>In accordance with the SECR Emissions Reporting requirements outlined in the Companies Act for large companies our GHG disclosure for the 202</w:t>
      </w:r>
      <w:r w:rsidR="00C91328">
        <w:rPr>
          <w:rFonts w:cs="Arial"/>
        </w:rPr>
        <w:t>4</w:t>
      </w:r>
      <w:r w:rsidRPr="00C91328">
        <w:rPr>
          <w:rFonts w:cs="Arial"/>
        </w:rPr>
        <w:t xml:space="preserve"> financial </w:t>
      </w:r>
      <w:r w:rsidR="00C91328">
        <w:rPr>
          <w:rFonts w:cs="Arial"/>
        </w:rPr>
        <w:t>period</w:t>
      </w:r>
      <w:r w:rsidRPr="00C91328">
        <w:rPr>
          <w:rFonts w:cs="Arial"/>
        </w:rPr>
        <w:t xml:space="preserve"> is listed below. Results have been split by Scope as outlined by the GHG Protocol calculation methodology.</w:t>
      </w:r>
    </w:p>
    <w:p w14:paraId="40EE7973" w14:textId="77777777" w:rsidR="00274A95" w:rsidRPr="00C91328" w:rsidRDefault="00FB79F5" w:rsidP="00274A95">
      <w:pPr>
        <w:jc w:val="both"/>
        <w:rPr>
          <w:rFonts w:cs="Arial"/>
        </w:rPr>
      </w:pPr>
      <w:r w:rsidRPr="00C91328">
        <w:rPr>
          <w:rFonts w:cs="Arial"/>
        </w:rPr>
        <w:tab/>
      </w:r>
      <w:r w:rsidRPr="00C91328">
        <w:rPr>
          <w:rFonts w:cs="Arial"/>
        </w:rPr>
        <w:tab/>
      </w:r>
      <w:r w:rsidRPr="00C91328">
        <w:rPr>
          <w:rFonts w:cs="Arial"/>
        </w:rPr>
        <w:tab/>
      </w:r>
      <w:r w:rsidRPr="00C91328">
        <w:rPr>
          <w:rFonts w:cs="Arial"/>
        </w:rPr>
        <w:tab/>
      </w:r>
      <w:r w:rsidRPr="00C91328">
        <w:rPr>
          <w:rFonts w:cs="Arial"/>
        </w:rPr>
        <w:tab/>
      </w:r>
      <w:r w:rsidRPr="00C91328">
        <w:rPr>
          <w:rFonts w:cs="Arial"/>
        </w:rPr>
        <w:tab/>
      </w:r>
      <w:r w:rsidRPr="00C91328">
        <w:rPr>
          <w:rFonts w:cs="Arial"/>
        </w:rPr>
        <w:tab/>
      </w:r>
      <w:r w:rsidRPr="00C91328">
        <w:rPr>
          <w:rFonts w:cs="Arial"/>
        </w:rPr>
        <w:tab/>
      </w:r>
      <w:r w:rsidRPr="00C91328">
        <w:rPr>
          <w:rFonts w:cs="Arial"/>
        </w:rPr>
        <w:tab/>
      </w:r>
      <w:r w:rsidR="00C323BB" w:rsidRPr="00C91328">
        <w:rPr>
          <w:rFonts w:cs="Arial"/>
        </w:rPr>
        <w:tab/>
      </w:r>
      <w:r w:rsidRPr="00C91328">
        <w:rPr>
          <w:rFonts w:cs="Arial"/>
        </w:rPr>
        <w:tab/>
      </w:r>
      <w:r w:rsidRPr="00C91328">
        <w:rPr>
          <w:rFonts w:cs="Arial"/>
        </w:rPr>
        <w:tab/>
      </w:r>
      <w:r w:rsidR="00C323BB" w:rsidRPr="00C91328">
        <w:rPr>
          <w:rFonts w:cs="Arial"/>
        </w:rPr>
        <w:tab/>
      </w:r>
      <w:r w:rsidR="007313B3" w:rsidRPr="00C91328">
        <w:rPr>
          <w:rFonts w:cs="Arial"/>
        </w:rPr>
        <w:tab/>
      </w:r>
      <w:r w:rsidR="007313B3" w:rsidRPr="00C91328">
        <w:rPr>
          <w:rFonts w:cs="Arial"/>
        </w:rPr>
        <w:tab/>
      </w:r>
      <w:r w:rsidR="00D65E62" w:rsidRPr="00C91328">
        <w:rPr>
          <w:rFonts w:cs="Arial"/>
        </w:rPr>
        <w:t xml:space="preserve">    </w:t>
      </w:r>
      <w:r w:rsidR="00D65E62" w:rsidRPr="00C91328">
        <w:rPr>
          <w:rFonts w:cs="Arial"/>
          <w:b/>
        </w:rPr>
        <w:t>% change</w:t>
      </w:r>
    </w:p>
    <w:p w14:paraId="17B5FAE2" w14:textId="77777777" w:rsidR="00274A95" w:rsidRPr="00C91328" w:rsidRDefault="00274A95" w:rsidP="00274A95">
      <w:pPr>
        <w:jc w:val="both"/>
        <w:rPr>
          <w:rFonts w:cs="Arial"/>
          <w:b/>
          <w:u w:val="single"/>
        </w:rPr>
      </w:pPr>
      <w:r w:rsidRPr="00C91328">
        <w:rPr>
          <w:rFonts w:cs="Arial"/>
          <w:b/>
          <w:u w:val="single"/>
        </w:rPr>
        <w:t>GHG Emissions Scope</w:t>
      </w:r>
      <w:r w:rsidRPr="00C91328">
        <w:rPr>
          <w:rFonts w:cs="Arial"/>
          <w:b/>
          <w:u w:val="single"/>
        </w:rPr>
        <w:tab/>
      </w:r>
      <w:r w:rsidRPr="00C91328">
        <w:rPr>
          <w:rFonts w:cs="Arial"/>
          <w:b/>
          <w:u w:val="single"/>
        </w:rPr>
        <w:tab/>
        <w:t>Results (Units)</w:t>
      </w:r>
      <w:r w:rsidR="00FB79F5" w:rsidRPr="00C91328">
        <w:rPr>
          <w:rFonts w:cs="Arial"/>
          <w:b/>
          <w:u w:val="single"/>
        </w:rPr>
        <w:tab/>
      </w:r>
      <w:r w:rsidRPr="00C91328">
        <w:rPr>
          <w:rFonts w:cs="Arial"/>
          <w:b/>
          <w:u w:val="single"/>
        </w:rPr>
        <w:tab/>
      </w:r>
      <w:r w:rsidR="00C323BB" w:rsidRPr="00C91328">
        <w:rPr>
          <w:rFonts w:cs="Arial"/>
          <w:b/>
          <w:u w:val="single"/>
        </w:rPr>
        <w:tab/>
      </w:r>
      <w:r w:rsidR="00D51CC8" w:rsidRPr="00C91328">
        <w:rPr>
          <w:rFonts w:cs="Arial"/>
          <w:b/>
          <w:u w:val="single"/>
        </w:rPr>
        <w:t xml:space="preserve">    </w:t>
      </w:r>
      <w:r w:rsidR="005B51D9" w:rsidRPr="00C91328">
        <w:rPr>
          <w:rFonts w:cs="Arial"/>
          <w:b/>
          <w:u w:val="single"/>
        </w:rPr>
        <w:t>202</w:t>
      </w:r>
      <w:r w:rsidR="001D3CA3" w:rsidRPr="00C91328">
        <w:rPr>
          <w:rFonts w:cs="Arial"/>
          <w:b/>
          <w:u w:val="single"/>
        </w:rPr>
        <w:t>4</w:t>
      </w:r>
      <w:r w:rsidR="005B51D9" w:rsidRPr="00C91328">
        <w:rPr>
          <w:rFonts w:cs="Arial"/>
          <w:b/>
          <w:u w:val="single"/>
        </w:rPr>
        <w:tab/>
      </w:r>
      <w:r w:rsidR="00C323BB" w:rsidRPr="00C91328">
        <w:rPr>
          <w:rFonts w:cs="Arial"/>
          <w:b/>
          <w:u w:val="single"/>
        </w:rPr>
        <w:tab/>
      </w:r>
      <w:r w:rsidR="00D51CC8" w:rsidRPr="00C91328">
        <w:rPr>
          <w:rFonts w:cs="Arial"/>
          <w:b/>
          <w:u w:val="single"/>
        </w:rPr>
        <w:t xml:space="preserve">    </w:t>
      </w:r>
      <w:r w:rsidRPr="00C91328">
        <w:rPr>
          <w:rFonts w:cs="Arial"/>
          <w:b/>
          <w:u w:val="single"/>
        </w:rPr>
        <w:t>202</w:t>
      </w:r>
      <w:r w:rsidR="00F94FB0" w:rsidRPr="00C91328">
        <w:rPr>
          <w:rFonts w:cs="Arial"/>
          <w:b/>
          <w:u w:val="single"/>
        </w:rPr>
        <w:t>1</w:t>
      </w:r>
      <w:r w:rsidRPr="00C91328">
        <w:rPr>
          <w:rFonts w:cs="Arial"/>
          <w:b/>
          <w:u w:val="single"/>
        </w:rPr>
        <w:tab/>
      </w:r>
      <w:r w:rsidR="00C323BB" w:rsidRPr="00C91328">
        <w:rPr>
          <w:rFonts w:cs="Arial"/>
          <w:b/>
          <w:u w:val="single"/>
        </w:rPr>
        <w:t xml:space="preserve"> </w:t>
      </w:r>
      <w:r w:rsidR="00D65E62" w:rsidRPr="00C91328">
        <w:rPr>
          <w:rFonts w:cs="Arial"/>
          <w:b/>
          <w:u w:val="single"/>
        </w:rPr>
        <w:t>v’s Baseline</w:t>
      </w:r>
    </w:p>
    <w:p w14:paraId="3B667C3B" w14:textId="77777777" w:rsidR="00FB79F5" w:rsidRPr="00230E5A" w:rsidRDefault="00274A95" w:rsidP="00274A95">
      <w:pPr>
        <w:jc w:val="both"/>
        <w:rPr>
          <w:rFonts w:cs="Arial"/>
        </w:rPr>
      </w:pPr>
      <w:r w:rsidRPr="00230E5A">
        <w:rPr>
          <w:rFonts w:cs="Arial"/>
        </w:rPr>
        <w:t>Scope 1</w:t>
      </w:r>
      <w:r w:rsidRPr="00230E5A">
        <w:rPr>
          <w:rFonts w:cs="Arial"/>
        </w:rPr>
        <w:tab/>
      </w:r>
      <w:r w:rsidRPr="00230E5A">
        <w:rPr>
          <w:rFonts w:cs="Arial"/>
        </w:rPr>
        <w:tab/>
      </w:r>
      <w:r w:rsidRPr="00230E5A">
        <w:rPr>
          <w:rFonts w:cs="Arial"/>
        </w:rPr>
        <w:tab/>
      </w:r>
      <w:r w:rsidRPr="00230E5A">
        <w:rPr>
          <w:rFonts w:cs="Arial"/>
        </w:rPr>
        <w:tab/>
        <w:t>tonnes CO</w:t>
      </w:r>
      <w:r w:rsidRPr="00230E5A">
        <w:rPr>
          <w:rFonts w:cs="Arial"/>
          <w:sz w:val="12"/>
          <w:szCs w:val="12"/>
        </w:rPr>
        <w:t>2</w:t>
      </w:r>
      <w:r w:rsidRPr="00230E5A">
        <w:rPr>
          <w:rFonts w:cs="Arial"/>
        </w:rPr>
        <w:t>e</w:t>
      </w:r>
      <w:r w:rsidRPr="00230E5A">
        <w:rPr>
          <w:rFonts w:cs="Arial"/>
        </w:rPr>
        <w:tab/>
      </w:r>
      <w:r w:rsidR="00FB79F5" w:rsidRPr="00230E5A">
        <w:rPr>
          <w:rFonts w:cs="Arial"/>
        </w:rPr>
        <w:tab/>
      </w:r>
      <w:r w:rsidR="00C323BB" w:rsidRPr="00230E5A">
        <w:rPr>
          <w:rFonts w:cs="Arial"/>
        </w:rPr>
        <w:tab/>
      </w:r>
      <w:r w:rsidR="00230E5A" w:rsidRPr="00230E5A">
        <w:rPr>
          <w:rFonts w:cs="Arial"/>
        </w:rPr>
        <w:t>52</w:t>
      </w:r>
      <w:r w:rsidR="00A8409E" w:rsidRPr="00230E5A">
        <w:rPr>
          <w:rFonts w:cs="Arial"/>
        </w:rPr>
        <w:t>,</w:t>
      </w:r>
      <w:r w:rsidR="00230E5A" w:rsidRPr="00230E5A">
        <w:rPr>
          <w:rFonts w:cs="Arial"/>
        </w:rPr>
        <w:t>2</w:t>
      </w:r>
      <w:r w:rsidR="000A0060">
        <w:rPr>
          <w:rFonts w:cs="Arial"/>
        </w:rPr>
        <w:t>82</w:t>
      </w:r>
      <w:r w:rsidR="00A8409E" w:rsidRPr="00230E5A">
        <w:rPr>
          <w:rFonts w:cs="Arial"/>
        </w:rPr>
        <w:t>.</w:t>
      </w:r>
      <w:r w:rsidR="00D65E62" w:rsidRPr="00230E5A">
        <w:rPr>
          <w:rFonts w:cs="Arial"/>
        </w:rPr>
        <w:t>0</w:t>
      </w:r>
      <w:r w:rsidR="000A0060">
        <w:rPr>
          <w:rFonts w:cs="Arial"/>
        </w:rPr>
        <w:t>8</w:t>
      </w:r>
      <w:r w:rsidR="00A8409E" w:rsidRPr="00230E5A">
        <w:rPr>
          <w:rFonts w:cs="Arial"/>
        </w:rPr>
        <w:tab/>
        <w:t xml:space="preserve">   </w:t>
      </w:r>
      <w:r w:rsidR="00A8409E" w:rsidRPr="00230E5A">
        <w:rPr>
          <w:rFonts w:cs="Arial"/>
        </w:rPr>
        <w:tab/>
        <w:t>49,</w:t>
      </w:r>
      <w:r w:rsidR="00594437">
        <w:rPr>
          <w:rFonts w:cs="Arial"/>
        </w:rPr>
        <w:t>997</w:t>
      </w:r>
      <w:r w:rsidR="00A8409E" w:rsidRPr="00230E5A">
        <w:rPr>
          <w:rFonts w:cs="Arial"/>
        </w:rPr>
        <w:t>.</w:t>
      </w:r>
      <w:r w:rsidR="00594437">
        <w:rPr>
          <w:rFonts w:cs="Arial"/>
        </w:rPr>
        <w:t>09</w:t>
      </w:r>
      <w:r w:rsidRPr="00230E5A">
        <w:rPr>
          <w:rFonts w:cs="Arial"/>
        </w:rPr>
        <w:tab/>
      </w:r>
      <w:r w:rsidRPr="00230E5A">
        <w:rPr>
          <w:rFonts w:cs="Arial"/>
        </w:rPr>
        <w:tab/>
      </w:r>
      <w:r w:rsidR="00230E5A">
        <w:rPr>
          <w:rFonts w:cs="Arial"/>
        </w:rPr>
        <w:t xml:space="preserve"> </w:t>
      </w:r>
      <w:r w:rsidR="003E14CD" w:rsidRPr="00230E5A">
        <w:rPr>
          <w:rFonts w:cs="Arial"/>
        </w:rPr>
        <w:t xml:space="preserve"> </w:t>
      </w:r>
      <w:r w:rsidR="00230E5A" w:rsidRPr="00230E5A">
        <w:rPr>
          <w:rFonts w:cs="Arial"/>
        </w:rPr>
        <w:t>+</w:t>
      </w:r>
      <w:r w:rsidR="000A0060">
        <w:rPr>
          <w:rFonts w:cs="Arial"/>
        </w:rPr>
        <w:t>4.6</w:t>
      </w:r>
      <w:r w:rsidRPr="00230E5A">
        <w:rPr>
          <w:rFonts w:cs="Arial"/>
        </w:rPr>
        <w:t>%</w:t>
      </w:r>
    </w:p>
    <w:p w14:paraId="65B8ABE3" w14:textId="77777777" w:rsidR="00274A95" w:rsidRPr="000A0060" w:rsidRDefault="00274A95" w:rsidP="00274A95">
      <w:pPr>
        <w:jc w:val="both"/>
        <w:rPr>
          <w:rFonts w:cs="Arial"/>
        </w:rPr>
      </w:pPr>
      <w:r w:rsidRPr="00230E5A">
        <w:rPr>
          <w:rFonts w:cs="Arial"/>
        </w:rPr>
        <w:t>Scope 2</w:t>
      </w:r>
      <w:r w:rsidRPr="00230E5A">
        <w:rPr>
          <w:rFonts w:cs="Arial"/>
        </w:rPr>
        <w:tab/>
      </w:r>
      <w:r w:rsidRPr="00230E5A">
        <w:rPr>
          <w:rFonts w:cs="Arial"/>
        </w:rPr>
        <w:tab/>
      </w:r>
      <w:r w:rsidRPr="00230E5A">
        <w:rPr>
          <w:rFonts w:cs="Arial"/>
        </w:rPr>
        <w:tab/>
      </w:r>
      <w:r w:rsidRPr="00230E5A">
        <w:rPr>
          <w:rFonts w:cs="Arial"/>
        </w:rPr>
        <w:tab/>
        <w:t>tonnes CO</w:t>
      </w:r>
      <w:r w:rsidRPr="00230E5A">
        <w:rPr>
          <w:rFonts w:cs="Arial"/>
          <w:sz w:val="12"/>
          <w:szCs w:val="12"/>
        </w:rPr>
        <w:t>2</w:t>
      </w:r>
      <w:r w:rsidRPr="00230E5A">
        <w:rPr>
          <w:rFonts w:cs="Arial"/>
        </w:rPr>
        <w:t>e</w:t>
      </w:r>
      <w:r w:rsidRPr="00230E5A">
        <w:rPr>
          <w:rFonts w:cs="Arial"/>
        </w:rPr>
        <w:tab/>
      </w:r>
      <w:r w:rsidR="00FB79F5" w:rsidRPr="00230E5A">
        <w:rPr>
          <w:rFonts w:cs="Arial"/>
        </w:rPr>
        <w:tab/>
      </w:r>
      <w:r w:rsidR="00C323BB" w:rsidRPr="00230E5A">
        <w:rPr>
          <w:rFonts w:cs="Arial"/>
        </w:rPr>
        <w:tab/>
      </w:r>
      <w:r w:rsidR="00A8409E" w:rsidRPr="000A0060">
        <w:rPr>
          <w:rFonts w:cs="Arial"/>
        </w:rPr>
        <w:t xml:space="preserve">  </w:t>
      </w:r>
      <w:r w:rsidR="000A0060" w:rsidRPr="000A0060">
        <w:rPr>
          <w:rFonts w:cs="Arial"/>
        </w:rPr>
        <w:t>3</w:t>
      </w:r>
      <w:r w:rsidR="00583A5D" w:rsidRPr="000A0060">
        <w:rPr>
          <w:rFonts w:cs="Arial"/>
        </w:rPr>
        <w:t>,</w:t>
      </w:r>
      <w:r w:rsidR="000A0060" w:rsidRPr="000A0060">
        <w:rPr>
          <w:rFonts w:cs="Arial"/>
        </w:rPr>
        <w:t>701</w:t>
      </w:r>
      <w:r w:rsidR="00583A5D" w:rsidRPr="000A0060">
        <w:rPr>
          <w:rFonts w:cs="Arial"/>
        </w:rPr>
        <w:t>.</w:t>
      </w:r>
      <w:r w:rsidR="000A0060" w:rsidRPr="000A0060">
        <w:rPr>
          <w:rFonts w:cs="Arial"/>
        </w:rPr>
        <w:t>23</w:t>
      </w:r>
      <w:r w:rsidR="00A8409E" w:rsidRPr="000A0060">
        <w:rPr>
          <w:rFonts w:cs="Arial"/>
        </w:rPr>
        <w:tab/>
      </w:r>
      <w:r w:rsidR="00A8409E" w:rsidRPr="000A0060">
        <w:rPr>
          <w:rFonts w:cs="Arial"/>
        </w:rPr>
        <w:tab/>
        <w:t xml:space="preserve">  </w:t>
      </w:r>
      <w:r w:rsidR="00583A5D" w:rsidRPr="000A0060">
        <w:rPr>
          <w:rFonts w:cs="Arial"/>
        </w:rPr>
        <w:t>2,112</w:t>
      </w:r>
      <w:r w:rsidR="00A8409E" w:rsidRPr="000A0060">
        <w:rPr>
          <w:rFonts w:cs="Arial"/>
        </w:rPr>
        <w:t>.</w:t>
      </w:r>
      <w:r w:rsidR="00583A5D" w:rsidRPr="000A0060">
        <w:rPr>
          <w:rFonts w:cs="Arial"/>
        </w:rPr>
        <w:t>34</w:t>
      </w:r>
      <w:r w:rsidRPr="000A0060">
        <w:rPr>
          <w:rFonts w:cs="Arial"/>
        </w:rPr>
        <w:tab/>
      </w:r>
      <w:r w:rsidR="00676399" w:rsidRPr="000A0060">
        <w:rPr>
          <w:rFonts w:cs="Arial"/>
        </w:rPr>
        <w:t xml:space="preserve">         </w:t>
      </w:r>
      <w:r w:rsidR="00230E5A" w:rsidRPr="000A0060">
        <w:rPr>
          <w:rFonts w:cs="Arial"/>
        </w:rPr>
        <w:t xml:space="preserve"> </w:t>
      </w:r>
      <w:r w:rsidR="00676399" w:rsidRPr="000A0060">
        <w:rPr>
          <w:rFonts w:cs="Arial"/>
        </w:rPr>
        <w:t>+</w:t>
      </w:r>
      <w:r w:rsidR="000A0060">
        <w:rPr>
          <w:rFonts w:cs="Arial"/>
        </w:rPr>
        <w:t>75</w:t>
      </w:r>
      <w:r w:rsidR="0028288C" w:rsidRPr="000A0060">
        <w:rPr>
          <w:rFonts w:cs="Arial"/>
        </w:rPr>
        <w:t>.</w:t>
      </w:r>
      <w:r w:rsidR="000A0060">
        <w:rPr>
          <w:rFonts w:cs="Arial"/>
        </w:rPr>
        <w:t>2</w:t>
      </w:r>
      <w:r w:rsidRPr="000A0060">
        <w:rPr>
          <w:rFonts w:cs="Arial"/>
        </w:rPr>
        <w:t>%</w:t>
      </w:r>
    </w:p>
    <w:p w14:paraId="78A7161A" w14:textId="77777777" w:rsidR="00274A95" w:rsidRPr="000A0060" w:rsidRDefault="00274A95" w:rsidP="00274A95">
      <w:pPr>
        <w:jc w:val="both"/>
        <w:rPr>
          <w:rFonts w:cs="Arial"/>
        </w:rPr>
      </w:pPr>
      <w:r w:rsidRPr="000A0060">
        <w:rPr>
          <w:rFonts w:cs="Arial"/>
          <w:u w:val="single"/>
        </w:rPr>
        <w:t>Scope 3</w:t>
      </w:r>
      <w:r w:rsidRPr="000A0060">
        <w:rPr>
          <w:rFonts w:cs="Arial"/>
          <w:u w:val="single"/>
        </w:rPr>
        <w:tab/>
      </w:r>
      <w:r w:rsidRPr="000A0060">
        <w:rPr>
          <w:rFonts w:cs="Arial"/>
          <w:u w:val="single"/>
        </w:rPr>
        <w:tab/>
      </w:r>
      <w:r w:rsidRPr="000A0060">
        <w:rPr>
          <w:rFonts w:cs="Arial"/>
          <w:u w:val="single"/>
        </w:rPr>
        <w:tab/>
      </w:r>
      <w:r w:rsidRPr="000A0060">
        <w:rPr>
          <w:rFonts w:cs="Arial"/>
          <w:u w:val="single"/>
        </w:rPr>
        <w:tab/>
        <w:t>tonnes CO</w:t>
      </w:r>
      <w:r w:rsidRPr="000A0060">
        <w:rPr>
          <w:rFonts w:cs="Arial"/>
          <w:sz w:val="12"/>
          <w:szCs w:val="12"/>
          <w:u w:val="single"/>
        </w:rPr>
        <w:t>2</w:t>
      </w:r>
      <w:r w:rsidRPr="000A0060">
        <w:rPr>
          <w:rFonts w:cs="Arial"/>
          <w:u w:val="single"/>
        </w:rPr>
        <w:t>e</w:t>
      </w:r>
      <w:r w:rsidRPr="000A0060">
        <w:rPr>
          <w:rFonts w:cs="Arial"/>
          <w:u w:val="single"/>
        </w:rPr>
        <w:tab/>
      </w:r>
      <w:r w:rsidR="00FB79F5" w:rsidRPr="000A0060">
        <w:rPr>
          <w:rFonts w:cs="Arial"/>
          <w:u w:val="single"/>
        </w:rPr>
        <w:tab/>
      </w:r>
      <w:r w:rsidR="00C323BB" w:rsidRPr="000A0060">
        <w:rPr>
          <w:rFonts w:cs="Arial"/>
          <w:u w:val="single"/>
        </w:rPr>
        <w:tab/>
      </w:r>
      <w:r w:rsidR="00A8409E" w:rsidRPr="000A0060">
        <w:rPr>
          <w:rFonts w:cs="Arial"/>
          <w:u w:val="single"/>
        </w:rPr>
        <w:t xml:space="preserve">       </w:t>
      </w:r>
      <w:r w:rsidR="00230E5A" w:rsidRPr="000A0060">
        <w:rPr>
          <w:rFonts w:cs="Arial"/>
          <w:u w:val="single"/>
        </w:rPr>
        <w:t>84.59</w:t>
      </w:r>
      <w:r w:rsidR="00A8409E" w:rsidRPr="000A0060">
        <w:rPr>
          <w:rFonts w:cs="Arial"/>
          <w:u w:val="single"/>
        </w:rPr>
        <w:tab/>
      </w:r>
      <w:r w:rsidR="00A8409E" w:rsidRPr="000A0060">
        <w:rPr>
          <w:rFonts w:cs="Arial"/>
          <w:u w:val="single"/>
        </w:rPr>
        <w:tab/>
        <w:t xml:space="preserve">       70.82</w:t>
      </w:r>
      <w:r w:rsidRPr="000A0060">
        <w:rPr>
          <w:rFonts w:cs="Arial"/>
          <w:u w:val="single"/>
        </w:rPr>
        <w:tab/>
      </w:r>
      <w:r w:rsidR="00230E5A" w:rsidRPr="000A0060">
        <w:rPr>
          <w:rFonts w:cs="Arial"/>
          <w:u w:val="single"/>
        </w:rPr>
        <w:tab/>
      </w:r>
      <w:r w:rsidR="00676399" w:rsidRPr="000A0060">
        <w:rPr>
          <w:rFonts w:cs="Arial"/>
          <w:u w:val="single"/>
        </w:rPr>
        <w:t>+</w:t>
      </w:r>
      <w:r w:rsidR="00230E5A" w:rsidRPr="000A0060">
        <w:rPr>
          <w:rFonts w:cs="Arial"/>
          <w:u w:val="single"/>
        </w:rPr>
        <w:t>19</w:t>
      </w:r>
      <w:r w:rsidR="0028288C" w:rsidRPr="000A0060">
        <w:rPr>
          <w:rFonts w:cs="Arial"/>
          <w:u w:val="single"/>
        </w:rPr>
        <w:t>.</w:t>
      </w:r>
      <w:r w:rsidR="00230E5A" w:rsidRPr="000A0060">
        <w:rPr>
          <w:rFonts w:cs="Arial"/>
          <w:u w:val="single"/>
        </w:rPr>
        <w:t>4</w:t>
      </w:r>
      <w:r w:rsidRPr="000A0060">
        <w:rPr>
          <w:rFonts w:cs="Arial"/>
          <w:u w:val="single"/>
        </w:rPr>
        <w:t>%</w:t>
      </w:r>
    </w:p>
    <w:p w14:paraId="3D07E034" w14:textId="77777777" w:rsidR="00274A95" w:rsidRPr="000A0060" w:rsidRDefault="00274A95" w:rsidP="00274A95">
      <w:pPr>
        <w:jc w:val="both"/>
        <w:rPr>
          <w:rFonts w:cs="Arial"/>
          <w:b/>
          <w:u w:val="single"/>
        </w:rPr>
      </w:pPr>
      <w:r w:rsidRPr="000A0060">
        <w:rPr>
          <w:rFonts w:cs="Arial"/>
          <w:b/>
          <w:u w:val="single"/>
        </w:rPr>
        <w:t>Total GHG Emissions</w:t>
      </w:r>
      <w:r w:rsidRPr="000A0060">
        <w:rPr>
          <w:rFonts w:cs="Arial"/>
          <w:b/>
          <w:u w:val="single"/>
        </w:rPr>
        <w:tab/>
      </w:r>
      <w:r w:rsidRPr="000A0060">
        <w:rPr>
          <w:rFonts w:cs="Arial"/>
          <w:b/>
          <w:u w:val="single"/>
        </w:rPr>
        <w:tab/>
      </w:r>
      <w:r w:rsidRPr="000A0060">
        <w:rPr>
          <w:rFonts w:cs="Arial"/>
          <w:b/>
          <w:u w:val="single"/>
        </w:rPr>
        <w:tab/>
      </w:r>
      <w:r w:rsidRPr="000A0060">
        <w:rPr>
          <w:rFonts w:cs="Arial"/>
          <w:b/>
          <w:u w:val="single"/>
        </w:rPr>
        <w:tab/>
      </w:r>
      <w:r w:rsidRPr="000A0060">
        <w:rPr>
          <w:rFonts w:cs="Arial"/>
          <w:b/>
          <w:u w:val="single"/>
        </w:rPr>
        <w:tab/>
      </w:r>
      <w:r w:rsidR="00FB79F5" w:rsidRPr="000A0060">
        <w:rPr>
          <w:rFonts w:cs="Arial"/>
          <w:b/>
          <w:u w:val="single"/>
        </w:rPr>
        <w:tab/>
      </w:r>
      <w:r w:rsidR="00C323BB" w:rsidRPr="000A0060">
        <w:rPr>
          <w:rFonts w:cs="Arial"/>
          <w:b/>
          <w:u w:val="single"/>
        </w:rPr>
        <w:tab/>
      </w:r>
      <w:r w:rsidR="00A8409E" w:rsidRPr="000A0060">
        <w:rPr>
          <w:rFonts w:cs="Arial"/>
          <w:b/>
          <w:u w:val="single"/>
        </w:rPr>
        <w:t>5</w:t>
      </w:r>
      <w:r w:rsidR="000A0060" w:rsidRPr="000A0060">
        <w:rPr>
          <w:rFonts w:cs="Arial"/>
          <w:b/>
          <w:u w:val="single"/>
        </w:rPr>
        <w:t>6</w:t>
      </w:r>
      <w:r w:rsidR="00A8409E" w:rsidRPr="000A0060">
        <w:rPr>
          <w:rFonts w:cs="Arial"/>
          <w:b/>
          <w:u w:val="single"/>
        </w:rPr>
        <w:t>,</w:t>
      </w:r>
      <w:r w:rsidR="000A0060" w:rsidRPr="000A0060">
        <w:rPr>
          <w:rFonts w:cs="Arial"/>
          <w:b/>
          <w:u w:val="single"/>
        </w:rPr>
        <w:t>067</w:t>
      </w:r>
      <w:r w:rsidR="00A8409E" w:rsidRPr="000A0060">
        <w:rPr>
          <w:rFonts w:cs="Arial"/>
          <w:b/>
          <w:u w:val="single"/>
        </w:rPr>
        <w:t>.</w:t>
      </w:r>
      <w:r w:rsidR="000A0060" w:rsidRPr="000A0060">
        <w:rPr>
          <w:rFonts w:cs="Arial"/>
          <w:b/>
          <w:u w:val="single"/>
        </w:rPr>
        <w:t>90</w:t>
      </w:r>
      <w:r w:rsidRPr="000A0060">
        <w:rPr>
          <w:rFonts w:cs="Arial"/>
          <w:b/>
          <w:u w:val="single"/>
        </w:rPr>
        <w:tab/>
      </w:r>
      <w:r w:rsidR="00A05ACE" w:rsidRPr="000A0060">
        <w:rPr>
          <w:rFonts w:cs="Arial"/>
          <w:b/>
          <w:u w:val="single"/>
        </w:rPr>
        <w:tab/>
      </w:r>
      <w:r w:rsidR="00A8409E" w:rsidRPr="000A0060">
        <w:rPr>
          <w:rFonts w:cs="Arial"/>
          <w:b/>
          <w:u w:val="single"/>
        </w:rPr>
        <w:t>5</w:t>
      </w:r>
      <w:r w:rsidR="00594437" w:rsidRPr="000A0060">
        <w:rPr>
          <w:rFonts w:cs="Arial"/>
          <w:b/>
          <w:u w:val="single"/>
        </w:rPr>
        <w:t>2</w:t>
      </w:r>
      <w:r w:rsidR="00A8409E" w:rsidRPr="000A0060">
        <w:rPr>
          <w:rFonts w:cs="Arial"/>
          <w:b/>
          <w:u w:val="single"/>
        </w:rPr>
        <w:t>,</w:t>
      </w:r>
      <w:r w:rsidR="00594437" w:rsidRPr="000A0060">
        <w:rPr>
          <w:rFonts w:cs="Arial"/>
          <w:b/>
          <w:u w:val="single"/>
        </w:rPr>
        <w:t>180</w:t>
      </w:r>
      <w:r w:rsidR="00A8409E" w:rsidRPr="000A0060">
        <w:rPr>
          <w:rFonts w:cs="Arial"/>
          <w:b/>
          <w:u w:val="single"/>
        </w:rPr>
        <w:t>.</w:t>
      </w:r>
      <w:r w:rsidR="00594437" w:rsidRPr="000A0060">
        <w:rPr>
          <w:rFonts w:cs="Arial"/>
          <w:b/>
          <w:u w:val="single"/>
        </w:rPr>
        <w:t>25</w:t>
      </w:r>
      <w:r w:rsidRPr="000A0060">
        <w:rPr>
          <w:rFonts w:cs="Arial"/>
          <w:b/>
          <w:u w:val="single"/>
        </w:rPr>
        <w:tab/>
      </w:r>
      <w:r w:rsidRPr="000A0060">
        <w:rPr>
          <w:rFonts w:cs="Arial"/>
          <w:b/>
          <w:u w:val="single"/>
        </w:rPr>
        <w:tab/>
      </w:r>
      <w:r w:rsidR="00230E5A" w:rsidRPr="000A0060">
        <w:rPr>
          <w:rFonts w:cs="Arial"/>
          <w:b/>
          <w:u w:val="single"/>
        </w:rPr>
        <w:t xml:space="preserve"> </w:t>
      </w:r>
      <w:r w:rsidR="000A0060" w:rsidRPr="000A0060">
        <w:rPr>
          <w:rFonts w:cs="Arial"/>
          <w:b/>
          <w:u w:val="single"/>
        </w:rPr>
        <w:t>+7</w:t>
      </w:r>
      <w:r w:rsidR="00FB79F5" w:rsidRPr="000A0060">
        <w:rPr>
          <w:rFonts w:cs="Arial"/>
          <w:b/>
          <w:u w:val="single"/>
        </w:rPr>
        <w:t>.</w:t>
      </w:r>
      <w:r w:rsidR="000A0060" w:rsidRPr="000A0060">
        <w:rPr>
          <w:rFonts w:cs="Arial"/>
          <w:b/>
          <w:u w:val="single"/>
        </w:rPr>
        <w:t>5</w:t>
      </w:r>
      <w:r w:rsidRPr="000A0060">
        <w:rPr>
          <w:rFonts w:cs="Arial"/>
          <w:b/>
          <w:u w:val="single"/>
        </w:rPr>
        <w:t>%</w:t>
      </w:r>
    </w:p>
    <w:p w14:paraId="7230EEFF" w14:textId="77777777" w:rsidR="00274A95" w:rsidRPr="005F164C" w:rsidRDefault="00274A95" w:rsidP="00274A95">
      <w:pPr>
        <w:jc w:val="both"/>
        <w:rPr>
          <w:rFonts w:cs="Arial"/>
          <w:b/>
        </w:rPr>
      </w:pPr>
      <w:r w:rsidRPr="00230E5A">
        <w:rPr>
          <w:rFonts w:cs="Arial"/>
        </w:rPr>
        <w:t>GHG Emissions Intensity 1</w:t>
      </w:r>
      <w:r w:rsidRPr="00230E5A">
        <w:rPr>
          <w:rFonts w:cs="Arial"/>
        </w:rPr>
        <w:tab/>
        <w:t>tonnes CO</w:t>
      </w:r>
      <w:r w:rsidRPr="00230E5A">
        <w:rPr>
          <w:rFonts w:cs="Arial"/>
          <w:sz w:val="12"/>
          <w:szCs w:val="12"/>
        </w:rPr>
        <w:t>2</w:t>
      </w:r>
      <w:r w:rsidRPr="00230E5A">
        <w:rPr>
          <w:rFonts w:cs="Arial"/>
        </w:rPr>
        <w:t>e / £m Turnover</w:t>
      </w:r>
      <w:r w:rsidR="00FB79F5" w:rsidRPr="00230E5A">
        <w:rPr>
          <w:rFonts w:cs="Arial"/>
        </w:rPr>
        <w:tab/>
      </w:r>
      <w:r w:rsidR="00D51CC8" w:rsidRPr="005F164C">
        <w:rPr>
          <w:rFonts w:cs="Arial"/>
        </w:rPr>
        <w:t xml:space="preserve">     </w:t>
      </w:r>
      <w:r w:rsidR="00FB79F5" w:rsidRPr="005F164C">
        <w:rPr>
          <w:rFonts w:cs="Arial"/>
          <w:b/>
        </w:rPr>
        <w:t>2</w:t>
      </w:r>
      <w:r w:rsidR="005F164C" w:rsidRPr="005F164C">
        <w:rPr>
          <w:rFonts w:cs="Arial"/>
          <w:b/>
        </w:rPr>
        <w:t>47</w:t>
      </w:r>
      <w:r w:rsidR="00FB79F5" w:rsidRPr="005F164C">
        <w:rPr>
          <w:rFonts w:cs="Arial"/>
          <w:b/>
        </w:rPr>
        <w:t>.</w:t>
      </w:r>
      <w:r w:rsidR="005F164C" w:rsidRPr="005F164C">
        <w:rPr>
          <w:rFonts w:cs="Arial"/>
          <w:b/>
        </w:rPr>
        <w:t>29</w:t>
      </w:r>
      <w:r w:rsidR="00C323BB" w:rsidRPr="005F164C">
        <w:rPr>
          <w:rFonts w:cs="Arial"/>
          <w:b/>
        </w:rPr>
        <w:tab/>
      </w:r>
      <w:r w:rsidR="00D51CC8" w:rsidRPr="00230E5A">
        <w:rPr>
          <w:rFonts w:cs="Arial"/>
          <w:b/>
        </w:rPr>
        <w:tab/>
        <w:t xml:space="preserve">     </w:t>
      </w:r>
      <w:r w:rsidR="00583A5D" w:rsidRPr="00230E5A">
        <w:rPr>
          <w:rFonts w:cs="Arial"/>
          <w:b/>
        </w:rPr>
        <w:t>33</w:t>
      </w:r>
      <w:r w:rsidR="005F164C">
        <w:rPr>
          <w:rFonts w:cs="Arial"/>
          <w:b/>
        </w:rPr>
        <w:t>2</w:t>
      </w:r>
      <w:r w:rsidR="00F94FB0" w:rsidRPr="00230E5A">
        <w:rPr>
          <w:rFonts w:cs="Arial"/>
          <w:b/>
        </w:rPr>
        <w:t>.</w:t>
      </w:r>
      <w:r w:rsidR="005F164C">
        <w:rPr>
          <w:rFonts w:cs="Arial"/>
          <w:b/>
        </w:rPr>
        <w:t>38</w:t>
      </w:r>
      <w:r w:rsidRPr="00230E5A">
        <w:rPr>
          <w:rFonts w:cs="Arial"/>
          <w:b/>
        </w:rPr>
        <w:tab/>
      </w:r>
      <w:r w:rsidR="00FB79F5" w:rsidRPr="005F164C">
        <w:rPr>
          <w:rFonts w:cs="Arial"/>
          <w:b/>
        </w:rPr>
        <w:tab/>
      </w:r>
      <w:r w:rsidR="00230E5A" w:rsidRPr="005F164C">
        <w:rPr>
          <w:rFonts w:cs="Arial"/>
          <w:b/>
        </w:rPr>
        <w:t xml:space="preserve"> </w:t>
      </w:r>
      <w:r w:rsidR="00FB79F5" w:rsidRPr="005F164C">
        <w:rPr>
          <w:rFonts w:cs="Arial"/>
          <w:b/>
        </w:rPr>
        <w:t>-</w:t>
      </w:r>
      <w:r w:rsidR="004348F4" w:rsidRPr="005F164C">
        <w:rPr>
          <w:rFonts w:cs="Arial"/>
          <w:b/>
        </w:rPr>
        <w:t>2</w:t>
      </w:r>
      <w:r w:rsidR="005F164C" w:rsidRPr="005F164C">
        <w:rPr>
          <w:rFonts w:cs="Arial"/>
          <w:b/>
        </w:rPr>
        <w:t>5</w:t>
      </w:r>
      <w:r w:rsidR="0028288C" w:rsidRPr="005F164C">
        <w:rPr>
          <w:rFonts w:cs="Arial"/>
          <w:b/>
        </w:rPr>
        <w:t>.</w:t>
      </w:r>
      <w:r w:rsidR="005F164C" w:rsidRPr="005F164C">
        <w:rPr>
          <w:rFonts w:cs="Arial"/>
          <w:b/>
        </w:rPr>
        <w:t>6</w:t>
      </w:r>
      <w:r w:rsidR="00FB79F5" w:rsidRPr="005F164C">
        <w:rPr>
          <w:rFonts w:cs="Arial"/>
          <w:b/>
        </w:rPr>
        <w:t>%</w:t>
      </w:r>
    </w:p>
    <w:p w14:paraId="5A4DB11C" w14:textId="77777777" w:rsidR="00274A95" w:rsidRPr="005F164C" w:rsidRDefault="00274A95" w:rsidP="00274A95">
      <w:pPr>
        <w:jc w:val="both"/>
        <w:rPr>
          <w:rFonts w:cs="Arial"/>
        </w:rPr>
      </w:pPr>
      <w:r w:rsidRPr="005F164C">
        <w:rPr>
          <w:rFonts w:cs="Arial"/>
        </w:rPr>
        <w:t>GHG Emissions Intensity 2</w:t>
      </w:r>
      <w:r w:rsidRPr="005F164C">
        <w:rPr>
          <w:rFonts w:cs="Arial"/>
        </w:rPr>
        <w:tab/>
        <w:t>tonnes CO</w:t>
      </w:r>
      <w:r w:rsidRPr="005F164C">
        <w:rPr>
          <w:rFonts w:cs="Arial"/>
          <w:sz w:val="12"/>
          <w:szCs w:val="12"/>
        </w:rPr>
        <w:t>2</w:t>
      </w:r>
      <w:r w:rsidRPr="005F164C">
        <w:rPr>
          <w:rFonts w:cs="Arial"/>
        </w:rPr>
        <w:t>e / Employee</w:t>
      </w:r>
      <w:r w:rsidR="00FB79F5" w:rsidRPr="005F164C">
        <w:rPr>
          <w:rFonts w:cs="Arial"/>
        </w:rPr>
        <w:tab/>
      </w:r>
      <w:r w:rsidRPr="005F164C">
        <w:rPr>
          <w:rFonts w:cs="Arial"/>
          <w:b/>
        </w:rPr>
        <w:tab/>
      </w:r>
      <w:r w:rsidR="00D51CC8" w:rsidRPr="005F164C">
        <w:rPr>
          <w:rFonts w:cs="Arial"/>
          <w:b/>
        </w:rPr>
        <w:t xml:space="preserve">       </w:t>
      </w:r>
      <w:r w:rsidR="00D65E62" w:rsidRPr="005F164C">
        <w:rPr>
          <w:rFonts w:cs="Arial"/>
          <w:b/>
        </w:rPr>
        <w:t>1</w:t>
      </w:r>
      <w:r w:rsidR="005F164C" w:rsidRPr="005F164C">
        <w:rPr>
          <w:rFonts w:cs="Arial"/>
          <w:b/>
        </w:rPr>
        <w:t>8</w:t>
      </w:r>
      <w:r w:rsidR="00FB79F5" w:rsidRPr="005F164C">
        <w:rPr>
          <w:rFonts w:cs="Arial"/>
          <w:b/>
        </w:rPr>
        <w:t>.</w:t>
      </w:r>
      <w:r w:rsidR="005F164C" w:rsidRPr="005F164C">
        <w:rPr>
          <w:rFonts w:cs="Arial"/>
          <w:b/>
        </w:rPr>
        <w:t>83</w:t>
      </w:r>
      <w:r w:rsidR="00C323BB" w:rsidRPr="005F164C">
        <w:rPr>
          <w:rFonts w:cs="Arial"/>
          <w:b/>
        </w:rPr>
        <w:tab/>
      </w:r>
      <w:r w:rsidR="00C323BB" w:rsidRPr="005F164C">
        <w:rPr>
          <w:rFonts w:cs="Arial"/>
          <w:b/>
        </w:rPr>
        <w:tab/>
      </w:r>
      <w:r w:rsidR="00D51CC8" w:rsidRPr="005F164C">
        <w:rPr>
          <w:rFonts w:cs="Arial"/>
          <w:b/>
        </w:rPr>
        <w:t xml:space="preserve">       </w:t>
      </w:r>
      <w:r w:rsidR="00583A5D" w:rsidRPr="005F164C">
        <w:rPr>
          <w:rFonts w:cs="Arial"/>
          <w:b/>
        </w:rPr>
        <w:t>20</w:t>
      </w:r>
      <w:r w:rsidR="00F94FB0" w:rsidRPr="005F164C">
        <w:rPr>
          <w:rFonts w:cs="Arial"/>
          <w:b/>
        </w:rPr>
        <w:t>.</w:t>
      </w:r>
      <w:r w:rsidR="005F164C" w:rsidRPr="005F164C">
        <w:rPr>
          <w:rFonts w:cs="Arial"/>
          <w:b/>
        </w:rPr>
        <w:t>54</w:t>
      </w:r>
      <w:r w:rsidRPr="005F164C">
        <w:rPr>
          <w:rFonts w:cs="Arial"/>
          <w:b/>
        </w:rPr>
        <w:tab/>
      </w:r>
      <w:r w:rsidR="00FB79F5" w:rsidRPr="005F164C">
        <w:rPr>
          <w:rFonts w:cs="Arial"/>
          <w:b/>
        </w:rPr>
        <w:t xml:space="preserve">        </w:t>
      </w:r>
      <w:r w:rsidR="003E14CD" w:rsidRPr="005F164C">
        <w:rPr>
          <w:rFonts w:cs="Arial"/>
          <w:b/>
        </w:rPr>
        <w:t xml:space="preserve"> </w:t>
      </w:r>
      <w:r w:rsidR="00F94FB0" w:rsidRPr="005F164C">
        <w:rPr>
          <w:rFonts w:cs="Arial"/>
          <w:b/>
        </w:rPr>
        <w:t xml:space="preserve"> </w:t>
      </w:r>
      <w:r w:rsidR="00583A5D" w:rsidRPr="005F164C">
        <w:rPr>
          <w:rFonts w:cs="Arial"/>
          <w:b/>
        </w:rPr>
        <w:t xml:space="preserve"> </w:t>
      </w:r>
      <w:r w:rsidR="00230E5A" w:rsidRPr="005F164C">
        <w:rPr>
          <w:rFonts w:cs="Arial"/>
          <w:b/>
        </w:rPr>
        <w:t xml:space="preserve"> </w:t>
      </w:r>
      <w:r w:rsidR="00583A5D" w:rsidRPr="005F164C">
        <w:rPr>
          <w:rFonts w:cs="Arial"/>
          <w:b/>
        </w:rPr>
        <w:t xml:space="preserve"> -</w:t>
      </w:r>
      <w:r w:rsidR="005F164C" w:rsidRPr="005F164C">
        <w:rPr>
          <w:rFonts w:cs="Arial"/>
          <w:b/>
        </w:rPr>
        <w:t>8.3</w:t>
      </w:r>
      <w:r w:rsidR="00FB79F5" w:rsidRPr="005F164C">
        <w:rPr>
          <w:rFonts w:cs="Arial"/>
          <w:b/>
        </w:rPr>
        <w:t>%</w:t>
      </w:r>
    </w:p>
    <w:p w14:paraId="71905E67" w14:textId="77777777" w:rsidR="009A2058" w:rsidRPr="00820267" w:rsidRDefault="009A2058" w:rsidP="009A2058">
      <w:pPr>
        <w:jc w:val="center"/>
        <w:outlineLvl w:val="0"/>
        <w:rPr>
          <w:b/>
        </w:rPr>
      </w:pPr>
      <w:r w:rsidRPr="00C328EF">
        <w:rPr>
          <w:rFonts w:cs="Arial"/>
          <w:highlight w:val="yellow"/>
        </w:rPr>
        <w:br w:type="page"/>
      </w:r>
      <w:r w:rsidRPr="00820267">
        <w:rPr>
          <w:b/>
        </w:rPr>
        <w:lastRenderedPageBreak/>
        <w:t>TRANSPORT FOR EDINBURGH LIMITED</w:t>
      </w:r>
    </w:p>
    <w:p w14:paraId="4A829073" w14:textId="77777777" w:rsidR="009A2058" w:rsidRPr="00820267" w:rsidRDefault="009A2058" w:rsidP="009A2058">
      <w:pPr>
        <w:rPr>
          <w:b/>
        </w:rPr>
      </w:pPr>
    </w:p>
    <w:p w14:paraId="0DEC6F83" w14:textId="77777777" w:rsidR="009A2058" w:rsidRPr="00820267" w:rsidRDefault="009A2058" w:rsidP="009A2058">
      <w:pPr>
        <w:jc w:val="center"/>
        <w:rPr>
          <w:b/>
        </w:rPr>
      </w:pPr>
      <w:r w:rsidRPr="00820267">
        <w:rPr>
          <w:b/>
        </w:rPr>
        <w:t>Strategic Report (continued)</w:t>
      </w:r>
    </w:p>
    <w:p w14:paraId="427E9F00" w14:textId="77777777" w:rsidR="009A2058" w:rsidRPr="00820267" w:rsidRDefault="009A2058" w:rsidP="009A2058">
      <w:pPr>
        <w:jc w:val="center"/>
        <w:rPr>
          <w:b/>
        </w:rPr>
      </w:pPr>
    </w:p>
    <w:p w14:paraId="0EA69580" w14:textId="77777777" w:rsidR="009A2058" w:rsidRPr="00820267" w:rsidRDefault="00D90B89" w:rsidP="009A2058">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27C20274" w14:textId="77777777" w:rsidR="009A2058" w:rsidRPr="00C328EF" w:rsidRDefault="009A2058" w:rsidP="009A2058">
      <w:pPr>
        <w:jc w:val="both"/>
        <w:outlineLvl w:val="0"/>
        <w:rPr>
          <w:rFonts w:cs="Arial"/>
          <w:b/>
          <w:highlight w:val="yellow"/>
        </w:rPr>
      </w:pPr>
    </w:p>
    <w:p w14:paraId="58E4E365" w14:textId="77777777" w:rsidR="009A2058" w:rsidRPr="00230E5A" w:rsidRDefault="00C30726" w:rsidP="00C30726">
      <w:pPr>
        <w:spacing w:line="259" w:lineRule="auto"/>
        <w:jc w:val="both"/>
        <w:rPr>
          <w:rFonts w:cs="Arial"/>
          <w:b/>
        </w:rPr>
      </w:pPr>
      <w:r w:rsidRPr="00230E5A">
        <w:rPr>
          <w:rFonts w:eastAsia="Calibri" w:cs="Arial"/>
          <w:b/>
        </w:rPr>
        <w:t xml:space="preserve">Streamlined Energy and Carbon Reporting </w:t>
      </w:r>
      <w:r w:rsidR="009A2058" w:rsidRPr="00230E5A">
        <w:rPr>
          <w:rFonts w:cs="Arial"/>
          <w:b/>
        </w:rPr>
        <w:t>(continued)</w:t>
      </w:r>
    </w:p>
    <w:p w14:paraId="5FF48FED" w14:textId="77777777" w:rsidR="0026566D" w:rsidRPr="00230E5A" w:rsidRDefault="0026566D" w:rsidP="00AE0A47">
      <w:pPr>
        <w:pStyle w:val="NoSpacing"/>
        <w:jc w:val="both"/>
        <w:rPr>
          <w:rFonts w:ascii="Arial" w:hAnsi="Arial" w:cs="Arial"/>
          <w:b/>
          <w:sz w:val="20"/>
          <w:szCs w:val="20"/>
        </w:rPr>
      </w:pPr>
    </w:p>
    <w:p w14:paraId="44426910" w14:textId="77777777" w:rsidR="00AE0A47" w:rsidRPr="00230E5A" w:rsidRDefault="00AE0A47" w:rsidP="00AE0A47">
      <w:pPr>
        <w:pStyle w:val="NoSpacing"/>
        <w:jc w:val="both"/>
        <w:rPr>
          <w:rFonts w:ascii="Arial" w:hAnsi="Arial" w:cs="Arial"/>
          <w:b/>
          <w:sz w:val="20"/>
          <w:szCs w:val="20"/>
        </w:rPr>
      </w:pPr>
      <w:r w:rsidRPr="00230E5A">
        <w:rPr>
          <w:rFonts w:ascii="Arial" w:hAnsi="Arial" w:cs="Arial"/>
          <w:b/>
          <w:sz w:val="20"/>
          <w:szCs w:val="20"/>
        </w:rPr>
        <w:t xml:space="preserve">Energy Efficiency and Environmental Management </w:t>
      </w:r>
    </w:p>
    <w:p w14:paraId="42C56F37" w14:textId="77777777" w:rsidR="00AE0A47" w:rsidRPr="00230E5A" w:rsidRDefault="00AE0A47" w:rsidP="00AE0A47">
      <w:pPr>
        <w:pStyle w:val="NoSpacing"/>
        <w:jc w:val="both"/>
        <w:rPr>
          <w:rFonts w:ascii="Arial" w:hAnsi="Arial" w:cs="Arial"/>
          <w:sz w:val="20"/>
          <w:szCs w:val="20"/>
        </w:rPr>
      </w:pPr>
    </w:p>
    <w:p w14:paraId="2B487A1B" w14:textId="77777777" w:rsidR="00AE0A47" w:rsidRPr="00230E5A" w:rsidRDefault="00AE0A47" w:rsidP="00AE0A47">
      <w:pPr>
        <w:jc w:val="both"/>
        <w:rPr>
          <w:rFonts w:eastAsia="Calibri" w:cs="Arial"/>
        </w:rPr>
      </w:pPr>
      <w:r w:rsidRPr="00230E5A">
        <w:rPr>
          <w:rFonts w:eastAsia="Calibri" w:cs="Arial"/>
        </w:rPr>
        <w:t>As an operator of public transport across Edinburgh and the Lothians, we recognise that our largest environmental impact is associated with the operation of our vehicle fleets.</w:t>
      </w:r>
    </w:p>
    <w:p w14:paraId="16813195" w14:textId="77777777" w:rsidR="00AE0A47" w:rsidRPr="00230E5A" w:rsidRDefault="00AE0A47" w:rsidP="00AE0A47">
      <w:pPr>
        <w:jc w:val="both"/>
        <w:rPr>
          <w:rFonts w:eastAsia="Calibri" w:cs="Arial"/>
          <w:sz w:val="12"/>
          <w:szCs w:val="12"/>
        </w:rPr>
      </w:pPr>
    </w:p>
    <w:p w14:paraId="7557D773" w14:textId="77777777" w:rsidR="00AE0A47" w:rsidRPr="00C328EF" w:rsidRDefault="00D4551A" w:rsidP="00AE0A47">
      <w:pPr>
        <w:pStyle w:val="NoSpacing"/>
        <w:jc w:val="both"/>
        <w:rPr>
          <w:rFonts w:ascii="Arial" w:hAnsi="Arial" w:cs="Arial"/>
          <w:sz w:val="20"/>
          <w:szCs w:val="20"/>
          <w:highlight w:val="yellow"/>
        </w:rPr>
      </w:pPr>
      <w:r w:rsidRPr="00565670">
        <w:rPr>
          <w:rFonts w:ascii="Arial" w:hAnsi="Arial" w:cs="Arial"/>
          <w:sz w:val="20"/>
          <w:szCs w:val="20"/>
        </w:rPr>
        <w:t>During 202</w:t>
      </w:r>
      <w:r w:rsidR="00230E5A" w:rsidRPr="00565670">
        <w:rPr>
          <w:rFonts w:ascii="Arial" w:hAnsi="Arial" w:cs="Arial"/>
          <w:sz w:val="20"/>
          <w:szCs w:val="20"/>
        </w:rPr>
        <w:t>4</w:t>
      </w:r>
      <w:r w:rsidRPr="00565670">
        <w:rPr>
          <w:rFonts w:ascii="Arial" w:hAnsi="Arial" w:cs="Arial"/>
          <w:sz w:val="20"/>
          <w:szCs w:val="20"/>
        </w:rPr>
        <w:t xml:space="preserve"> Lothian Buses </w:t>
      </w:r>
      <w:r w:rsidR="00565670" w:rsidRPr="00565670">
        <w:rPr>
          <w:rFonts w:ascii="Arial" w:hAnsi="Arial" w:cs="Arial"/>
          <w:sz w:val="20"/>
          <w:szCs w:val="20"/>
        </w:rPr>
        <w:t xml:space="preserve">started work on the electrification of </w:t>
      </w:r>
      <w:r w:rsidR="00565670">
        <w:rPr>
          <w:rFonts w:ascii="Arial" w:hAnsi="Arial" w:cs="Arial"/>
          <w:sz w:val="20"/>
          <w:szCs w:val="20"/>
        </w:rPr>
        <w:t>their</w:t>
      </w:r>
      <w:r w:rsidR="00565670" w:rsidRPr="00565670">
        <w:rPr>
          <w:rFonts w:ascii="Arial" w:hAnsi="Arial" w:cs="Arial"/>
          <w:sz w:val="20"/>
          <w:szCs w:val="20"/>
        </w:rPr>
        <w:t xml:space="preserve"> Central garage and by the end of this multi-year project will have capacity here for 150 electric buses. </w:t>
      </w:r>
      <w:r w:rsidR="00565670">
        <w:rPr>
          <w:rFonts w:ascii="Arial" w:hAnsi="Arial" w:cs="Arial"/>
          <w:sz w:val="20"/>
          <w:szCs w:val="20"/>
        </w:rPr>
        <w:t>Lothian Buses</w:t>
      </w:r>
      <w:r w:rsidR="00565670" w:rsidRPr="00565670">
        <w:rPr>
          <w:rFonts w:ascii="Arial" w:hAnsi="Arial" w:cs="Arial"/>
          <w:sz w:val="20"/>
          <w:szCs w:val="20"/>
        </w:rPr>
        <w:t xml:space="preserve"> w</w:t>
      </w:r>
      <w:r w:rsidR="00565670">
        <w:rPr>
          <w:rFonts w:ascii="Arial" w:hAnsi="Arial" w:cs="Arial"/>
          <w:sz w:val="20"/>
          <w:szCs w:val="20"/>
        </w:rPr>
        <w:t>as</w:t>
      </w:r>
      <w:r w:rsidR="00565670" w:rsidRPr="00565670">
        <w:rPr>
          <w:rFonts w:ascii="Arial" w:hAnsi="Arial" w:cs="Arial"/>
          <w:sz w:val="20"/>
          <w:szCs w:val="20"/>
        </w:rPr>
        <w:t xml:space="preserve"> also successful in getting Transport Scotland BEAR 5 funding to convert some tour buses from diesel to zero emission electric drive. Through </w:t>
      </w:r>
      <w:r w:rsidR="00565670">
        <w:rPr>
          <w:rFonts w:ascii="Arial" w:hAnsi="Arial" w:cs="Arial"/>
          <w:sz w:val="20"/>
          <w:szCs w:val="20"/>
        </w:rPr>
        <w:t>their</w:t>
      </w:r>
      <w:r w:rsidR="00565670" w:rsidRPr="00565670">
        <w:rPr>
          <w:rFonts w:ascii="Arial" w:hAnsi="Arial" w:cs="Arial"/>
          <w:sz w:val="20"/>
          <w:szCs w:val="20"/>
        </w:rPr>
        <w:t xml:space="preserve"> driver training programme, </w:t>
      </w:r>
      <w:r w:rsidR="00565670">
        <w:rPr>
          <w:rFonts w:ascii="Arial" w:hAnsi="Arial" w:cs="Arial"/>
          <w:sz w:val="20"/>
          <w:szCs w:val="20"/>
        </w:rPr>
        <w:t>they</w:t>
      </w:r>
      <w:r w:rsidR="00565670" w:rsidRPr="00565670">
        <w:rPr>
          <w:rFonts w:ascii="Arial" w:hAnsi="Arial" w:cs="Arial"/>
          <w:sz w:val="20"/>
          <w:szCs w:val="20"/>
        </w:rPr>
        <w:t xml:space="preserve"> encourage drivers to adopt efficient driving practices, further reducing environmental impact. To support employees and encourage increased uptake of public transport </w:t>
      </w:r>
      <w:r w:rsidR="00565670">
        <w:rPr>
          <w:rFonts w:ascii="Arial" w:hAnsi="Arial" w:cs="Arial"/>
          <w:sz w:val="20"/>
          <w:szCs w:val="20"/>
        </w:rPr>
        <w:t>they</w:t>
      </w:r>
      <w:r w:rsidR="00565670" w:rsidRPr="00565670">
        <w:rPr>
          <w:rFonts w:ascii="Arial" w:hAnsi="Arial" w:cs="Arial"/>
          <w:sz w:val="20"/>
          <w:szCs w:val="20"/>
        </w:rPr>
        <w:t xml:space="preserve"> extended the provision of </w:t>
      </w:r>
      <w:r w:rsidR="00565670">
        <w:rPr>
          <w:rFonts w:ascii="Arial" w:hAnsi="Arial" w:cs="Arial"/>
          <w:sz w:val="20"/>
          <w:szCs w:val="20"/>
        </w:rPr>
        <w:t>their</w:t>
      </w:r>
      <w:r w:rsidR="00565670" w:rsidRPr="00565670">
        <w:rPr>
          <w:rFonts w:ascii="Arial" w:hAnsi="Arial" w:cs="Arial"/>
          <w:sz w:val="20"/>
          <w:szCs w:val="20"/>
        </w:rPr>
        <w:t xml:space="preserve"> Privilege Ridacard back in 2022. </w:t>
      </w:r>
      <w:r w:rsidR="00565670">
        <w:rPr>
          <w:rFonts w:ascii="Arial" w:hAnsi="Arial" w:cs="Arial"/>
          <w:sz w:val="20"/>
          <w:szCs w:val="20"/>
        </w:rPr>
        <w:t>Lothian Buses also</w:t>
      </w:r>
      <w:r w:rsidR="00565670" w:rsidRPr="00565670">
        <w:rPr>
          <w:rFonts w:ascii="Arial" w:hAnsi="Arial" w:cs="Arial"/>
          <w:sz w:val="20"/>
          <w:szCs w:val="20"/>
        </w:rPr>
        <w:t xml:space="preserve"> continue to replace diesel ancillary vans and vehicles with electric equivalents with 10 being replaced during 2024.</w:t>
      </w:r>
      <w:r w:rsidRPr="00565670">
        <w:rPr>
          <w:rFonts w:ascii="Arial" w:hAnsi="Arial" w:cs="Arial"/>
          <w:sz w:val="20"/>
          <w:szCs w:val="20"/>
        </w:rPr>
        <w:t xml:space="preserve"> Lothian </w:t>
      </w:r>
      <w:r w:rsidR="00E44D1E" w:rsidRPr="00565670">
        <w:rPr>
          <w:rFonts w:ascii="Arial" w:hAnsi="Arial" w:cs="Arial"/>
          <w:sz w:val="20"/>
          <w:szCs w:val="20"/>
        </w:rPr>
        <w:t xml:space="preserve">Buses </w:t>
      </w:r>
      <w:r w:rsidRPr="00565670">
        <w:rPr>
          <w:rFonts w:ascii="Arial" w:hAnsi="Arial" w:cs="Arial"/>
          <w:sz w:val="20"/>
          <w:szCs w:val="20"/>
        </w:rPr>
        <w:t xml:space="preserve">has an internal environmental strategy which works to reduce the environmental impact of internal operations across offices and </w:t>
      </w:r>
      <w:r w:rsidR="00E0748B" w:rsidRPr="00565670">
        <w:rPr>
          <w:rFonts w:ascii="Arial" w:hAnsi="Arial" w:cs="Arial"/>
          <w:sz w:val="20"/>
          <w:szCs w:val="20"/>
        </w:rPr>
        <w:t>garages,</w:t>
      </w:r>
      <w:r w:rsidRPr="00565670">
        <w:rPr>
          <w:rFonts w:ascii="Arial" w:hAnsi="Arial" w:cs="Arial"/>
          <w:sz w:val="20"/>
          <w:szCs w:val="20"/>
        </w:rPr>
        <w:t xml:space="preserve"> focusing on waste, water and energy consumption and has made significant progress in these areas</w:t>
      </w:r>
      <w:r w:rsidR="00565670" w:rsidRPr="00565670">
        <w:rPr>
          <w:rFonts w:ascii="Arial" w:hAnsi="Arial" w:cs="Arial"/>
          <w:sz w:val="20"/>
          <w:szCs w:val="20"/>
        </w:rPr>
        <w:t xml:space="preserve"> over the last few years</w:t>
      </w:r>
      <w:r w:rsidRPr="00565670">
        <w:rPr>
          <w:rFonts w:ascii="Arial" w:hAnsi="Arial" w:cs="Arial"/>
          <w:sz w:val="20"/>
          <w:szCs w:val="20"/>
        </w:rPr>
        <w:t xml:space="preserve">. </w:t>
      </w:r>
      <w:r w:rsidR="00565670" w:rsidRPr="00565670">
        <w:rPr>
          <w:rFonts w:ascii="Arial" w:hAnsi="Arial" w:cs="Arial"/>
          <w:sz w:val="20"/>
          <w:szCs w:val="20"/>
        </w:rPr>
        <w:t>In the early part of</w:t>
      </w:r>
      <w:r w:rsidRPr="00565670">
        <w:rPr>
          <w:rFonts w:ascii="Arial" w:hAnsi="Arial" w:cs="Arial"/>
          <w:sz w:val="20"/>
          <w:szCs w:val="20"/>
        </w:rPr>
        <w:t xml:space="preserve"> </w:t>
      </w:r>
      <w:r w:rsidR="00565670" w:rsidRPr="00565670">
        <w:rPr>
          <w:rFonts w:ascii="Arial" w:hAnsi="Arial" w:cs="Arial"/>
          <w:sz w:val="20"/>
          <w:szCs w:val="20"/>
        </w:rPr>
        <w:t xml:space="preserve">2024 </w:t>
      </w:r>
      <w:r w:rsidR="00565670">
        <w:rPr>
          <w:rFonts w:ascii="Arial" w:hAnsi="Arial" w:cs="Arial"/>
          <w:sz w:val="20"/>
          <w:szCs w:val="20"/>
        </w:rPr>
        <w:t>their</w:t>
      </w:r>
      <w:r w:rsidR="00565670" w:rsidRPr="00565670">
        <w:rPr>
          <w:rFonts w:ascii="Arial" w:hAnsi="Arial" w:cs="Arial"/>
          <w:sz w:val="20"/>
          <w:szCs w:val="20"/>
        </w:rPr>
        <w:t xml:space="preserve"> outdated workshop heating systems, in five of </w:t>
      </w:r>
      <w:r w:rsidR="00565670">
        <w:rPr>
          <w:rFonts w:ascii="Arial" w:hAnsi="Arial" w:cs="Arial"/>
          <w:sz w:val="20"/>
          <w:szCs w:val="20"/>
        </w:rPr>
        <w:t>their</w:t>
      </w:r>
      <w:r w:rsidR="00565670" w:rsidRPr="00565670">
        <w:rPr>
          <w:rFonts w:ascii="Arial" w:hAnsi="Arial" w:cs="Arial"/>
          <w:sz w:val="20"/>
          <w:szCs w:val="20"/>
        </w:rPr>
        <w:t xml:space="preserve"> depots, were replaced with new gas-powered Ambi-rad radiant heaters. These new heaters are typically working up to 18 hours a day with some 24/7 but the new systems will allow </w:t>
      </w:r>
      <w:r w:rsidR="00565670">
        <w:rPr>
          <w:rFonts w:ascii="Arial" w:hAnsi="Arial" w:cs="Arial"/>
          <w:sz w:val="20"/>
          <w:szCs w:val="20"/>
        </w:rPr>
        <w:t>them</w:t>
      </w:r>
      <w:r w:rsidR="00565670" w:rsidRPr="00565670">
        <w:rPr>
          <w:rFonts w:ascii="Arial" w:hAnsi="Arial" w:cs="Arial"/>
          <w:sz w:val="20"/>
          <w:szCs w:val="20"/>
        </w:rPr>
        <w:t xml:space="preserve"> to be more focused on reducing gas consumption. </w:t>
      </w:r>
      <w:r w:rsidR="00565670">
        <w:rPr>
          <w:rFonts w:ascii="Arial" w:hAnsi="Arial" w:cs="Arial"/>
          <w:sz w:val="20"/>
          <w:szCs w:val="20"/>
        </w:rPr>
        <w:t>Their</w:t>
      </w:r>
      <w:r w:rsidR="00565670" w:rsidRPr="00565670">
        <w:rPr>
          <w:rFonts w:ascii="Arial" w:hAnsi="Arial" w:cs="Arial"/>
          <w:sz w:val="20"/>
          <w:szCs w:val="20"/>
        </w:rPr>
        <w:t xml:space="preserve"> new utilities meter monitoring process has given good quality data to work with across all sites. This has allowed better track</w:t>
      </w:r>
      <w:r w:rsidR="00565670">
        <w:rPr>
          <w:rFonts w:ascii="Arial" w:hAnsi="Arial" w:cs="Arial"/>
          <w:sz w:val="20"/>
          <w:szCs w:val="20"/>
        </w:rPr>
        <w:t>ing of</w:t>
      </w:r>
      <w:r w:rsidR="00565670" w:rsidRPr="00565670">
        <w:rPr>
          <w:rFonts w:ascii="Arial" w:hAnsi="Arial" w:cs="Arial"/>
          <w:sz w:val="20"/>
          <w:szCs w:val="20"/>
        </w:rPr>
        <w:t xml:space="preserve"> consumption and highlight</w:t>
      </w:r>
      <w:r w:rsidR="00565670">
        <w:rPr>
          <w:rFonts w:ascii="Arial" w:hAnsi="Arial" w:cs="Arial"/>
          <w:sz w:val="20"/>
          <w:szCs w:val="20"/>
        </w:rPr>
        <w:t>ed</w:t>
      </w:r>
      <w:r w:rsidR="00565670" w:rsidRPr="00565670">
        <w:rPr>
          <w:rFonts w:ascii="Arial" w:hAnsi="Arial" w:cs="Arial"/>
          <w:sz w:val="20"/>
          <w:szCs w:val="20"/>
        </w:rPr>
        <w:t xml:space="preserve"> areas for improvement and </w:t>
      </w:r>
      <w:r w:rsidR="00931861">
        <w:rPr>
          <w:rFonts w:ascii="Arial" w:hAnsi="Arial" w:cs="Arial"/>
          <w:sz w:val="20"/>
          <w:szCs w:val="20"/>
        </w:rPr>
        <w:t xml:space="preserve">has </w:t>
      </w:r>
      <w:r w:rsidR="00565670" w:rsidRPr="00565670">
        <w:rPr>
          <w:rFonts w:ascii="Arial" w:hAnsi="Arial" w:cs="Arial"/>
          <w:sz w:val="20"/>
          <w:szCs w:val="20"/>
        </w:rPr>
        <w:t>target</w:t>
      </w:r>
      <w:r w:rsidR="00931861">
        <w:rPr>
          <w:rFonts w:ascii="Arial" w:hAnsi="Arial" w:cs="Arial"/>
          <w:sz w:val="20"/>
          <w:szCs w:val="20"/>
        </w:rPr>
        <w:t>ed</w:t>
      </w:r>
      <w:r w:rsidR="00565670" w:rsidRPr="00565670">
        <w:rPr>
          <w:rFonts w:ascii="Arial" w:hAnsi="Arial" w:cs="Arial"/>
          <w:sz w:val="20"/>
          <w:szCs w:val="20"/>
        </w:rPr>
        <w:t xml:space="preserve"> focus for potential energy reduction measures, e.g.</w:t>
      </w:r>
      <w:r w:rsidR="00931861">
        <w:rPr>
          <w:rFonts w:ascii="Arial" w:hAnsi="Arial" w:cs="Arial"/>
          <w:sz w:val="20"/>
          <w:szCs w:val="20"/>
        </w:rPr>
        <w:t xml:space="preserve"> </w:t>
      </w:r>
      <w:r w:rsidR="00565670" w:rsidRPr="00565670">
        <w:rPr>
          <w:rFonts w:ascii="Arial" w:hAnsi="Arial" w:cs="Arial"/>
          <w:sz w:val="20"/>
          <w:szCs w:val="20"/>
        </w:rPr>
        <w:t>behavioural change.</w:t>
      </w:r>
    </w:p>
    <w:p w14:paraId="45F14B11" w14:textId="77777777" w:rsidR="00AE0A47" w:rsidRPr="00C328EF" w:rsidRDefault="00AE0A47" w:rsidP="00AE0A47">
      <w:pPr>
        <w:jc w:val="both"/>
        <w:rPr>
          <w:rFonts w:cs="Arial"/>
          <w:highlight w:val="yellow"/>
        </w:rPr>
      </w:pPr>
    </w:p>
    <w:p w14:paraId="54D9A16B" w14:textId="5B47EA56" w:rsidR="00AE0A47" w:rsidRPr="00C328EF" w:rsidRDefault="00BA1D4D" w:rsidP="00E44D1E">
      <w:pPr>
        <w:widowControl w:val="0"/>
        <w:autoSpaceDE w:val="0"/>
        <w:autoSpaceDN w:val="0"/>
        <w:jc w:val="both"/>
        <w:rPr>
          <w:rFonts w:cs="Arial"/>
          <w:highlight w:val="yellow"/>
          <w:lang w:val="en-US"/>
        </w:rPr>
      </w:pPr>
      <w:r w:rsidRPr="003663AB">
        <w:t>Edinburgh Trams fully recognises the importance of how their operational business impacts the environment and the</w:t>
      </w:r>
      <w:r w:rsidRPr="003663AB">
        <w:rPr>
          <w:spacing w:val="-10"/>
        </w:rPr>
        <w:t xml:space="preserve"> </w:t>
      </w:r>
      <w:r w:rsidRPr="003663AB">
        <w:t>responsibilities</w:t>
      </w:r>
      <w:r w:rsidRPr="003663AB">
        <w:rPr>
          <w:spacing w:val="-10"/>
        </w:rPr>
        <w:t xml:space="preserve"> </w:t>
      </w:r>
      <w:r w:rsidRPr="003663AB">
        <w:t>that</w:t>
      </w:r>
      <w:r w:rsidRPr="003663AB">
        <w:rPr>
          <w:spacing w:val="-9"/>
        </w:rPr>
        <w:t xml:space="preserve"> </w:t>
      </w:r>
      <w:r w:rsidRPr="003663AB">
        <w:t>go</w:t>
      </w:r>
      <w:r w:rsidRPr="003663AB">
        <w:rPr>
          <w:spacing w:val="-9"/>
        </w:rPr>
        <w:t xml:space="preserve"> </w:t>
      </w:r>
      <w:r w:rsidRPr="003663AB">
        <w:t>with</w:t>
      </w:r>
      <w:r w:rsidRPr="003663AB">
        <w:rPr>
          <w:spacing w:val="-9"/>
        </w:rPr>
        <w:t xml:space="preserve"> </w:t>
      </w:r>
      <w:r w:rsidRPr="003663AB">
        <w:t>being</w:t>
      </w:r>
      <w:r w:rsidRPr="003663AB">
        <w:rPr>
          <w:spacing w:val="-9"/>
        </w:rPr>
        <w:t xml:space="preserve"> </w:t>
      </w:r>
      <w:r w:rsidRPr="003663AB">
        <w:t>a</w:t>
      </w:r>
      <w:r w:rsidRPr="003663AB">
        <w:rPr>
          <w:spacing w:val="-11"/>
        </w:rPr>
        <w:t xml:space="preserve"> </w:t>
      </w:r>
      <w:r w:rsidRPr="003663AB">
        <w:t>major</w:t>
      </w:r>
      <w:r w:rsidRPr="003663AB">
        <w:rPr>
          <w:spacing w:val="-10"/>
        </w:rPr>
        <w:t xml:space="preserve"> </w:t>
      </w:r>
      <w:r w:rsidRPr="003663AB">
        <w:t>transport</w:t>
      </w:r>
      <w:r w:rsidRPr="003663AB">
        <w:rPr>
          <w:spacing w:val="-11"/>
        </w:rPr>
        <w:t xml:space="preserve"> </w:t>
      </w:r>
      <w:r w:rsidRPr="003663AB">
        <w:t>operator.</w:t>
      </w:r>
      <w:r w:rsidRPr="003663AB">
        <w:rPr>
          <w:spacing w:val="-8"/>
        </w:rPr>
        <w:t xml:space="preserve"> </w:t>
      </w:r>
      <w:r w:rsidRPr="003663AB">
        <w:t>As</w:t>
      </w:r>
      <w:r w:rsidRPr="003663AB">
        <w:rPr>
          <w:spacing w:val="-10"/>
        </w:rPr>
        <w:t xml:space="preserve"> </w:t>
      </w:r>
      <w:r w:rsidRPr="003663AB">
        <w:t>members</w:t>
      </w:r>
      <w:r w:rsidRPr="003663AB">
        <w:rPr>
          <w:spacing w:val="-9"/>
        </w:rPr>
        <w:t xml:space="preserve"> </w:t>
      </w:r>
      <w:r w:rsidRPr="003663AB">
        <w:t>of</w:t>
      </w:r>
      <w:r w:rsidRPr="003663AB">
        <w:rPr>
          <w:spacing w:val="-9"/>
        </w:rPr>
        <w:t xml:space="preserve"> </w:t>
      </w:r>
      <w:r w:rsidRPr="003663AB">
        <w:t>the</w:t>
      </w:r>
      <w:r w:rsidRPr="003663AB">
        <w:rPr>
          <w:spacing w:val="-11"/>
        </w:rPr>
        <w:t xml:space="preserve"> </w:t>
      </w:r>
      <w:r w:rsidRPr="003663AB">
        <w:t>Edinburgh</w:t>
      </w:r>
      <w:r w:rsidRPr="003663AB">
        <w:rPr>
          <w:spacing w:val="-10"/>
        </w:rPr>
        <w:t xml:space="preserve"> </w:t>
      </w:r>
      <w:r w:rsidRPr="003663AB">
        <w:t>Climate</w:t>
      </w:r>
      <w:r w:rsidRPr="003663AB">
        <w:rPr>
          <w:spacing w:val="-9"/>
        </w:rPr>
        <w:t xml:space="preserve"> </w:t>
      </w:r>
      <w:r w:rsidRPr="003663AB">
        <w:t xml:space="preserve">Compact, they continue to implement emission reduction measures. </w:t>
      </w:r>
      <w:r w:rsidR="003663AB" w:rsidRPr="003663AB">
        <w:t>Good</w:t>
      </w:r>
      <w:r w:rsidRPr="003663AB">
        <w:t xml:space="preserve"> progress has been made with</w:t>
      </w:r>
      <w:r w:rsidRPr="003663AB">
        <w:rPr>
          <w:spacing w:val="-4"/>
        </w:rPr>
        <w:t xml:space="preserve"> </w:t>
      </w:r>
      <w:r w:rsidRPr="003663AB">
        <w:t>both own and</w:t>
      </w:r>
      <w:r w:rsidRPr="003663AB">
        <w:rPr>
          <w:spacing w:val="-2"/>
        </w:rPr>
        <w:t xml:space="preserve"> </w:t>
      </w:r>
      <w:r w:rsidRPr="003663AB">
        <w:t>Maintainer environmental</w:t>
      </w:r>
      <w:r w:rsidRPr="003663AB">
        <w:rPr>
          <w:spacing w:val="-3"/>
        </w:rPr>
        <w:t xml:space="preserve"> </w:t>
      </w:r>
      <w:r w:rsidRPr="003663AB">
        <w:t>objectives in</w:t>
      </w:r>
      <w:r w:rsidRPr="003663AB">
        <w:rPr>
          <w:spacing w:val="-2"/>
        </w:rPr>
        <w:t xml:space="preserve"> </w:t>
      </w:r>
      <w:r w:rsidRPr="003663AB">
        <w:t>202</w:t>
      </w:r>
      <w:r w:rsidR="003663AB" w:rsidRPr="003663AB">
        <w:t>4</w:t>
      </w:r>
      <w:r w:rsidRPr="003663AB">
        <w:t>,</w:t>
      </w:r>
      <w:r w:rsidRPr="003663AB">
        <w:rPr>
          <w:spacing w:val="-1"/>
        </w:rPr>
        <w:t xml:space="preserve"> </w:t>
      </w:r>
      <w:r w:rsidRPr="003663AB">
        <w:t xml:space="preserve">which have been designed to reduce Greenhouse Gas (GHG) emissions and overall impact on the </w:t>
      </w:r>
      <w:r w:rsidRPr="003663AB">
        <w:rPr>
          <w:spacing w:val="-2"/>
        </w:rPr>
        <w:t>environment</w:t>
      </w:r>
      <w:r w:rsidR="00095062" w:rsidRPr="003663AB">
        <w:rPr>
          <w:spacing w:val="-2"/>
        </w:rPr>
        <w:t>.</w:t>
      </w:r>
      <w:r w:rsidRPr="003663AB">
        <w:t xml:space="preserve"> Zero non-conformities were raised against ISO 14001 certified Environmental Management System by BSI, </w:t>
      </w:r>
      <w:r w:rsidR="00C62D7C">
        <w:t>the</w:t>
      </w:r>
      <w:r w:rsidRPr="003663AB">
        <w:t xml:space="preserve"> external auditor, with all internally raised audit actions being fully closed out on the Master Action Tracker. All</w:t>
      </w:r>
      <w:r w:rsidRPr="003663AB">
        <w:rPr>
          <w:spacing w:val="-2"/>
        </w:rPr>
        <w:t xml:space="preserve"> </w:t>
      </w:r>
      <w:r w:rsidRPr="003663AB">
        <w:t>environmental reports were</w:t>
      </w:r>
      <w:r w:rsidRPr="003663AB">
        <w:rPr>
          <w:spacing w:val="-1"/>
        </w:rPr>
        <w:t xml:space="preserve"> </w:t>
      </w:r>
      <w:r w:rsidRPr="003663AB">
        <w:t>also</w:t>
      </w:r>
      <w:r w:rsidRPr="003663AB">
        <w:rPr>
          <w:spacing w:val="-1"/>
        </w:rPr>
        <w:t xml:space="preserve"> </w:t>
      </w:r>
      <w:r w:rsidRPr="003663AB">
        <w:t>appropriately actioned in 202</w:t>
      </w:r>
      <w:r w:rsidR="003663AB" w:rsidRPr="003663AB">
        <w:t xml:space="preserve">4 with an overall reduction </w:t>
      </w:r>
      <w:r w:rsidRPr="003663AB">
        <w:t xml:space="preserve">in noise </w:t>
      </w:r>
      <w:r w:rsidR="003663AB" w:rsidRPr="003663AB">
        <w:t>complaints received from residents against 2023</w:t>
      </w:r>
      <w:r w:rsidRPr="003663AB">
        <w:t>.</w:t>
      </w:r>
      <w:r w:rsidR="003663AB" w:rsidRPr="003663AB">
        <w:t xml:space="preserve"> Edinburgh Trams have introduced the UN Sustainable Development Goals ahead of new objectives being rolled out in 2025.</w:t>
      </w:r>
    </w:p>
    <w:p w14:paraId="3C126255" w14:textId="77777777" w:rsidR="00AE0A47" w:rsidRPr="00C328EF" w:rsidRDefault="00AE0A47" w:rsidP="00642EE8">
      <w:pPr>
        <w:jc w:val="both"/>
        <w:rPr>
          <w:rFonts w:cs="Arial"/>
          <w:highlight w:val="yellow"/>
        </w:rPr>
      </w:pPr>
    </w:p>
    <w:p w14:paraId="28533644" w14:textId="77777777" w:rsidR="00EC1642" w:rsidRPr="00E270A2" w:rsidRDefault="00EC1642" w:rsidP="00EC1642">
      <w:pPr>
        <w:jc w:val="both"/>
        <w:rPr>
          <w:rFonts w:cs="Arial"/>
          <w:b/>
        </w:rPr>
      </w:pPr>
      <w:r w:rsidRPr="00E270A2">
        <w:rPr>
          <w:rFonts w:cs="Arial"/>
          <w:b/>
        </w:rPr>
        <w:t>Climate Change and Task Force on Climate-related Financial Disclosures</w:t>
      </w:r>
    </w:p>
    <w:p w14:paraId="1B558AF3" w14:textId="77777777" w:rsidR="00EC1642" w:rsidRPr="00E270A2" w:rsidRDefault="00EC1642" w:rsidP="00EC1642">
      <w:pPr>
        <w:jc w:val="both"/>
        <w:rPr>
          <w:rFonts w:cs="Arial"/>
          <w:b/>
        </w:rPr>
      </w:pPr>
    </w:p>
    <w:p w14:paraId="3BC04141" w14:textId="77777777" w:rsidR="00EC1642" w:rsidRPr="00E270A2" w:rsidRDefault="00EC1642" w:rsidP="00EC1642">
      <w:pPr>
        <w:jc w:val="both"/>
        <w:rPr>
          <w:rFonts w:cs="Arial"/>
          <w:bCs/>
        </w:rPr>
      </w:pPr>
      <w:r w:rsidRPr="00E270A2">
        <w:rPr>
          <w:rFonts w:cs="Arial"/>
          <w:bCs/>
        </w:rPr>
        <w:t xml:space="preserve">As the group operates efficient passenger transport in the Lothian </w:t>
      </w:r>
      <w:r w:rsidR="00F006A4" w:rsidRPr="00E270A2">
        <w:rPr>
          <w:rFonts w:cs="Arial"/>
          <w:bCs/>
        </w:rPr>
        <w:t>R</w:t>
      </w:r>
      <w:r w:rsidRPr="00E270A2">
        <w:rPr>
          <w:rFonts w:cs="Arial"/>
          <w:bCs/>
        </w:rPr>
        <w:t>egion</w:t>
      </w:r>
      <w:r w:rsidR="00E0748B">
        <w:rPr>
          <w:rFonts w:cs="Arial"/>
          <w:bCs/>
        </w:rPr>
        <w:t>,</w:t>
      </w:r>
      <w:r w:rsidRPr="00E270A2">
        <w:rPr>
          <w:rFonts w:cs="Arial"/>
          <w:bCs/>
        </w:rPr>
        <w:t xml:space="preserve"> we recognise that we have an equally important role in playing our part in tackling climate change. Climate change is a significant crisis facing the global community and one we will need to continue to confront head-on. We should not underestimate the challenges that a more extreme climate will have on our lives, the economy</w:t>
      </w:r>
      <w:r w:rsidR="00332A5B" w:rsidRPr="00E270A2">
        <w:rPr>
          <w:rFonts w:cs="Arial"/>
          <w:bCs/>
        </w:rPr>
        <w:t>,</w:t>
      </w:r>
      <w:r w:rsidRPr="00E270A2">
        <w:rPr>
          <w:rFonts w:cs="Arial"/>
          <w:bCs/>
        </w:rPr>
        <w:t xml:space="preserve"> and our environment.</w:t>
      </w:r>
    </w:p>
    <w:p w14:paraId="59941E33" w14:textId="77777777" w:rsidR="00EC1642" w:rsidRPr="00E270A2" w:rsidRDefault="00EC1642" w:rsidP="00EC1642">
      <w:pPr>
        <w:jc w:val="both"/>
        <w:rPr>
          <w:rFonts w:cs="Arial"/>
          <w:bCs/>
          <w:sz w:val="12"/>
          <w:szCs w:val="12"/>
        </w:rPr>
      </w:pPr>
    </w:p>
    <w:p w14:paraId="22575E39" w14:textId="77777777" w:rsidR="00A95444" w:rsidRPr="00E270A2" w:rsidRDefault="00EC1642" w:rsidP="00A95444">
      <w:pPr>
        <w:jc w:val="both"/>
        <w:rPr>
          <w:rFonts w:cs="Arial"/>
          <w:bCs/>
        </w:rPr>
      </w:pPr>
      <w:r w:rsidRPr="00E270A2">
        <w:rPr>
          <w:rFonts w:cs="Arial"/>
          <w:bCs/>
        </w:rPr>
        <w:t xml:space="preserve">The group recognises the recommendations of the Financial Stability Board’s (FSB) Task Force on Climate-related Financial Disclosures (TCFD) as one of the most effective frameworks for organisations to analyse, understand and ultimately disclose climate-related financial information against. The TCFD’s recommendations set out how organisations across sectors and geographies can assess and disclose their Governance, Strategy, Risk Management, Metrics and Targets related to climate change. The TCFD’s aim is for these disclosures to promote the management of climate-related financial risk and opportunities across the economy and financial system. While the TCFD recommendations were designed for the private sector with the aim of providing markets with clear, comprehensive, high-quality climate-related information for decision-making, the public sector similarly requires climate-related information for decision-making and accountability to annual report users. The </w:t>
      </w:r>
      <w:r w:rsidR="007318EF" w:rsidRPr="00E270A2">
        <w:rPr>
          <w:rFonts w:cs="Arial"/>
          <w:bCs/>
        </w:rPr>
        <w:t>T</w:t>
      </w:r>
      <w:r w:rsidRPr="00E270A2">
        <w:rPr>
          <w:rFonts w:cs="Arial"/>
          <w:bCs/>
        </w:rPr>
        <w:t xml:space="preserve">CFD principles are being adopted more broadly across different sectors and by international standard setters. The TCFD’s recommendations are for more effective climate-related disclosures to promote more informed decisions and in turn enable stakeholders to understand better the concentrations of carbon-related assets and exposures to climate-related risks and how companies are transitioning to a lower carbon economy. </w:t>
      </w:r>
    </w:p>
    <w:p w14:paraId="0CC6866E" w14:textId="77777777" w:rsidR="00A95444" w:rsidRPr="00E270A2" w:rsidRDefault="00A95444" w:rsidP="00A95444">
      <w:pPr>
        <w:jc w:val="both"/>
        <w:rPr>
          <w:rFonts w:cs="Arial"/>
          <w:bCs/>
        </w:rPr>
      </w:pPr>
    </w:p>
    <w:p w14:paraId="371FD5A5" w14:textId="77777777" w:rsidR="00445308" w:rsidRPr="00E270A2" w:rsidRDefault="00A95444" w:rsidP="00EC1642">
      <w:pPr>
        <w:jc w:val="both"/>
        <w:rPr>
          <w:rFonts w:cs="Arial"/>
          <w:bCs/>
        </w:rPr>
      </w:pPr>
      <w:r w:rsidRPr="00E270A2">
        <w:rPr>
          <w:rFonts w:cs="Arial"/>
          <w:bCs/>
        </w:rPr>
        <w:t>With climate-related risks and opportunities being relevant for organisations across all sectors</w:t>
      </w:r>
      <w:r w:rsidR="005B278E" w:rsidRPr="00E270A2">
        <w:rPr>
          <w:rFonts w:cs="Arial"/>
          <w:bCs/>
        </w:rPr>
        <w:t>,</w:t>
      </w:r>
      <w:r w:rsidRPr="00E270A2">
        <w:rPr>
          <w:rFonts w:cs="Arial"/>
          <w:bCs/>
        </w:rPr>
        <w:t xml:space="preserve"> TCFD encourages all organisations to implement the recommendations. The UK government formally endorsed the TCFD framework and has mandated TCFD-aligned disclosure for large entities in the UK private sector. Climate-related risk is a non-diversifiable risk that affects nearly all industries and sectors.</w:t>
      </w:r>
    </w:p>
    <w:p w14:paraId="5B53F0CF" w14:textId="77777777" w:rsidR="00EC1642" w:rsidRPr="00820267" w:rsidRDefault="00445308" w:rsidP="00445308">
      <w:pPr>
        <w:jc w:val="center"/>
        <w:rPr>
          <w:b/>
        </w:rPr>
      </w:pPr>
      <w:r w:rsidRPr="00C328EF">
        <w:rPr>
          <w:rFonts w:cs="Arial"/>
          <w:bCs/>
          <w:highlight w:val="yellow"/>
        </w:rPr>
        <w:br w:type="page"/>
      </w:r>
      <w:r w:rsidR="00EC1642" w:rsidRPr="00820267">
        <w:rPr>
          <w:b/>
        </w:rPr>
        <w:lastRenderedPageBreak/>
        <w:t>TRANSPORT FOR EDINBURGH LIMITED</w:t>
      </w:r>
    </w:p>
    <w:p w14:paraId="3E4A152F" w14:textId="77777777" w:rsidR="00EC1642" w:rsidRPr="00820267" w:rsidRDefault="00EC1642" w:rsidP="00EC1642">
      <w:pPr>
        <w:rPr>
          <w:b/>
        </w:rPr>
      </w:pPr>
    </w:p>
    <w:p w14:paraId="3B1B79B3" w14:textId="77777777" w:rsidR="00EC1642" w:rsidRPr="00820267" w:rsidRDefault="00EC1642" w:rsidP="00EC1642">
      <w:pPr>
        <w:jc w:val="center"/>
        <w:rPr>
          <w:b/>
        </w:rPr>
      </w:pPr>
      <w:r w:rsidRPr="00820267">
        <w:rPr>
          <w:b/>
        </w:rPr>
        <w:t>Strategic Report (continued)</w:t>
      </w:r>
    </w:p>
    <w:p w14:paraId="2818A8C3" w14:textId="77777777" w:rsidR="00EC1642" w:rsidRPr="00820267" w:rsidRDefault="00EC1642" w:rsidP="00EC1642">
      <w:pPr>
        <w:jc w:val="center"/>
        <w:rPr>
          <w:b/>
        </w:rPr>
      </w:pPr>
    </w:p>
    <w:p w14:paraId="550F076C" w14:textId="77777777" w:rsidR="00EC1642" w:rsidRPr="00820267" w:rsidRDefault="00D90B89" w:rsidP="00EC1642">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3C9C981F" w14:textId="77777777" w:rsidR="00EC1642" w:rsidRPr="00777BAD" w:rsidRDefault="00EC1642" w:rsidP="00EC1642">
      <w:pPr>
        <w:jc w:val="both"/>
        <w:outlineLvl w:val="0"/>
        <w:rPr>
          <w:rFonts w:cs="Arial"/>
          <w:b/>
        </w:rPr>
      </w:pPr>
    </w:p>
    <w:p w14:paraId="5E84A797" w14:textId="77777777" w:rsidR="00EC1642" w:rsidRPr="00777BAD" w:rsidRDefault="00EC1642" w:rsidP="00EC1642">
      <w:pPr>
        <w:jc w:val="both"/>
        <w:rPr>
          <w:rFonts w:cs="Arial"/>
          <w:b/>
        </w:rPr>
      </w:pPr>
      <w:r w:rsidRPr="00777BAD">
        <w:rPr>
          <w:rFonts w:cs="Arial"/>
          <w:b/>
        </w:rPr>
        <w:t>Climate Change and Task Force on Climate-related Financial Disclosures (continued)</w:t>
      </w:r>
    </w:p>
    <w:p w14:paraId="221E2CE4" w14:textId="77777777" w:rsidR="00EC1642" w:rsidRPr="00777BAD" w:rsidRDefault="00EC1642" w:rsidP="00EC1642">
      <w:pPr>
        <w:jc w:val="both"/>
        <w:rPr>
          <w:rFonts w:cs="Arial"/>
          <w:bCs/>
          <w:sz w:val="12"/>
          <w:szCs w:val="12"/>
        </w:rPr>
      </w:pPr>
    </w:p>
    <w:p w14:paraId="7AACE2EB" w14:textId="77777777" w:rsidR="00EC1642" w:rsidRPr="00777BAD" w:rsidRDefault="00EC1642" w:rsidP="00EC1642">
      <w:pPr>
        <w:jc w:val="both"/>
        <w:rPr>
          <w:rFonts w:cs="Arial"/>
          <w:bCs/>
        </w:rPr>
      </w:pPr>
      <w:r w:rsidRPr="00777BAD">
        <w:rPr>
          <w:rFonts w:cs="Arial"/>
          <w:bCs/>
        </w:rPr>
        <w:t>The TCFD published their recommendations which proposed the following:</w:t>
      </w:r>
    </w:p>
    <w:p w14:paraId="558A4522" w14:textId="77777777" w:rsidR="00EC1642" w:rsidRPr="00777BAD" w:rsidRDefault="00EC1642" w:rsidP="00A5227C">
      <w:pPr>
        <w:numPr>
          <w:ilvl w:val="0"/>
          <w:numId w:val="32"/>
        </w:numPr>
        <w:ind w:left="530"/>
        <w:jc w:val="both"/>
        <w:rPr>
          <w:rFonts w:cs="Arial"/>
          <w:bCs/>
        </w:rPr>
      </w:pPr>
      <w:r w:rsidRPr="00777BAD">
        <w:rPr>
          <w:rFonts w:cs="Arial"/>
          <w:bCs/>
        </w:rPr>
        <w:t>Four widely adoptable recommendations across four thematic areas (Governance, Strategy, Risk Management and Metrics &amp; Targets);</w:t>
      </w:r>
    </w:p>
    <w:p w14:paraId="348B1B9E" w14:textId="77777777" w:rsidR="00EC1642" w:rsidRPr="00777BAD" w:rsidRDefault="00EC1642" w:rsidP="00A5227C">
      <w:pPr>
        <w:numPr>
          <w:ilvl w:val="0"/>
          <w:numId w:val="32"/>
        </w:numPr>
        <w:ind w:left="530"/>
        <w:jc w:val="both"/>
        <w:rPr>
          <w:rFonts w:cs="Arial"/>
          <w:bCs/>
        </w:rPr>
      </w:pPr>
      <w:r w:rsidRPr="00777BAD">
        <w:rPr>
          <w:rFonts w:cs="Arial"/>
          <w:bCs/>
        </w:rPr>
        <w:t xml:space="preserve">Eleven recommended disclosures structured around the thematic areas representing the core elements of the organisations operations with the disclosures intended to interlink and inform each other; </w:t>
      </w:r>
    </w:p>
    <w:p w14:paraId="57AF5650" w14:textId="77777777" w:rsidR="00EC1642" w:rsidRPr="00777BAD" w:rsidRDefault="00EC1642" w:rsidP="00A5227C">
      <w:pPr>
        <w:numPr>
          <w:ilvl w:val="0"/>
          <w:numId w:val="32"/>
        </w:numPr>
        <w:ind w:left="530"/>
        <w:jc w:val="both"/>
        <w:rPr>
          <w:rFonts w:cs="Arial"/>
          <w:bCs/>
        </w:rPr>
      </w:pPr>
      <w:r w:rsidRPr="00777BAD">
        <w:rPr>
          <w:rFonts w:cs="Arial"/>
          <w:bCs/>
        </w:rPr>
        <w:t>General and sector-specific guidance for applying the framework;</w:t>
      </w:r>
    </w:p>
    <w:p w14:paraId="7C8F13B3" w14:textId="77777777" w:rsidR="00EC1642" w:rsidRPr="00777BAD" w:rsidRDefault="00EC1642" w:rsidP="00FC284E">
      <w:pPr>
        <w:numPr>
          <w:ilvl w:val="0"/>
          <w:numId w:val="32"/>
        </w:numPr>
        <w:ind w:left="546" w:hanging="378"/>
        <w:jc w:val="both"/>
        <w:rPr>
          <w:rFonts w:cs="Arial"/>
        </w:rPr>
      </w:pPr>
      <w:r w:rsidRPr="00777BAD">
        <w:rPr>
          <w:rFonts w:cs="Arial"/>
          <w:bCs/>
        </w:rPr>
        <w:t>Seven key principles for effective disclosure (relevant; specific and complete; clear, balanced and understandable; consistent over time; comparable across the sector, industry or portfolio; reliable, verifiable and objective; and timely).</w:t>
      </w:r>
    </w:p>
    <w:p w14:paraId="17F3B5A9" w14:textId="77777777" w:rsidR="00EC1642" w:rsidRPr="00777BAD" w:rsidRDefault="00EC1642" w:rsidP="00EC1642">
      <w:pPr>
        <w:jc w:val="both"/>
        <w:rPr>
          <w:rFonts w:cs="Arial"/>
          <w:bCs/>
          <w:sz w:val="12"/>
          <w:szCs w:val="12"/>
        </w:rPr>
      </w:pPr>
    </w:p>
    <w:p w14:paraId="7B8CE324" w14:textId="77777777" w:rsidR="00EC1642" w:rsidRPr="00777BAD" w:rsidRDefault="00EC1642" w:rsidP="00445308">
      <w:pPr>
        <w:jc w:val="both"/>
        <w:rPr>
          <w:rFonts w:cs="Arial"/>
          <w:b/>
        </w:rPr>
      </w:pPr>
      <w:r w:rsidRPr="00777BAD">
        <w:rPr>
          <w:rFonts w:cs="Arial"/>
          <w:b/>
        </w:rPr>
        <w:t>Scope</w:t>
      </w:r>
    </w:p>
    <w:p w14:paraId="66F2D89B" w14:textId="77777777" w:rsidR="00EC1642" w:rsidRPr="00777BAD" w:rsidRDefault="00EC1642" w:rsidP="00445308">
      <w:pPr>
        <w:jc w:val="both"/>
        <w:rPr>
          <w:rFonts w:cs="Arial"/>
          <w:bCs/>
          <w:sz w:val="8"/>
          <w:szCs w:val="8"/>
        </w:rPr>
      </w:pPr>
    </w:p>
    <w:p w14:paraId="0D6CAE51" w14:textId="77777777" w:rsidR="00EC1642" w:rsidRPr="00777BAD" w:rsidRDefault="00EC1642" w:rsidP="00445308">
      <w:pPr>
        <w:jc w:val="both"/>
        <w:rPr>
          <w:rFonts w:cs="Arial"/>
          <w:bCs/>
        </w:rPr>
      </w:pPr>
      <w:r w:rsidRPr="00777BAD">
        <w:rPr>
          <w:rFonts w:cs="Arial"/>
          <w:bCs/>
        </w:rPr>
        <w:t>The group is following the scope and guidance of central government where Arms-Length Bodies are required to follow the guidance where they have:</w:t>
      </w:r>
    </w:p>
    <w:p w14:paraId="1D682482" w14:textId="77777777" w:rsidR="00EC1642" w:rsidRPr="00777BAD" w:rsidRDefault="00EC1642" w:rsidP="00A5227C">
      <w:pPr>
        <w:numPr>
          <w:ilvl w:val="0"/>
          <w:numId w:val="33"/>
        </w:numPr>
        <w:ind w:left="530"/>
        <w:jc w:val="both"/>
        <w:rPr>
          <w:rFonts w:cs="Arial"/>
          <w:bCs/>
        </w:rPr>
      </w:pPr>
      <w:r w:rsidRPr="00777BAD">
        <w:rPr>
          <w:rFonts w:cs="Arial"/>
          <w:bCs/>
        </w:rPr>
        <w:t>More than 500 employees; or</w:t>
      </w:r>
    </w:p>
    <w:p w14:paraId="3F4D42DA" w14:textId="77777777" w:rsidR="00EC1642" w:rsidRPr="00777BAD" w:rsidRDefault="00EC1642" w:rsidP="00A5227C">
      <w:pPr>
        <w:numPr>
          <w:ilvl w:val="0"/>
          <w:numId w:val="33"/>
        </w:numPr>
        <w:ind w:left="530"/>
        <w:jc w:val="both"/>
        <w:rPr>
          <w:rFonts w:cs="Arial"/>
          <w:bCs/>
        </w:rPr>
      </w:pPr>
      <w:r w:rsidRPr="00777BAD">
        <w:rPr>
          <w:rFonts w:cs="Arial"/>
          <w:bCs/>
        </w:rPr>
        <w:t>Total operating income exceeding £500m; or</w:t>
      </w:r>
    </w:p>
    <w:p w14:paraId="120A84CF" w14:textId="77777777" w:rsidR="00EC1642" w:rsidRPr="00777BAD" w:rsidRDefault="00EC1642" w:rsidP="00A5227C">
      <w:pPr>
        <w:numPr>
          <w:ilvl w:val="0"/>
          <w:numId w:val="33"/>
        </w:numPr>
        <w:ind w:left="530"/>
        <w:jc w:val="both"/>
        <w:rPr>
          <w:rFonts w:cs="Arial"/>
          <w:bCs/>
        </w:rPr>
      </w:pPr>
      <w:r w:rsidRPr="00777BAD">
        <w:rPr>
          <w:rFonts w:cs="Arial"/>
          <w:bCs/>
        </w:rPr>
        <w:t>Been instructed to.</w:t>
      </w:r>
    </w:p>
    <w:p w14:paraId="3895A3FC" w14:textId="77777777" w:rsidR="00EC1642" w:rsidRPr="00C328EF" w:rsidRDefault="00EC1642" w:rsidP="00445308">
      <w:pPr>
        <w:jc w:val="both"/>
        <w:rPr>
          <w:rFonts w:cs="Arial"/>
          <w:bCs/>
          <w:highlight w:val="yellow"/>
        </w:rPr>
      </w:pPr>
      <w:r w:rsidRPr="00777BAD">
        <w:rPr>
          <w:rFonts w:cs="Arial"/>
          <w:bCs/>
        </w:rPr>
        <w:t xml:space="preserve">The group brings itself into scope under the first point above having approximately </w:t>
      </w:r>
      <w:r w:rsidR="00777BAD">
        <w:rPr>
          <w:rFonts w:cs="Arial"/>
          <w:bCs/>
        </w:rPr>
        <w:t>3</w:t>
      </w:r>
      <w:r w:rsidRPr="00777BAD">
        <w:rPr>
          <w:rFonts w:cs="Arial"/>
          <w:bCs/>
        </w:rPr>
        <w:t>,</w:t>
      </w:r>
      <w:r w:rsidR="00777BAD">
        <w:rPr>
          <w:rFonts w:cs="Arial"/>
          <w:bCs/>
        </w:rPr>
        <w:t>0</w:t>
      </w:r>
      <w:r w:rsidRPr="00777BAD">
        <w:rPr>
          <w:rFonts w:cs="Arial"/>
          <w:bCs/>
        </w:rPr>
        <w:t>00 employees (note 7).</w:t>
      </w:r>
    </w:p>
    <w:p w14:paraId="5FC0C985" w14:textId="77777777" w:rsidR="00EC1642" w:rsidRPr="00C328EF" w:rsidRDefault="00EC1642" w:rsidP="00445308">
      <w:pPr>
        <w:jc w:val="both"/>
        <w:rPr>
          <w:rFonts w:cs="Arial"/>
          <w:bCs/>
          <w:sz w:val="8"/>
          <w:szCs w:val="8"/>
          <w:highlight w:val="yellow"/>
        </w:rPr>
      </w:pPr>
    </w:p>
    <w:p w14:paraId="01FFDE65" w14:textId="77777777" w:rsidR="00EC1642" w:rsidRPr="00777BAD" w:rsidRDefault="00EC1642" w:rsidP="00445308">
      <w:pPr>
        <w:jc w:val="both"/>
        <w:rPr>
          <w:rFonts w:cs="Arial"/>
          <w:b/>
        </w:rPr>
      </w:pPr>
      <w:r w:rsidRPr="00777BAD">
        <w:rPr>
          <w:rFonts w:cs="Arial"/>
          <w:b/>
        </w:rPr>
        <w:t>Implementation approach</w:t>
      </w:r>
    </w:p>
    <w:p w14:paraId="50036B75" w14:textId="77777777" w:rsidR="00EC1642" w:rsidRPr="00777BAD" w:rsidRDefault="00EC1642" w:rsidP="00445308">
      <w:pPr>
        <w:jc w:val="both"/>
        <w:rPr>
          <w:rFonts w:cs="Arial"/>
          <w:b/>
          <w:sz w:val="8"/>
          <w:szCs w:val="8"/>
        </w:rPr>
      </w:pPr>
    </w:p>
    <w:p w14:paraId="2E3E4C23" w14:textId="77777777" w:rsidR="00EC1642" w:rsidRPr="00777BAD" w:rsidRDefault="00EC1642" w:rsidP="00445308">
      <w:pPr>
        <w:jc w:val="both"/>
        <w:rPr>
          <w:rFonts w:cs="Arial"/>
          <w:bCs/>
        </w:rPr>
      </w:pPr>
      <w:r w:rsidRPr="00777BAD">
        <w:rPr>
          <w:rFonts w:cs="Arial"/>
          <w:bCs/>
        </w:rPr>
        <w:t>Following this guidance the group will adopt a phased approach, as follows:</w:t>
      </w:r>
    </w:p>
    <w:p w14:paraId="26FBA306" w14:textId="77777777" w:rsidR="00EC1642" w:rsidRPr="00777BAD" w:rsidRDefault="00EC1642" w:rsidP="00445308">
      <w:pPr>
        <w:jc w:val="both"/>
        <w:rPr>
          <w:rFonts w:cs="Arial"/>
          <w:bCs/>
          <w:sz w:val="8"/>
          <w:szCs w:val="8"/>
        </w:rPr>
      </w:pPr>
    </w:p>
    <w:p w14:paraId="1EA9DB86" w14:textId="77777777" w:rsidR="00EC1642" w:rsidRPr="00777BAD" w:rsidRDefault="00EC1642" w:rsidP="00445308">
      <w:pPr>
        <w:jc w:val="both"/>
        <w:rPr>
          <w:rFonts w:cs="Arial"/>
          <w:b/>
        </w:rPr>
      </w:pPr>
      <w:r w:rsidRPr="00777BAD">
        <w:rPr>
          <w:rFonts w:cs="Arial"/>
          <w:b/>
        </w:rPr>
        <w:t>Phase 1 – Governance focus</w:t>
      </w:r>
    </w:p>
    <w:p w14:paraId="75575BF3" w14:textId="77777777" w:rsidR="00EC1642" w:rsidRPr="00777BAD" w:rsidRDefault="00EC1642" w:rsidP="00A5227C">
      <w:pPr>
        <w:numPr>
          <w:ilvl w:val="0"/>
          <w:numId w:val="34"/>
        </w:numPr>
        <w:ind w:left="530"/>
        <w:jc w:val="both"/>
        <w:rPr>
          <w:rFonts w:cs="Arial"/>
          <w:bCs/>
        </w:rPr>
      </w:pPr>
      <w:r w:rsidRPr="00777BAD">
        <w:rPr>
          <w:rFonts w:cs="Arial"/>
          <w:bCs/>
        </w:rPr>
        <w:t>General principles including scoping;</w:t>
      </w:r>
    </w:p>
    <w:p w14:paraId="336F62ED" w14:textId="77777777" w:rsidR="00EC1642" w:rsidRPr="00777BAD" w:rsidRDefault="00EC1642" w:rsidP="00A5227C">
      <w:pPr>
        <w:numPr>
          <w:ilvl w:val="0"/>
          <w:numId w:val="34"/>
        </w:numPr>
        <w:ind w:left="530"/>
        <w:jc w:val="both"/>
        <w:rPr>
          <w:rFonts w:cs="Arial"/>
          <w:bCs/>
        </w:rPr>
      </w:pPr>
      <w:r w:rsidRPr="00777BAD">
        <w:rPr>
          <w:rFonts w:cs="Arial"/>
          <w:bCs/>
        </w:rPr>
        <w:t>Governance recommendation and recommended disclosures (a) and (b);</w:t>
      </w:r>
    </w:p>
    <w:p w14:paraId="5332FC6E" w14:textId="77777777" w:rsidR="00EC1642" w:rsidRPr="00777BAD" w:rsidRDefault="00EC1642" w:rsidP="00A5227C">
      <w:pPr>
        <w:numPr>
          <w:ilvl w:val="0"/>
          <w:numId w:val="34"/>
        </w:numPr>
        <w:ind w:left="530"/>
        <w:jc w:val="both"/>
        <w:rPr>
          <w:rFonts w:cs="Arial"/>
          <w:bCs/>
        </w:rPr>
      </w:pPr>
      <w:r w:rsidRPr="00777BAD">
        <w:rPr>
          <w:rFonts w:cs="Arial"/>
          <w:bCs/>
        </w:rPr>
        <w:t>Metrics and Targets recommended disclosure (b) - where data is available; and</w:t>
      </w:r>
    </w:p>
    <w:p w14:paraId="660AFC19" w14:textId="77777777" w:rsidR="00EC1642" w:rsidRPr="00777BAD" w:rsidRDefault="00EC1642" w:rsidP="00A5227C">
      <w:pPr>
        <w:numPr>
          <w:ilvl w:val="0"/>
          <w:numId w:val="34"/>
        </w:numPr>
        <w:ind w:left="530"/>
        <w:jc w:val="both"/>
        <w:rPr>
          <w:rFonts w:cs="Arial"/>
          <w:bCs/>
        </w:rPr>
      </w:pPr>
      <w:r w:rsidRPr="00777BAD">
        <w:rPr>
          <w:rFonts w:cs="Arial"/>
          <w:bCs/>
        </w:rPr>
        <w:t>TCFD Compliance Statement requirements.</w:t>
      </w:r>
    </w:p>
    <w:p w14:paraId="4E7639C0" w14:textId="77777777" w:rsidR="00EC1642" w:rsidRPr="00777BAD" w:rsidRDefault="00EC1642" w:rsidP="00445308">
      <w:pPr>
        <w:jc w:val="both"/>
        <w:rPr>
          <w:rFonts w:cs="Arial"/>
          <w:b/>
        </w:rPr>
      </w:pPr>
      <w:r w:rsidRPr="00777BAD">
        <w:rPr>
          <w:rFonts w:cs="Arial"/>
          <w:b/>
        </w:rPr>
        <w:t xml:space="preserve">Phase 2 – Risk Management and Metrics &amp; Targets </w:t>
      </w:r>
    </w:p>
    <w:p w14:paraId="28925F75" w14:textId="77777777" w:rsidR="00EC1642" w:rsidRPr="00777BAD" w:rsidRDefault="00EC1642" w:rsidP="00A5227C">
      <w:pPr>
        <w:numPr>
          <w:ilvl w:val="0"/>
          <w:numId w:val="35"/>
        </w:numPr>
        <w:ind w:left="530"/>
        <w:jc w:val="both"/>
        <w:rPr>
          <w:rFonts w:cs="Arial"/>
          <w:bCs/>
        </w:rPr>
      </w:pPr>
      <w:r w:rsidRPr="00777BAD">
        <w:rPr>
          <w:rFonts w:cs="Arial"/>
          <w:bCs/>
        </w:rPr>
        <w:t>Further Metrics and Targets recommendations and recommended disclosures (a) and (c); and</w:t>
      </w:r>
    </w:p>
    <w:p w14:paraId="1264C3C7" w14:textId="77777777" w:rsidR="00EC1642" w:rsidRPr="00777BAD" w:rsidRDefault="00EC1642" w:rsidP="00A5227C">
      <w:pPr>
        <w:numPr>
          <w:ilvl w:val="0"/>
          <w:numId w:val="35"/>
        </w:numPr>
        <w:ind w:left="530"/>
        <w:jc w:val="both"/>
        <w:rPr>
          <w:rFonts w:cs="Arial"/>
          <w:bCs/>
        </w:rPr>
      </w:pPr>
      <w:r w:rsidRPr="00777BAD">
        <w:rPr>
          <w:rFonts w:cs="Arial"/>
          <w:bCs/>
        </w:rPr>
        <w:t>Risk Management recommendations and recommended disclosures (a) to (c).</w:t>
      </w:r>
    </w:p>
    <w:p w14:paraId="3EB76C94" w14:textId="77777777" w:rsidR="00EC1642" w:rsidRPr="00777BAD" w:rsidRDefault="00EC1642" w:rsidP="00445308">
      <w:pPr>
        <w:jc w:val="both"/>
        <w:rPr>
          <w:rFonts w:cs="Arial"/>
          <w:b/>
        </w:rPr>
      </w:pPr>
      <w:r w:rsidRPr="00777BAD">
        <w:rPr>
          <w:rFonts w:cs="Arial"/>
          <w:b/>
        </w:rPr>
        <w:t>Phase 3 - Strategy</w:t>
      </w:r>
    </w:p>
    <w:p w14:paraId="1DCD47F4" w14:textId="77777777" w:rsidR="00EC1642" w:rsidRPr="00777BAD" w:rsidRDefault="00EC1642" w:rsidP="00A5227C">
      <w:pPr>
        <w:numPr>
          <w:ilvl w:val="0"/>
          <w:numId w:val="36"/>
        </w:numPr>
        <w:ind w:left="530"/>
        <w:jc w:val="both"/>
        <w:rPr>
          <w:rFonts w:cs="Arial"/>
          <w:bCs/>
        </w:rPr>
      </w:pPr>
      <w:r w:rsidRPr="00777BAD">
        <w:rPr>
          <w:rFonts w:cs="Arial"/>
          <w:bCs/>
        </w:rPr>
        <w:t>Strategy recommendation and recommended disclosures (a) to (c).</w:t>
      </w:r>
    </w:p>
    <w:p w14:paraId="674E1B7A" w14:textId="77777777" w:rsidR="00EC1642" w:rsidRPr="00777BAD" w:rsidRDefault="00EC1642" w:rsidP="00445308">
      <w:pPr>
        <w:jc w:val="both"/>
        <w:rPr>
          <w:rFonts w:cs="Arial"/>
          <w:b/>
          <w:sz w:val="12"/>
          <w:szCs w:val="12"/>
        </w:rPr>
      </w:pPr>
    </w:p>
    <w:p w14:paraId="3A810E3B" w14:textId="77777777" w:rsidR="00EC1642" w:rsidRPr="00777BAD" w:rsidRDefault="00EC1642" w:rsidP="00445308">
      <w:pPr>
        <w:jc w:val="both"/>
        <w:rPr>
          <w:rFonts w:cs="Arial"/>
          <w:bCs/>
        </w:rPr>
      </w:pPr>
      <w:r w:rsidRPr="00777BAD">
        <w:rPr>
          <w:rFonts w:cs="Arial"/>
          <w:bCs/>
        </w:rPr>
        <w:t>The implementation timetable, focus of each phase and requirements are as follows:</w:t>
      </w:r>
    </w:p>
    <w:p w14:paraId="040BD164" w14:textId="77777777" w:rsidR="00EC1642" w:rsidRPr="00777BAD" w:rsidRDefault="00EC1642" w:rsidP="00445308">
      <w:pPr>
        <w:jc w:val="both"/>
        <w:rPr>
          <w:rFonts w:cs="Arial"/>
          <w:b/>
          <w:sz w:val="8"/>
          <w:szCs w:val="8"/>
        </w:rPr>
      </w:pPr>
    </w:p>
    <w:p w14:paraId="546CA8A4" w14:textId="77777777" w:rsidR="00EC1642" w:rsidRPr="00777BAD" w:rsidRDefault="00EC1642" w:rsidP="00445308">
      <w:pPr>
        <w:jc w:val="both"/>
        <w:rPr>
          <w:rFonts w:cs="Arial"/>
          <w:b/>
        </w:rPr>
      </w:pPr>
      <w:r w:rsidRPr="00777BAD">
        <w:rPr>
          <w:rFonts w:cs="Arial"/>
          <w:b/>
        </w:rPr>
        <w:t>Phase 1 – Governance focus</w:t>
      </w:r>
    </w:p>
    <w:p w14:paraId="678E8812" w14:textId="77777777" w:rsidR="00EC1642" w:rsidRPr="00777BAD" w:rsidRDefault="00EC1642" w:rsidP="00A5227C">
      <w:pPr>
        <w:numPr>
          <w:ilvl w:val="0"/>
          <w:numId w:val="36"/>
        </w:numPr>
        <w:ind w:left="530"/>
        <w:jc w:val="both"/>
        <w:rPr>
          <w:rFonts w:cs="Arial"/>
          <w:bCs/>
        </w:rPr>
      </w:pPr>
      <w:r w:rsidRPr="00777BAD">
        <w:rPr>
          <w:rFonts w:cs="Arial"/>
          <w:bCs/>
        </w:rPr>
        <w:t>Period - covering fiscal year 2023/24</w:t>
      </w:r>
      <w:r w:rsidR="005B278E" w:rsidRPr="00777BAD">
        <w:rPr>
          <w:rFonts w:cs="Arial"/>
          <w:bCs/>
        </w:rPr>
        <w:t>,</w:t>
      </w:r>
      <w:r w:rsidRPr="00777BAD">
        <w:rPr>
          <w:rFonts w:cs="Arial"/>
          <w:bCs/>
        </w:rPr>
        <w:t xml:space="preserve"> </w:t>
      </w:r>
      <w:r w:rsidR="005B278E" w:rsidRPr="00777BAD">
        <w:rPr>
          <w:rFonts w:cs="Arial"/>
          <w:bCs/>
        </w:rPr>
        <w:t>so</w:t>
      </w:r>
      <w:r w:rsidRPr="00777BAD">
        <w:rPr>
          <w:rFonts w:cs="Arial"/>
          <w:bCs/>
        </w:rPr>
        <w:t xml:space="preserve"> specifically </w:t>
      </w:r>
      <w:r w:rsidR="005B278E" w:rsidRPr="00777BAD">
        <w:rPr>
          <w:rFonts w:cs="Arial"/>
          <w:bCs/>
        </w:rPr>
        <w:t xml:space="preserve">TfE </w:t>
      </w:r>
      <w:r w:rsidRPr="00777BAD">
        <w:rPr>
          <w:rFonts w:cs="Arial"/>
          <w:bCs/>
        </w:rPr>
        <w:t xml:space="preserve">annual report </w:t>
      </w:r>
      <w:r w:rsidR="005B278E" w:rsidRPr="00777BAD">
        <w:rPr>
          <w:rFonts w:cs="Arial"/>
          <w:bCs/>
        </w:rPr>
        <w:t xml:space="preserve">for </w:t>
      </w:r>
      <w:r w:rsidRPr="00777BAD">
        <w:rPr>
          <w:rFonts w:cs="Arial"/>
          <w:bCs/>
        </w:rPr>
        <w:t>3</w:t>
      </w:r>
      <w:r w:rsidR="00777BAD">
        <w:rPr>
          <w:rFonts w:cs="Arial"/>
          <w:bCs/>
        </w:rPr>
        <w:t>0</w:t>
      </w:r>
      <w:r w:rsidRPr="00777BAD">
        <w:rPr>
          <w:rFonts w:cs="Arial"/>
          <w:bCs/>
        </w:rPr>
        <w:t xml:space="preserve"> </w:t>
      </w:r>
      <w:r w:rsidR="005B278E" w:rsidRPr="00777BAD">
        <w:rPr>
          <w:rFonts w:cs="Arial"/>
          <w:bCs/>
        </w:rPr>
        <w:t>December</w:t>
      </w:r>
      <w:r w:rsidRPr="00777BAD">
        <w:rPr>
          <w:rFonts w:cs="Arial"/>
          <w:bCs/>
        </w:rPr>
        <w:t xml:space="preserve"> 202</w:t>
      </w:r>
      <w:r w:rsidR="005B278E" w:rsidRPr="00777BAD">
        <w:rPr>
          <w:rFonts w:cs="Arial"/>
          <w:bCs/>
        </w:rPr>
        <w:t>3</w:t>
      </w:r>
      <w:r w:rsidRPr="00777BAD">
        <w:rPr>
          <w:rFonts w:cs="Arial"/>
          <w:bCs/>
        </w:rPr>
        <w:t>;</w:t>
      </w:r>
    </w:p>
    <w:p w14:paraId="62071B57" w14:textId="77777777" w:rsidR="00EC1642" w:rsidRPr="00777BAD" w:rsidRDefault="00EC1642" w:rsidP="00A5227C">
      <w:pPr>
        <w:numPr>
          <w:ilvl w:val="0"/>
          <w:numId w:val="36"/>
        </w:numPr>
        <w:ind w:left="530"/>
        <w:jc w:val="both"/>
        <w:rPr>
          <w:rFonts w:cs="Arial"/>
          <w:bCs/>
        </w:rPr>
      </w:pPr>
      <w:r w:rsidRPr="00777BAD">
        <w:rPr>
          <w:rFonts w:cs="Arial"/>
          <w:bCs/>
        </w:rPr>
        <w:t>Focus – High-level overview; and</w:t>
      </w:r>
    </w:p>
    <w:p w14:paraId="45B0BBA9" w14:textId="77777777" w:rsidR="00EC1642" w:rsidRPr="00777BAD" w:rsidRDefault="00EC1642" w:rsidP="00A5227C">
      <w:pPr>
        <w:numPr>
          <w:ilvl w:val="0"/>
          <w:numId w:val="36"/>
        </w:numPr>
        <w:ind w:left="530"/>
        <w:jc w:val="both"/>
        <w:rPr>
          <w:rFonts w:cs="Arial"/>
          <w:bCs/>
        </w:rPr>
      </w:pPr>
      <w:r w:rsidRPr="00777BAD">
        <w:rPr>
          <w:rFonts w:cs="Arial"/>
          <w:bCs/>
        </w:rPr>
        <w:t>Requirements – provide a TCFD Compliance Statement and the recommended disclosures for</w:t>
      </w:r>
      <w:r w:rsidR="00445308" w:rsidRPr="00777BAD">
        <w:rPr>
          <w:rFonts w:cs="Arial"/>
          <w:bCs/>
        </w:rPr>
        <w:t xml:space="preserve"> </w:t>
      </w:r>
      <w:r w:rsidRPr="00777BAD">
        <w:rPr>
          <w:rFonts w:cs="Arial"/>
          <w:bCs/>
        </w:rPr>
        <w:t>Governance and Metrics &amp; Targets where available from existing reporting processes on a comply or explain basis.</w:t>
      </w:r>
    </w:p>
    <w:p w14:paraId="281C212E" w14:textId="77777777" w:rsidR="00EC1642" w:rsidRPr="00777BAD" w:rsidRDefault="00EC1642" w:rsidP="00445308">
      <w:pPr>
        <w:jc w:val="both"/>
        <w:rPr>
          <w:rFonts w:cs="Arial"/>
          <w:b/>
        </w:rPr>
      </w:pPr>
      <w:r w:rsidRPr="00777BAD">
        <w:rPr>
          <w:rFonts w:cs="Arial"/>
          <w:b/>
        </w:rPr>
        <w:t xml:space="preserve">Phase 2 – Risk Management and Metrics &amp; Targets </w:t>
      </w:r>
    </w:p>
    <w:p w14:paraId="5A31B2EF" w14:textId="77777777" w:rsidR="00EC1642" w:rsidRPr="00777BAD" w:rsidRDefault="00EC1642" w:rsidP="00A5227C">
      <w:pPr>
        <w:numPr>
          <w:ilvl w:val="0"/>
          <w:numId w:val="36"/>
        </w:numPr>
        <w:ind w:left="530"/>
        <w:jc w:val="both"/>
        <w:rPr>
          <w:rFonts w:cs="Arial"/>
          <w:bCs/>
        </w:rPr>
      </w:pPr>
      <w:r w:rsidRPr="00777BAD">
        <w:rPr>
          <w:rFonts w:cs="Arial"/>
          <w:bCs/>
        </w:rPr>
        <w:t>Period - covering fiscal year 2024/25</w:t>
      </w:r>
      <w:r w:rsidR="005B278E" w:rsidRPr="00777BAD">
        <w:rPr>
          <w:rFonts w:cs="Arial"/>
          <w:bCs/>
        </w:rPr>
        <w:t>,</w:t>
      </w:r>
      <w:r w:rsidRPr="00777BAD">
        <w:rPr>
          <w:rFonts w:cs="Arial"/>
          <w:bCs/>
        </w:rPr>
        <w:t xml:space="preserve"> </w:t>
      </w:r>
      <w:r w:rsidR="005B278E" w:rsidRPr="00777BAD">
        <w:rPr>
          <w:rFonts w:cs="Arial"/>
          <w:bCs/>
        </w:rPr>
        <w:t xml:space="preserve">so specifically TfE annual report for </w:t>
      </w:r>
      <w:r w:rsidR="00777BAD" w:rsidRPr="00777BAD">
        <w:rPr>
          <w:rFonts w:cs="Arial"/>
          <w:bCs/>
        </w:rPr>
        <w:t>28</w:t>
      </w:r>
      <w:r w:rsidR="005B278E" w:rsidRPr="00777BAD">
        <w:rPr>
          <w:rFonts w:cs="Arial"/>
          <w:bCs/>
        </w:rPr>
        <w:t xml:space="preserve"> December 2024;</w:t>
      </w:r>
    </w:p>
    <w:p w14:paraId="3FAA50C4" w14:textId="77777777" w:rsidR="00EC1642" w:rsidRPr="00777BAD" w:rsidRDefault="00EC1642" w:rsidP="00A5227C">
      <w:pPr>
        <w:numPr>
          <w:ilvl w:val="0"/>
          <w:numId w:val="36"/>
        </w:numPr>
        <w:ind w:left="530"/>
        <w:jc w:val="both"/>
        <w:rPr>
          <w:rFonts w:cs="Arial"/>
          <w:bCs/>
        </w:rPr>
      </w:pPr>
      <w:r w:rsidRPr="00777BAD">
        <w:rPr>
          <w:rFonts w:cs="Arial"/>
          <w:bCs/>
        </w:rPr>
        <w:t>Focus – Qualitive disclosures with existing qualitative disclosures; and</w:t>
      </w:r>
    </w:p>
    <w:p w14:paraId="03E95629" w14:textId="77777777" w:rsidR="00EC1642" w:rsidRPr="00777BAD" w:rsidRDefault="00EC1642" w:rsidP="00A5227C">
      <w:pPr>
        <w:numPr>
          <w:ilvl w:val="0"/>
          <w:numId w:val="36"/>
        </w:numPr>
        <w:ind w:left="530"/>
        <w:jc w:val="both"/>
        <w:rPr>
          <w:rFonts w:cs="Arial"/>
          <w:bCs/>
        </w:rPr>
      </w:pPr>
      <w:r w:rsidRPr="00777BAD">
        <w:rPr>
          <w:rFonts w:cs="Arial"/>
          <w:bCs/>
        </w:rPr>
        <w:t>Requirements – provide a TCFD Compliance Statement and the recommended disclosures for Governance, Risk Management and Metrics &amp; Targets on a comply or explain basis.</w:t>
      </w:r>
    </w:p>
    <w:p w14:paraId="299B060A" w14:textId="77777777" w:rsidR="00EC1642" w:rsidRPr="00777BAD" w:rsidRDefault="00EC1642" w:rsidP="00445308">
      <w:pPr>
        <w:jc w:val="both"/>
        <w:rPr>
          <w:rFonts w:cs="Arial"/>
          <w:b/>
        </w:rPr>
      </w:pPr>
      <w:r w:rsidRPr="00777BAD">
        <w:rPr>
          <w:rFonts w:cs="Arial"/>
          <w:b/>
        </w:rPr>
        <w:t>Phase 3 - Strategy</w:t>
      </w:r>
    </w:p>
    <w:p w14:paraId="3B436861" w14:textId="77777777" w:rsidR="00EC1642" w:rsidRPr="00777BAD" w:rsidRDefault="00EC1642" w:rsidP="00A5227C">
      <w:pPr>
        <w:numPr>
          <w:ilvl w:val="0"/>
          <w:numId w:val="36"/>
        </w:numPr>
        <w:ind w:left="530"/>
        <w:jc w:val="both"/>
        <w:rPr>
          <w:rFonts w:cs="Arial"/>
          <w:bCs/>
        </w:rPr>
      </w:pPr>
      <w:r w:rsidRPr="00777BAD">
        <w:rPr>
          <w:rFonts w:cs="Arial"/>
          <w:bCs/>
        </w:rPr>
        <w:t>Period - covering fiscal year 2025/26</w:t>
      </w:r>
      <w:r w:rsidR="005B278E" w:rsidRPr="00777BAD">
        <w:rPr>
          <w:rFonts w:cs="Arial"/>
          <w:bCs/>
        </w:rPr>
        <w:t>,</w:t>
      </w:r>
      <w:r w:rsidRPr="00777BAD">
        <w:rPr>
          <w:rFonts w:cs="Arial"/>
          <w:bCs/>
        </w:rPr>
        <w:t xml:space="preserve"> </w:t>
      </w:r>
      <w:r w:rsidR="005B278E" w:rsidRPr="00777BAD">
        <w:rPr>
          <w:rFonts w:cs="Arial"/>
          <w:bCs/>
        </w:rPr>
        <w:t xml:space="preserve">so specifically TfE annual report for </w:t>
      </w:r>
      <w:r w:rsidR="00777BAD" w:rsidRPr="00777BAD">
        <w:rPr>
          <w:rFonts w:cs="Arial"/>
          <w:bCs/>
        </w:rPr>
        <w:t>27</w:t>
      </w:r>
      <w:r w:rsidR="005B278E" w:rsidRPr="00777BAD">
        <w:rPr>
          <w:rFonts w:cs="Arial"/>
          <w:bCs/>
        </w:rPr>
        <w:t xml:space="preserve"> December 2025;</w:t>
      </w:r>
    </w:p>
    <w:p w14:paraId="2408144D" w14:textId="77777777" w:rsidR="00EC1642" w:rsidRPr="00777BAD" w:rsidRDefault="00EC1642" w:rsidP="00A5227C">
      <w:pPr>
        <w:numPr>
          <w:ilvl w:val="0"/>
          <w:numId w:val="36"/>
        </w:numPr>
        <w:ind w:left="530"/>
        <w:jc w:val="both"/>
        <w:rPr>
          <w:rFonts w:cs="Arial"/>
          <w:bCs/>
        </w:rPr>
      </w:pPr>
      <w:r w:rsidRPr="00777BAD">
        <w:rPr>
          <w:rFonts w:cs="Arial"/>
          <w:bCs/>
        </w:rPr>
        <w:t>Focus – Qualitive disclosures with technical requirements where TCFD-aligned disclosure is fully implemented; and</w:t>
      </w:r>
    </w:p>
    <w:p w14:paraId="64FF9740" w14:textId="77777777" w:rsidR="00A702BB" w:rsidRPr="00777BAD" w:rsidRDefault="00EC1642" w:rsidP="00A5227C">
      <w:pPr>
        <w:numPr>
          <w:ilvl w:val="0"/>
          <w:numId w:val="36"/>
        </w:numPr>
        <w:ind w:left="530"/>
        <w:jc w:val="both"/>
        <w:rPr>
          <w:rFonts w:cs="Arial"/>
          <w:bCs/>
        </w:rPr>
      </w:pPr>
      <w:r w:rsidRPr="00777BAD">
        <w:rPr>
          <w:rFonts w:cs="Arial"/>
          <w:bCs/>
        </w:rPr>
        <w:t>Requirements – provide a TCFD Compliance Statement and the recommended disclosures for Governance, Risk Management, Strategy and Metrics &amp; Targets with wider reporting on a comply or explain basis.</w:t>
      </w:r>
    </w:p>
    <w:p w14:paraId="3C5A64D1" w14:textId="77777777" w:rsidR="00A95444" w:rsidRPr="00777BAD" w:rsidRDefault="00A95444" w:rsidP="00A95444">
      <w:pPr>
        <w:jc w:val="both"/>
        <w:rPr>
          <w:rFonts w:cs="Arial"/>
          <w:bCs/>
          <w:sz w:val="12"/>
          <w:szCs w:val="12"/>
        </w:rPr>
      </w:pPr>
    </w:p>
    <w:p w14:paraId="72DA7559" w14:textId="77777777" w:rsidR="00A95444" w:rsidRPr="00777BAD" w:rsidRDefault="00A95444" w:rsidP="00A95444">
      <w:pPr>
        <w:jc w:val="both"/>
        <w:rPr>
          <w:rFonts w:cs="Arial"/>
          <w:b/>
        </w:rPr>
      </w:pPr>
      <w:r w:rsidRPr="00777BAD">
        <w:rPr>
          <w:rFonts w:cs="Arial"/>
          <w:b/>
        </w:rPr>
        <w:t>Comply or explain disclosure basis</w:t>
      </w:r>
    </w:p>
    <w:p w14:paraId="41D4C5DA" w14:textId="77777777" w:rsidR="00A95444" w:rsidRPr="00777BAD" w:rsidRDefault="00A95444" w:rsidP="00A95444">
      <w:pPr>
        <w:jc w:val="both"/>
        <w:rPr>
          <w:rFonts w:cs="Arial"/>
          <w:bCs/>
          <w:sz w:val="8"/>
          <w:szCs w:val="8"/>
        </w:rPr>
      </w:pPr>
    </w:p>
    <w:p w14:paraId="1AB7130A" w14:textId="77777777" w:rsidR="00A95444" w:rsidRPr="00777BAD" w:rsidRDefault="00A95444" w:rsidP="00A95444">
      <w:pPr>
        <w:jc w:val="both"/>
        <w:rPr>
          <w:rFonts w:cs="Arial"/>
          <w:bCs/>
        </w:rPr>
      </w:pPr>
      <w:r w:rsidRPr="00777BAD">
        <w:rPr>
          <w:rFonts w:cs="Arial"/>
          <w:bCs/>
        </w:rPr>
        <w:t xml:space="preserve">The TCFD framework is principles-based. In scope reporting entities must apply a “comply or explain” basis for disclosure; complying with each of the required TCFD’s recommended disclosures or explaining non-compliance against each of the requirements. The group will be applying the requirements on a comply or explain basis for each separate phase of implementation. </w:t>
      </w:r>
    </w:p>
    <w:p w14:paraId="7C622E1C" w14:textId="77777777" w:rsidR="00EC1642" w:rsidRPr="00820267" w:rsidRDefault="00A702BB" w:rsidP="00A702BB">
      <w:pPr>
        <w:jc w:val="center"/>
        <w:rPr>
          <w:b/>
        </w:rPr>
      </w:pPr>
      <w:r w:rsidRPr="00C328EF">
        <w:rPr>
          <w:rFonts w:cs="Arial"/>
          <w:bCs/>
          <w:highlight w:val="yellow"/>
        </w:rPr>
        <w:br w:type="page"/>
      </w:r>
      <w:r w:rsidR="00EC1642" w:rsidRPr="00820267">
        <w:rPr>
          <w:b/>
        </w:rPr>
        <w:lastRenderedPageBreak/>
        <w:t>TRANSPORT FOR EDINBURGH LIMITED</w:t>
      </w:r>
    </w:p>
    <w:p w14:paraId="5D8FF350" w14:textId="77777777" w:rsidR="00EC1642" w:rsidRPr="00820267" w:rsidRDefault="00EC1642" w:rsidP="00EC1642">
      <w:pPr>
        <w:rPr>
          <w:b/>
        </w:rPr>
      </w:pPr>
    </w:p>
    <w:p w14:paraId="767629BD" w14:textId="77777777" w:rsidR="00EC1642" w:rsidRPr="00820267" w:rsidRDefault="00EC1642" w:rsidP="00EC1642">
      <w:pPr>
        <w:jc w:val="center"/>
        <w:rPr>
          <w:b/>
        </w:rPr>
      </w:pPr>
      <w:r w:rsidRPr="00820267">
        <w:rPr>
          <w:b/>
        </w:rPr>
        <w:t>Strategic Report (continued)</w:t>
      </w:r>
    </w:p>
    <w:p w14:paraId="2E2C2428" w14:textId="77777777" w:rsidR="00EC1642" w:rsidRPr="00820267" w:rsidRDefault="00EC1642" w:rsidP="00EC1642">
      <w:pPr>
        <w:jc w:val="center"/>
        <w:rPr>
          <w:b/>
        </w:rPr>
      </w:pPr>
    </w:p>
    <w:p w14:paraId="6E73ECF8" w14:textId="77777777" w:rsidR="00EC1642" w:rsidRPr="00820267" w:rsidRDefault="00D90B89" w:rsidP="00EC1642">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7056C925" w14:textId="77777777" w:rsidR="00EC1642" w:rsidRPr="00C328EF" w:rsidRDefault="00EC1642" w:rsidP="00EC1642">
      <w:pPr>
        <w:jc w:val="both"/>
        <w:outlineLvl w:val="0"/>
        <w:rPr>
          <w:rFonts w:cs="Arial"/>
          <w:b/>
          <w:highlight w:val="yellow"/>
        </w:rPr>
      </w:pPr>
    </w:p>
    <w:p w14:paraId="4C6F95BD" w14:textId="77777777" w:rsidR="00EC1642" w:rsidRPr="00777BAD" w:rsidRDefault="00EC1642" w:rsidP="00EC1642">
      <w:pPr>
        <w:jc w:val="both"/>
        <w:rPr>
          <w:rFonts w:cs="Arial"/>
          <w:b/>
        </w:rPr>
      </w:pPr>
      <w:r w:rsidRPr="00777BAD">
        <w:rPr>
          <w:rFonts w:cs="Arial"/>
          <w:b/>
        </w:rPr>
        <w:t>Climate Change and Task Force on Climate-related Financial Disclosures (continued)</w:t>
      </w:r>
    </w:p>
    <w:p w14:paraId="6FD052E4" w14:textId="77777777" w:rsidR="00EC1642" w:rsidRPr="00777BAD" w:rsidRDefault="00EC1642" w:rsidP="00EC1642">
      <w:pPr>
        <w:jc w:val="both"/>
        <w:rPr>
          <w:rFonts w:cs="Arial"/>
          <w:bCs/>
          <w:sz w:val="12"/>
          <w:szCs w:val="12"/>
        </w:rPr>
      </w:pPr>
    </w:p>
    <w:p w14:paraId="2608EFDD" w14:textId="77777777" w:rsidR="00EC1642" w:rsidRPr="00777BAD" w:rsidRDefault="00EC1642" w:rsidP="00EC1642">
      <w:pPr>
        <w:jc w:val="both"/>
        <w:rPr>
          <w:rFonts w:cs="Arial"/>
          <w:b/>
        </w:rPr>
      </w:pPr>
      <w:r w:rsidRPr="00777BAD">
        <w:rPr>
          <w:rFonts w:cs="Arial"/>
          <w:b/>
        </w:rPr>
        <w:t>Compliance Statement</w:t>
      </w:r>
    </w:p>
    <w:p w14:paraId="3FE6AEA7" w14:textId="77777777" w:rsidR="00EC1642" w:rsidRPr="00777BAD" w:rsidRDefault="00EC1642" w:rsidP="00EC1642">
      <w:pPr>
        <w:jc w:val="both"/>
        <w:rPr>
          <w:rFonts w:cs="Arial"/>
          <w:bCs/>
          <w:sz w:val="12"/>
          <w:szCs w:val="12"/>
        </w:rPr>
      </w:pPr>
    </w:p>
    <w:p w14:paraId="0FC70D72" w14:textId="77777777" w:rsidR="00EC1642" w:rsidRPr="00777BAD" w:rsidRDefault="00777BAD" w:rsidP="00EC1642">
      <w:pPr>
        <w:jc w:val="both"/>
        <w:rPr>
          <w:rFonts w:cs="Arial"/>
          <w:bCs/>
        </w:rPr>
      </w:pPr>
      <w:r w:rsidRPr="0008397D">
        <w:rPr>
          <w:rFonts w:cs="Arial"/>
          <w:bCs/>
        </w:rPr>
        <w:t>The compliance statement is an overall statement of the extent of consistency with the TCFD’s recommended disclosures. The group complies with material recommendations and recommended disclosures under phases 1 and 2 of our phased implementation above and will report on compliance with future phases in the coming years. The group considers whether climate-related issues are material, both in terms of value and nature, to the primary users of the accounts.</w:t>
      </w:r>
      <w:r w:rsidR="00EC1642" w:rsidRPr="00777BAD">
        <w:rPr>
          <w:rFonts w:cs="Arial"/>
          <w:bCs/>
        </w:rPr>
        <w:t xml:space="preserve"> </w:t>
      </w:r>
    </w:p>
    <w:p w14:paraId="625B7A8C" w14:textId="77777777" w:rsidR="00EC1642" w:rsidRPr="00777BAD" w:rsidRDefault="00EC1642" w:rsidP="00EC1642">
      <w:pPr>
        <w:jc w:val="both"/>
        <w:rPr>
          <w:rFonts w:cs="Arial"/>
          <w:bCs/>
          <w:sz w:val="12"/>
          <w:szCs w:val="12"/>
        </w:rPr>
      </w:pPr>
    </w:p>
    <w:p w14:paraId="6A79262C" w14:textId="77777777" w:rsidR="00777BAD" w:rsidRPr="0008397D" w:rsidRDefault="00954A4D" w:rsidP="00777BAD">
      <w:pPr>
        <w:jc w:val="both"/>
        <w:rPr>
          <w:rFonts w:cs="Arial"/>
          <w:bCs/>
        </w:rPr>
      </w:pPr>
      <w:r w:rsidRPr="00777BAD">
        <w:rPr>
          <w:rFonts w:cs="Arial"/>
          <w:bCs/>
        </w:rPr>
        <w:t>The</w:t>
      </w:r>
      <w:r w:rsidR="00EC1642" w:rsidRPr="00777BAD">
        <w:rPr>
          <w:rFonts w:cs="Arial"/>
          <w:bCs/>
        </w:rPr>
        <w:t xml:space="preserve"> group has reported on climate-related financial disclosures consistent with HM Treasury’s TCFD-aligned disclosure application guidance which interprets and adapts the framework for the UK public sector. </w:t>
      </w:r>
      <w:r w:rsidRPr="00777BAD">
        <w:rPr>
          <w:rFonts w:cs="Arial"/>
          <w:bCs/>
        </w:rPr>
        <w:t>The group</w:t>
      </w:r>
      <w:r w:rsidR="00EC1642" w:rsidRPr="00777BAD">
        <w:rPr>
          <w:rFonts w:cs="Arial"/>
          <w:bCs/>
        </w:rPr>
        <w:t xml:space="preserve"> </w:t>
      </w:r>
      <w:r w:rsidR="00777BAD" w:rsidRPr="00777BAD">
        <w:rPr>
          <w:rFonts w:cs="Arial"/>
          <w:bCs/>
        </w:rPr>
        <w:t>has complied with the TCFD recommendations and recommended disclosures for phases 1 and 2 being:</w:t>
      </w:r>
    </w:p>
    <w:p w14:paraId="44BA539B" w14:textId="77777777" w:rsidR="00777BAD" w:rsidRPr="0008397D" w:rsidRDefault="00777BAD" w:rsidP="00A5227C">
      <w:pPr>
        <w:numPr>
          <w:ilvl w:val="0"/>
          <w:numId w:val="37"/>
        </w:numPr>
        <w:jc w:val="both"/>
        <w:rPr>
          <w:rFonts w:cs="Arial"/>
          <w:bCs/>
        </w:rPr>
      </w:pPr>
      <w:r w:rsidRPr="0008397D">
        <w:rPr>
          <w:rFonts w:cs="Arial"/>
          <w:bCs/>
        </w:rPr>
        <w:t xml:space="preserve">Governance (a) and (b);  </w:t>
      </w:r>
    </w:p>
    <w:p w14:paraId="3B26312F" w14:textId="77777777" w:rsidR="00777BAD" w:rsidRPr="0008397D" w:rsidRDefault="00777BAD" w:rsidP="00A5227C">
      <w:pPr>
        <w:numPr>
          <w:ilvl w:val="0"/>
          <w:numId w:val="37"/>
        </w:numPr>
        <w:jc w:val="both"/>
        <w:rPr>
          <w:rFonts w:cs="Arial"/>
          <w:bCs/>
        </w:rPr>
      </w:pPr>
      <w:r w:rsidRPr="0008397D">
        <w:rPr>
          <w:rFonts w:cs="Arial"/>
          <w:bCs/>
        </w:rPr>
        <w:t>Metrics &amp; Targets (a), (b) and (c);</w:t>
      </w:r>
    </w:p>
    <w:p w14:paraId="4339A3AD" w14:textId="77777777" w:rsidR="00777BAD" w:rsidRPr="0008397D" w:rsidRDefault="00777BAD" w:rsidP="00A5227C">
      <w:pPr>
        <w:numPr>
          <w:ilvl w:val="0"/>
          <w:numId w:val="37"/>
        </w:numPr>
        <w:jc w:val="both"/>
        <w:rPr>
          <w:rFonts w:cs="Arial"/>
          <w:bCs/>
        </w:rPr>
      </w:pPr>
      <w:r w:rsidRPr="0008397D">
        <w:rPr>
          <w:rFonts w:cs="Arial"/>
          <w:bCs/>
        </w:rPr>
        <w:t>Risk Management (a), (b) and (c).</w:t>
      </w:r>
    </w:p>
    <w:p w14:paraId="15490841" w14:textId="77777777" w:rsidR="00EC1642" w:rsidRPr="00777BAD" w:rsidRDefault="00EC1642" w:rsidP="00777BAD">
      <w:pPr>
        <w:jc w:val="both"/>
        <w:rPr>
          <w:rFonts w:cs="Arial"/>
          <w:bCs/>
          <w:sz w:val="12"/>
          <w:szCs w:val="12"/>
        </w:rPr>
      </w:pPr>
    </w:p>
    <w:p w14:paraId="2DCE6860" w14:textId="77777777" w:rsidR="00EC1642" w:rsidRDefault="00EC1642" w:rsidP="00EC1642">
      <w:pPr>
        <w:jc w:val="both"/>
        <w:rPr>
          <w:rFonts w:cs="Arial"/>
          <w:bCs/>
        </w:rPr>
      </w:pPr>
      <w:r w:rsidRPr="00777BAD">
        <w:rPr>
          <w:rFonts w:cs="Arial"/>
          <w:bCs/>
        </w:rPr>
        <w:t>This is in line with central government</w:t>
      </w:r>
      <w:r w:rsidR="00AD167C">
        <w:rPr>
          <w:rFonts w:cs="Arial"/>
          <w:bCs/>
        </w:rPr>
        <w:t>’</w:t>
      </w:r>
      <w:r w:rsidRPr="00777BAD">
        <w:rPr>
          <w:rFonts w:cs="Arial"/>
          <w:bCs/>
        </w:rPr>
        <w:t xml:space="preserve">s TCFD-aligned disclosure implementation timetable. </w:t>
      </w:r>
      <w:r w:rsidR="00954A4D" w:rsidRPr="00777BAD">
        <w:rPr>
          <w:rFonts w:cs="Arial"/>
          <w:bCs/>
        </w:rPr>
        <w:t>The group</w:t>
      </w:r>
      <w:r w:rsidRPr="00777BAD">
        <w:rPr>
          <w:rFonts w:cs="Arial"/>
          <w:bCs/>
        </w:rPr>
        <w:t xml:space="preserve"> </w:t>
      </w:r>
      <w:r w:rsidR="00777BAD" w:rsidRPr="00777BAD">
        <w:rPr>
          <w:rFonts w:cs="Arial"/>
          <w:bCs/>
        </w:rPr>
        <w:t>plan to make</w:t>
      </w:r>
      <w:r w:rsidR="00777BAD" w:rsidRPr="0008397D">
        <w:rPr>
          <w:rFonts w:cs="Arial"/>
          <w:bCs/>
        </w:rPr>
        <w:t xml:space="preserve"> disclosures for Strategy and wider reporting on Metrics &amp; Targets in future reporting periods in line with central government implementation timetable.</w:t>
      </w:r>
    </w:p>
    <w:p w14:paraId="6286FEA5" w14:textId="77777777" w:rsidR="00777BAD" w:rsidRPr="00C328EF" w:rsidRDefault="00777BAD" w:rsidP="00EC1642">
      <w:pPr>
        <w:jc w:val="both"/>
        <w:rPr>
          <w:rFonts w:cs="Arial"/>
          <w:bCs/>
          <w:sz w:val="12"/>
          <w:szCs w:val="12"/>
          <w:highlight w:val="yellow"/>
        </w:rPr>
      </w:pPr>
    </w:p>
    <w:p w14:paraId="6FE3DCA0" w14:textId="77777777" w:rsidR="008F619F" w:rsidRPr="0008397D" w:rsidRDefault="008F619F" w:rsidP="008F619F">
      <w:pPr>
        <w:jc w:val="both"/>
        <w:rPr>
          <w:rFonts w:cs="Arial"/>
          <w:b/>
        </w:rPr>
      </w:pPr>
      <w:r w:rsidRPr="0008397D">
        <w:rPr>
          <w:rFonts w:cs="Arial"/>
          <w:b/>
        </w:rPr>
        <w:t>Overview of TCFD Framework</w:t>
      </w:r>
    </w:p>
    <w:p w14:paraId="1393DA6B" w14:textId="77777777" w:rsidR="008F619F" w:rsidRPr="008F619F" w:rsidRDefault="008F619F" w:rsidP="008F619F">
      <w:pPr>
        <w:jc w:val="both"/>
        <w:rPr>
          <w:rFonts w:cs="Arial"/>
          <w:bCs/>
          <w:sz w:val="6"/>
          <w:szCs w:val="6"/>
        </w:rPr>
      </w:pPr>
    </w:p>
    <w:p w14:paraId="2A2EEAC0" w14:textId="77777777" w:rsidR="008F619F" w:rsidRPr="0008397D" w:rsidRDefault="008F619F" w:rsidP="008F619F">
      <w:pPr>
        <w:jc w:val="both"/>
        <w:rPr>
          <w:rFonts w:cs="Arial"/>
          <w:b/>
        </w:rPr>
      </w:pPr>
      <w:bookmarkStart w:id="10" w:name="_Hlk158551938"/>
      <w:r w:rsidRPr="0008397D">
        <w:rPr>
          <w:rFonts w:cs="Arial"/>
          <w:b/>
        </w:rPr>
        <w:t>GOVERNANCE</w:t>
      </w:r>
    </w:p>
    <w:p w14:paraId="64F0A436" w14:textId="77777777" w:rsidR="008F619F" w:rsidRPr="008F619F" w:rsidRDefault="008F619F" w:rsidP="008F619F">
      <w:pPr>
        <w:jc w:val="both"/>
        <w:rPr>
          <w:rFonts w:cs="Arial"/>
          <w:b/>
          <w:sz w:val="6"/>
          <w:szCs w:val="6"/>
        </w:rPr>
      </w:pPr>
    </w:p>
    <w:p w14:paraId="7ED88AFF" w14:textId="77777777" w:rsidR="008F619F" w:rsidRPr="0008397D" w:rsidRDefault="008F619F" w:rsidP="008F619F">
      <w:pPr>
        <w:jc w:val="both"/>
        <w:rPr>
          <w:rFonts w:cs="Arial"/>
          <w:b/>
        </w:rPr>
      </w:pPr>
      <w:r w:rsidRPr="0008397D">
        <w:rPr>
          <w:rFonts w:cs="Arial"/>
          <w:b/>
        </w:rPr>
        <w:t>Recommendations:</w:t>
      </w:r>
    </w:p>
    <w:p w14:paraId="5459619B" w14:textId="77777777" w:rsidR="008F619F" w:rsidRPr="0008397D" w:rsidRDefault="008F619F" w:rsidP="008F619F">
      <w:pPr>
        <w:jc w:val="both"/>
        <w:rPr>
          <w:rFonts w:cs="Arial"/>
          <w:bCs/>
        </w:rPr>
      </w:pPr>
      <w:r w:rsidRPr="0008397D">
        <w:rPr>
          <w:rFonts w:cs="Arial"/>
          <w:bCs/>
        </w:rPr>
        <w:t>Disclose the organisations governance around climate-related risks and opportunities.</w:t>
      </w:r>
    </w:p>
    <w:p w14:paraId="040252A6" w14:textId="77777777" w:rsidR="008F619F" w:rsidRPr="0008397D" w:rsidRDefault="008F619F" w:rsidP="008F619F">
      <w:pPr>
        <w:jc w:val="both"/>
        <w:rPr>
          <w:rFonts w:cs="Arial"/>
          <w:b/>
        </w:rPr>
      </w:pPr>
      <w:r w:rsidRPr="0008397D">
        <w:rPr>
          <w:rFonts w:cs="Arial"/>
          <w:b/>
        </w:rPr>
        <w:t>Recommended disclosures:</w:t>
      </w:r>
    </w:p>
    <w:p w14:paraId="68296DE3" w14:textId="77777777" w:rsidR="008F619F" w:rsidRPr="0008397D" w:rsidRDefault="008F619F" w:rsidP="00A5227C">
      <w:pPr>
        <w:numPr>
          <w:ilvl w:val="0"/>
          <w:numId w:val="38"/>
        </w:numPr>
        <w:ind w:left="723"/>
        <w:jc w:val="both"/>
        <w:rPr>
          <w:rFonts w:cs="Arial"/>
          <w:bCs/>
        </w:rPr>
      </w:pPr>
      <w:r w:rsidRPr="0008397D">
        <w:rPr>
          <w:rFonts w:cs="Arial"/>
          <w:bCs/>
        </w:rPr>
        <w:t>Describe the Board’s oversight of climate-related risks and opportunities.</w:t>
      </w:r>
    </w:p>
    <w:p w14:paraId="18699787" w14:textId="77777777" w:rsidR="008F619F" w:rsidRPr="0008397D" w:rsidRDefault="008F619F" w:rsidP="00A5227C">
      <w:pPr>
        <w:numPr>
          <w:ilvl w:val="0"/>
          <w:numId w:val="38"/>
        </w:numPr>
        <w:ind w:left="723"/>
        <w:jc w:val="both"/>
        <w:rPr>
          <w:rFonts w:cs="Arial"/>
          <w:bCs/>
        </w:rPr>
      </w:pPr>
      <w:r w:rsidRPr="0008397D">
        <w:rPr>
          <w:rFonts w:cs="Arial"/>
          <w:bCs/>
        </w:rPr>
        <w:t>Describe management’s role in assessing and managing climate-related risks and opportunities.</w:t>
      </w:r>
    </w:p>
    <w:bookmarkEnd w:id="10"/>
    <w:p w14:paraId="25E6C566" w14:textId="77777777" w:rsidR="008F619F" w:rsidRPr="0008397D" w:rsidRDefault="008F619F" w:rsidP="008F619F">
      <w:pPr>
        <w:jc w:val="both"/>
        <w:rPr>
          <w:rFonts w:cs="Arial"/>
          <w:bCs/>
          <w:sz w:val="16"/>
          <w:szCs w:val="16"/>
        </w:rPr>
      </w:pPr>
    </w:p>
    <w:p w14:paraId="212FAC1A" w14:textId="77777777" w:rsidR="008F619F" w:rsidRPr="0008397D" w:rsidRDefault="008F619F" w:rsidP="008F619F">
      <w:pPr>
        <w:jc w:val="both"/>
        <w:rPr>
          <w:rFonts w:cs="Arial"/>
          <w:b/>
        </w:rPr>
      </w:pPr>
      <w:r w:rsidRPr="0008397D">
        <w:rPr>
          <w:rFonts w:cs="Arial"/>
          <w:b/>
        </w:rPr>
        <w:t>RISK MANAGEMENT</w:t>
      </w:r>
    </w:p>
    <w:p w14:paraId="3CEA3750" w14:textId="77777777" w:rsidR="008F619F" w:rsidRPr="008F619F" w:rsidRDefault="008F619F" w:rsidP="008F619F">
      <w:pPr>
        <w:jc w:val="both"/>
        <w:rPr>
          <w:rFonts w:cs="Arial"/>
          <w:b/>
          <w:sz w:val="6"/>
          <w:szCs w:val="6"/>
        </w:rPr>
      </w:pPr>
    </w:p>
    <w:p w14:paraId="0058D80D" w14:textId="77777777" w:rsidR="008F619F" w:rsidRPr="0008397D" w:rsidRDefault="008F619F" w:rsidP="008F619F">
      <w:pPr>
        <w:jc w:val="both"/>
        <w:rPr>
          <w:rFonts w:cs="Arial"/>
          <w:b/>
        </w:rPr>
      </w:pPr>
      <w:r w:rsidRPr="0008397D">
        <w:rPr>
          <w:rFonts w:cs="Arial"/>
          <w:b/>
        </w:rPr>
        <w:t>Recommendations:</w:t>
      </w:r>
    </w:p>
    <w:p w14:paraId="6B6511FC" w14:textId="77777777" w:rsidR="008F619F" w:rsidRPr="0008397D" w:rsidRDefault="008F619F" w:rsidP="008F619F">
      <w:pPr>
        <w:jc w:val="both"/>
        <w:rPr>
          <w:rFonts w:cs="Arial"/>
          <w:bCs/>
        </w:rPr>
      </w:pPr>
      <w:r w:rsidRPr="0008397D">
        <w:rPr>
          <w:rFonts w:cs="Arial"/>
          <w:bCs/>
        </w:rPr>
        <w:t>Disclose how the group identifies, assesses and manages climate-related risks.</w:t>
      </w:r>
    </w:p>
    <w:p w14:paraId="1F6FD148" w14:textId="77777777" w:rsidR="008F619F" w:rsidRPr="0008397D" w:rsidRDefault="008F619F" w:rsidP="008F619F">
      <w:pPr>
        <w:jc w:val="both"/>
        <w:rPr>
          <w:rFonts w:cs="Arial"/>
          <w:b/>
        </w:rPr>
      </w:pPr>
      <w:r w:rsidRPr="0008397D">
        <w:rPr>
          <w:rFonts w:cs="Arial"/>
          <w:b/>
        </w:rPr>
        <w:t>Recommended disclosures:</w:t>
      </w:r>
    </w:p>
    <w:p w14:paraId="1FBC8C34" w14:textId="77777777" w:rsidR="008F619F" w:rsidRPr="0008397D" w:rsidRDefault="008F619F" w:rsidP="008F619F">
      <w:pPr>
        <w:ind w:left="363"/>
        <w:rPr>
          <w:rFonts w:cs="Arial"/>
          <w:bCs/>
        </w:rPr>
      </w:pPr>
      <w:r w:rsidRPr="0008397D">
        <w:rPr>
          <w:rFonts w:cs="Arial"/>
          <w:bCs/>
        </w:rPr>
        <w:t>(a) Describe the group’s processes for identifying and assessing climate-related risks.</w:t>
      </w:r>
    </w:p>
    <w:p w14:paraId="1F5B6096" w14:textId="77777777" w:rsidR="008F619F" w:rsidRPr="0008397D" w:rsidRDefault="008F619F" w:rsidP="008F619F">
      <w:pPr>
        <w:ind w:left="363"/>
        <w:rPr>
          <w:rFonts w:cs="Arial"/>
          <w:bCs/>
        </w:rPr>
      </w:pPr>
      <w:r w:rsidRPr="0008397D">
        <w:rPr>
          <w:rFonts w:cs="Arial"/>
          <w:bCs/>
        </w:rPr>
        <w:t>(b) Describe the group’s processes for managing climate-related risks.</w:t>
      </w:r>
    </w:p>
    <w:p w14:paraId="0F952F17" w14:textId="77777777" w:rsidR="008F619F" w:rsidRPr="0008397D" w:rsidRDefault="008F619F" w:rsidP="008F619F">
      <w:pPr>
        <w:ind w:left="363"/>
        <w:rPr>
          <w:rFonts w:cs="Arial"/>
          <w:bCs/>
        </w:rPr>
      </w:pPr>
      <w:r w:rsidRPr="0008397D">
        <w:rPr>
          <w:rFonts w:cs="Arial"/>
          <w:bCs/>
        </w:rPr>
        <w:t>(c) Describe how processes for identifying, assessing and managing climate-related risks are integrated into the group’s overall risk management.</w:t>
      </w:r>
    </w:p>
    <w:p w14:paraId="693C3B9A" w14:textId="77777777" w:rsidR="008F619F" w:rsidRPr="0008397D" w:rsidRDefault="008F619F" w:rsidP="008F619F">
      <w:pPr>
        <w:jc w:val="both"/>
        <w:rPr>
          <w:rFonts w:cs="Arial"/>
          <w:bCs/>
          <w:sz w:val="16"/>
          <w:szCs w:val="16"/>
        </w:rPr>
      </w:pPr>
    </w:p>
    <w:p w14:paraId="46C77044" w14:textId="77777777" w:rsidR="008F619F" w:rsidRPr="0008397D" w:rsidRDefault="008F619F" w:rsidP="008F619F">
      <w:pPr>
        <w:jc w:val="both"/>
        <w:rPr>
          <w:rFonts w:cs="Arial"/>
          <w:b/>
        </w:rPr>
      </w:pPr>
      <w:r w:rsidRPr="0008397D">
        <w:rPr>
          <w:rFonts w:cs="Arial"/>
          <w:b/>
        </w:rPr>
        <w:t>STRATEGY</w:t>
      </w:r>
    </w:p>
    <w:p w14:paraId="6C2ABB10" w14:textId="77777777" w:rsidR="008F619F" w:rsidRPr="008F619F" w:rsidRDefault="008F619F" w:rsidP="008F619F">
      <w:pPr>
        <w:jc w:val="both"/>
        <w:rPr>
          <w:rFonts w:cs="Arial"/>
          <w:b/>
          <w:sz w:val="6"/>
          <w:szCs w:val="6"/>
        </w:rPr>
      </w:pPr>
    </w:p>
    <w:p w14:paraId="3E575743" w14:textId="77777777" w:rsidR="008F619F" w:rsidRPr="0008397D" w:rsidRDefault="008F619F" w:rsidP="008F619F">
      <w:pPr>
        <w:jc w:val="both"/>
        <w:rPr>
          <w:rFonts w:cs="Arial"/>
          <w:b/>
        </w:rPr>
      </w:pPr>
      <w:r w:rsidRPr="0008397D">
        <w:rPr>
          <w:rFonts w:cs="Arial"/>
          <w:b/>
        </w:rPr>
        <w:t>Recommendations:</w:t>
      </w:r>
    </w:p>
    <w:p w14:paraId="37BB8852" w14:textId="77777777" w:rsidR="008F619F" w:rsidRPr="0008397D" w:rsidRDefault="008F619F" w:rsidP="008F619F">
      <w:pPr>
        <w:jc w:val="both"/>
        <w:rPr>
          <w:rFonts w:cs="Arial"/>
          <w:bCs/>
        </w:rPr>
      </w:pPr>
      <w:r w:rsidRPr="0008397D">
        <w:rPr>
          <w:rFonts w:cs="Arial"/>
          <w:bCs/>
        </w:rPr>
        <w:t>Disclose the actual and potential impacts of climate-related risks and opportunities on the group’s strategy and financial planning where such information is material.</w:t>
      </w:r>
    </w:p>
    <w:p w14:paraId="3069899B" w14:textId="77777777" w:rsidR="008F619F" w:rsidRPr="0008397D" w:rsidRDefault="008F619F" w:rsidP="008F619F">
      <w:pPr>
        <w:jc w:val="both"/>
        <w:rPr>
          <w:rFonts w:cs="Arial"/>
          <w:b/>
        </w:rPr>
      </w:pPr>
      <w:r w:rsidRPr="0008397D">
        <w:rPr>
          <w:rFonts w:cs="Arial"/>
          <w:b/>
        </w:rPr>
        <w:t>Recommended disclosures:</w:t>
      </w:r>
    </w:p>
    <w:p w14:paraId="5BD0D4A7" w14:textId="77777777" w:rsidR="008F619F" w:rsidRPr="0008397D" w:rsidRDefault="008F619F" w:rsidP="008F619F">
      <w:pPr>
        <w:ind w:left="363"/>
        <w:rPr>
          <w:rFonts w:cs="Arial"/>
          <w:bCs/>
        </w:rPr>
      </w:pPr>
      <w:r w:rsidRPr="0008397D">
        <w:rPr>
          <w:rFonts w:cs="Arial"/>
          <w:bCs/>
        </w:rPr>
        <w:t>(a) Describe the climate-related risks and opportunities the group has identified over the short, medium and long-term.</w:t>
      </w:r>
    </w:p>
    <w:p w14:paraId="757AE03C" w14:textId="77777777" w:rsidR="008F619F" w:rsidRPr="0008397D" w:rsidRDefault="008F619F" w:rsidP="008F619F">
      <w:pPr>
        <w:ind w:left="363"/>
        <w:rPr>
          <w:rFonts w:cs="Arial"/>
          <w:bCs/>
        </w:rPr>
      </w:pPr>
      <w:r w:rsidRPr="0008397D">
        <w:rPr>
          <w:rFonts w:cs="Arial"/>
          <w:bCs/>
        </w:rPr>
        <w:t>(b) Describe the impact of climate-related risks and opportunities on the group’s business, strategy and financial planning.</w:t>
      </w:r>
    </w:p>
    <w:p w14:paraId="05F94846" w14:textId="77777777" w:rsidR="00445308" w:rsidRPr="00C328EF" w:rsidRDefault="008F619F" w:rsidP="008F619F">
      <w:pPr>
        <w:ind w:left="363"/>
        <w:rPr>
          <w:rFonts w:cs="Arial"/>
          <w:bCs/>
          <w:highlight w:val="yellow"/>
        </w:rPr>
      </w:pPr>
      <w:r w:rsidRPr="0008397D">
        <w:rPr>
          <w:rFonts w:cs="Arial"/>
          <w:bCs/>
        </w:rPr>
        <w:t>(c) Describe the resilience of the group’s strategy taking into consideration different climate-related scenarios, including a 2</w:t>
      </w:r>
      <w:r w:rsidRPr="0008397D">
        <w:rPr>
          <w:rFonts w:cs="Arial"/>
          <w:bCs/>
          <w:sz w:val="18"/>
          <w:szCs w:val="18"/>
          <w:vertAlign w:val="superscript"/>
        </w:rPr>
        <w:t>o</w:t>
      </w:r>
      <w:r w:rsidRPr="0008397D">
        <w:rPr>
          <w:rFonts w:cs="Arial"/>
          <w:bCs/>
        </w:rPr>
        <w:t>C or lower scenario.</w:t>
      </w:r>
    </w:p>
    <w:p w14:paraId="47565D40" w14:textId="77777777" w:rsidR="00E059B9" w:rsidRPr="00C328EF" w:rsidRDefault="00E059B9" w:rsidP="00E059B9">
      <w:pPr>
        <w:jc w:val="both"/>
        <w:rPr>
          <w:rFonts w:cs="Arial"/>
          <w:b/>
          <w:sz w:val="12"/>
          <w:szCs w:val="12"/>
          <w:highlight w:val="yellow"/>
        </w:rPr>
      </w:pPr>
    </w:p>
    <w:p w14:paraId="57444673" w14:textId="77777777" w:rsidR="008F619F" w:rsidRPr="0008397D" w:rsidRDefault="008F619F" w:rsidP="008F619F">
      <w:pPr>
        <w:jc w:val="both"/>
        <w:rPr>
          <w:rFonts w:cs="Arial"/>
          <w:b/>
        </w:rPr>
      </w:pPr>
      <w:r w:rsidRPr="0008397D">
        <w:rPr>
          <w:rFonts w:cs="Arial"/>
          <w:b/>
        </w:rPr>
        <w:t>METRICS &amp; TARGETS</w:t>
      </w:r>
    </w:p>
    <w:p w14:paraId="714FA0B0" w14:textId="77777777" w:rsidR="008F619F" w:rsidRPr="008F619F" w:rsidRDefault="008F619F" w:rsidP="008F619F">
      <w:pPr>
        <w:jc w:val="both"/>
        <w:rPr>
          <w:rFonts w:cs="Arial"/>
          <w:b/>
          <w:sz w:val="6"/>
          <w:szCs w:val="6"/>
        </w:rPr>
      </w:pPr>
    </w:p>
    <w:p w14:paraId="16D463E5" w14:textId="77777777" w:rsidR="008F619F" w:rsidRPr="0008397D" w:rsidRDefault="008F619F" w:rsidP="008F619F">
      <w:pPr>
        <w:jc w:val="both"/>
        <w:rPr>
          <w:rFonts w:cs="Arial"/>
          <w:b/>
        </w:rPr>
      </w:pPr>
      <w:r w:rsidRPr="0008397D">
        <w:rPr>
          <w:rFonts w:cs="Arial"/>
          <w:b/>
        </w:rPr>
        <w:t>Recommendations:</w:t>
      </w:r>
    </w:p>
    <w:p w14:paraId="6D0907A7" w14:textId="77777777" w:rsidR="008F619F" w:rsidRPr="0008397D" w:rsidRDefault="008F619F" w:rsidP="008F619F">
      <w:pPr>
        <w:jc w:val="both"/>
        <w:rPr>
          <w:rFonts w:cs="Arial"/>
          <w:bCs/>
        </w:rPr>
      </w:pPr>
      <w:r w:rsidRPr="0008397D">
        <w:rPr>
          <w:rFonts w:cs="Arial"/>
          <w:bCs/>
        </w:rPr>
        <w:t>Disclose the metrics and targets used to assess and manage relevant climate-related risks and opportunities where such information is material.</w:t>
      </w:r>
    </w:p>
    <w:p w14:paraId="0E778C1B" w14:textId="77777777" w:rsidR="008F619F" w:rsidRPr="0008397D" w:rsidRDefault="008F619F" w:rsidP="008F619F">
      <w:pPr>
        <w:jc w:val="both"/>
        <w:rPr>
          <w:rFonts w:cs="Arial"/>
          <w:bCs/>
          <w:sz w:val="6"/>
          <w:szCs w:val="6"/>
        </w:rPr>
      </w:pPr>
    </w:p>
    <w:p w14:paraId="1B4693CB" w14:textId="77777777" w:rsidR="008F619F" w:rsidRPr="0008397D" w:rsidRDefault="008F619F" w:rsidP="008F619F">
      <w:pPr>
        <w:jc w:val="both"/>
        <w:rPr>
          <w:rFonts w:cs="Arial"/>
          <w:b/>
        </w:rPr>
      </w:pPr>
      <w:r w:rsidRPr="0008397D">
        <w:rPr>
          <w:rFonts w:cs="Arial"/>
          <w:b/>
        </w:rPr>
        <w:t>Recommended disclosures:</w:t>
      </w:r>
    </w:p>
    <w:p w14:paraId="7DA09E1F" w14:textId="77777777" w:rsidR="008F619F" w:rsidRPr="0008397D" w:rsidRDefault="008F619F" w:rsidP="008F619F">
      <w:pPr>
        <w:ind w:left="363"/>
        <w:jc w:val="both"/>
        <w:rPr>
          <w:rFonts w:cs="Arial"/>
          <w:bCs/>
        </w:rPr>
      </w:pPr>
      <w:r w:rsidRPr="0008397D">
        <w:rPr>
          <w:rFonts w:cs="Arial"/>
          <w:bCs/>
        </w:rPr>
        <w:t>(a) Disclose the metrics used by the group to assess climate-related risks and opportunities in line with group strategy and risk management process.</w:t>
      </w:r>
    </w:p>
    <w:p w14:paraId="15DF0120" w14:textId="77777777" w:rsidR="008F619F" w:rsidRPr="0008397D" w:rsidRDefault="008F619F" w:rsidP="008F619F">
      <w:pPr>
        <w:ind w:left="363"/>
        <w:jc w:val="both"/>
        <w:rPr>
          <w:rFonts w:cs="Arial"/>
          <w:bCs/>
        </w:rPr>
      </w:pPr>
      <w:r w:rsidRPr="0008397D">
        <w:rPr>
          <w:rFonts w:cs="Arial"/>
          <w:bCs/>
        </w:rPr>
        <w:t>(b)  Disclose Scope 1, Scope 2, and if appropriate, Scope 3 GHG emissions and the related risks.</w:t>
      </w:r>
    </w:p>
    <w:p w14:paraId="273AF7D3" w14:textId="77777777" w:rsidR="00E059B9" w:rsidRPr="00C328EF" w:rsidRDefault="008F619F" w:rsidP="008F619F">
      <w:pPr>
        <w:ind w:left="363"/>
        <w:jc w:val="both"/>
        <w:rPr>
          <w:rFonts w:cs="Arial"/>
          <w:bCs/>
          <w:highlight w:val="yellow"/>
        </w:rPr>
      </w:pPr>
      <w:r w:rsidRPr="0008397D">
        <w:rPr>
          <w:rFonts w:cs="Arial"/>
          <w:bCs/>
        </w:rPr>
        <w:t>(c) Describe the targets used by the group to manage climate-related risks and opportunities and performance against targets.</w:t>
      </w:r>
    </w:p>
    <w:p w14:paraId="1C423345" w14:textId="77777777" w:rsidR="00EC1642" w:rsidRPr="00820267" w:rsidRDefault="00445308" w:rsidP="00445308">
      <w:pPr>
        <w:jc w:val="center"/>
        <w:rPr>
          <w:b/>
        </w:rPr>
      </w:pPr>
      <w:r w:rsidRPr="00C328EF">
        <w:rPr>
          <w:rFonts w:cs="Arial"/>
          <w:bCs/>
          <w:highlight w:val="yellow"/>
        </w:rPr>
        <w:br w:type="page"/>
      </w:r>
      <w:r w:rsidR="00EC1642" w:rsidRPr="00820267">
        <w:rPr>
          <w:b/>
        </w:rPr>
        <w:lastRenderedPageBreak/>
        <w:t>TRANSPORT FOR EDINBURGH LIMITED</w:t>
      </w:r>
    </w:p>
    <w:p w14:paraId="32B59AD6" w14:textId="77777777" w:rsidR="00EC1642" w:rsidRPr="00820267" w:rsidRDefault="00EC1642" w:rsidP="00EC1642">
      <w:pPr>
        <w:rPr>
          <w:b/>
        </w:rPr>
      </w:pPr>
    </w:p>
    <w:p w14:paraId="7C01C321" w14:textId="77777777" w:rsidR="00EC1642" w:rsidRPr="00820267" w:rsidRDefault="00EC1642" w:rsidP="00EC1642">
      <w:pPr>
        <w:jc w:val="center"/>
        <w:rPr>
          <w:b/>
        </w:rPr>
      </w:pPr>
      <w:r w:rsidRPr="00820267">
        <w:rPr>
          <w:b/>
        </w:rPr>
        <w:t>Strategic Report (continued)</w:t>
      </w:r>
    </w:p>
    <w:p w14:paraId="6AA7BC73" w14:textId="77777777" w:rsidR="00EC1642" w:rsidRPr="00820267" w:rsidRDefault="00EC1642" w:rsidP="00EC1642">
      <w:pPr>
        <w:jc w:val="center"/>
        <w:rPr>
          <w:b/>
        </w:rPr>
      </w:pPr>
    </w:p>
    <w:p w14:paraId="3FF58489" w14:textId="77777777" w:rsidR="00EC1642" w:rsidRPr="00820267" w:rsidRDefault="00D90B89" w:rsidP="00EC1642">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48EA3FCE" w14:textId="77777777" w:rsidR="00EC1642" w:rsidRPr="00820267" w:rsidRDefault="00EC1642" w:rsidP="00EC1642">
      <w:pPr>
        <w:jc w:val="both"/>
        <w:outlineLvl w:val="0"/>
        <w:rPr>
          <w:rFonts w:cs="Arial"/>
          <w:b/>
        </w:rPr>
      </w:pPr>
    </w:p>
    <w:p w14:paraId="5D9E98FA" w14:textId="77777777" w:rsidR="00A702BB" w:rsidRPr="00D0635C" w:rsidRDefault="00A702BB" w:rsidP="00A702BB">
      <w:pPr>
        <w:jc w:val="both"/>
        <w:rPr>
          <w:rFonts w:cs="Arial"/>
          <w:b/>
        </w:rPr>
      </w:pPr>
      <w:r w:rsidRPr="00D0635C">
        <w:rPr>
          <w:rFonts w:cs="Arial"/>
          <w:b/>
        </w:rPr>
        <w:t>Climate Change and Task Force on Climate-related Financial Disclosures (continued)</w:t>
      </w:r>
    </w:p>
    <w:p w14:paraId="285F922D" w14:textId="77777777" w:rsidR="00E059B9" w:rsidRPr="00D0635C" w:rsidRDefault="00E059B9" w:rsidP="00A702BB">
      <w:pPr>
        <w:jc w:val="both"/>
        <w:rPr>
          <w:rFonts w:cs="Arial"/>
          <w:bCs/>
          <w:sz w:val="12"/>
          <w:szCs w:val="12"/>
        </w:rPr>
      </w:pPr>
    </w:p>
    <w:p w14:paraId="75779CA4" w14:textId="77777777" w:rsidR="00A702BB" w:rsidRPr="00D0635C" w:rsidRDefault="00A702BB" w:rsidP="00A702BB">
      <w:pPr>
        <w:jc w:val="both"/>
        <w:rPr>
          <w:rFonts w:cs="Arial"/>
          <w:b/>
        </w:rPr>
      </w:pPr>
      <w:r w:rsidRPr="00D0635C">
        <w:rPr>
          <w:rFonts w:cs="Arial"/>
          <w:b/>
        </w:rPr>
        <w:t>Overview of TCFD Framework (continued)</w:t>
      </w:r>
    </w:p>
    <w:p w14:paraId="08C126AF" w14:textId="77777777" w:rsidR="00E059B9" w:rsidRPr="00D0635C" w:rsidRDefault="00E059B9" w:rsidP="00A702BB">
      <w:pPr>
        <w:jc w:val="both"/>
        <w:rPr>
          <w:rFonts w:cs="Arial"/>
          <w:b/>
          <w:sz w:val="12"/>
          <w:szCs w:val="12"/>
        </w:rPr>
      </w:pPr>
    </w:p>
    <w:p w14:paraId="74F5B8A6" w14:textId="77777777" w:rsidR="00A702BB" w:rsidRPr="00D0635C" w:rsidRDefault="00A702BB" w:rsidP="00A702BB">
      <w:pPr>
        <w:jc w:val="both"/>
        <w:rPr>
          <w:rFonts w:cs="Arial"/>
          <w:b/>
        </w:rPr>
      </w:pPr>
      <w:r w:rsidRPr="00D0635C">
        <w:rPr>
          <w:rFonts w:cs="Arial"/>
          <w:b/>
        </w:rPr>
        <w:t>GOVERNANCE</w:t>
      </w:r>
    </w:p>
    <w:p w14:paraId="11B9B789" w14:textId="77777777" w:rsidR="00A702BB" w:rsidRPr="00D0635C" w:rsidRDefault="00A702BB" w:rsidP="00A702BB">
      <w:pPr>
        <w:jc w:val="both"/>
        <w:rPr>
          <w:rFonts w:cs="Arial"/>
          <w:bCs/>
        </w:rPr>
      </w:pPr>
      <w:r w:rsidRPr="00D0635C">
        <w:rPr>
          <w:rFonts w:cs="Arial"/>
          <w:b/>
        </w:rPr>
        <w:t xml:space="preserve">Recommendations: </w:t>
      </w:r>
      <w:r w:rsidRPr="00D0635C">
        <w:rPr>
          <w:rFonts w:cs="Arial"/>
          <w:bCs/>
        </w:rPr>
        <w:t>Disclose the organisations governance around climate-related risks and opportunities.</w:t>
      </w:r>
    </w:p>
    <w:p w14:paraId="1CC2C6BB" w14:textId="77777777" w:rsidR="00A702BB" w:rsidRPr="00D0635C" w:rsidRDefault="00A702BB" w:rsidP="00A702BB">
      <w:pPr>
        <w:jc w:val="both"/>
        <w:rPr>
          <w:rFonts w:cs="Arial"/>
          <w:bCs/>
          <w:sz w:val="12"/>
          <w:szCs w:val="12"/>
        </w:rPr>
      </w:pPr>
    </w:p>
    <w:p w14:paraId="774EC41B" w14:textId="77777777" w:rsidR="00A702BB" w:rsidRPr="00D0635C" w:rsidRDefault="00A702BB" w:rsidP="00A702BB">
      <w:pPr>
        <w:jc w:val="both"/>
        <w:rPr>
          <w:rFonts w:cs="Arial"/>
          <w:bCs/>
        </w:rPr>
      </w:pPr>
      <w:r w:rsidRPr="00D0635C">
        <w:rPr>
          <w:rFonts w:cs="Arial"/>
          <w:bCs/>
        </w:rPr>
        <w:t>These principally qualitative disclosures are designed to assist primary annual report users to assess the adequacy and effectiveness of the group’s Board</w:t>
      </w:r>
      <w:r w:rsidR="00570C54">
        <w:rPr>
          <w:rFonts w:cs="Arial"/>
          <w:bCs/>
        </w:rPr>
        <w:t>s</w:t>
      </w:r>
      <w:r w:rsidRPr="00D0635C">
        <w:rPr>
          <w:rFonts w:cs="Arial"/>
          <w:bCs/>
        </w:rPr>
        <w:t xml:space="preserve"> to oversee, evaluate and manage climate-related issues.</w:t>
      </w:r>
    </w:p>
    <w:p w14:paraId="23C62749" w14:textId="77777777" w:rsidR="00A702BB" w:rsidRPr="00D0635C" w:rsidRDefault="00A702BB" w:rsidP="00A702BB">
      <w:pPr>
        <w:jc w:val="both"/>
        <w:rPr>
          <w:rFonts w:cs="Arial"/>
          <w:bCs/>
          <w:sz w:val="12"/>
          <w:szCs w:val="12"/>
        </w:rPr>
      </w:pPr>
    </w:p>
    <w:p w14:paraId="03DDEF85" w14:textId="77777777" w:rsidR="00A95444" w:rsidRDefault="00A95444" w:rsidP="00A95444">
      <w:pPr>
        <w:jc w:val="both"/>
        <w:rPr>
          <w:rFonts w:cs="Arial"/>
          <w:b/>
        </w:rPr>
      </w:pPr>
      <w:r w:rsidRPr="00AA56EC">
        <w:rPr>
          <w:rFonts w:cs="Arial"/>
          <w:b/>
        </w:rPr>
        <w:t xml:space="preserve">(a) </w:t>
      </w:r>
      <w:r w:rsidR="00106DBE">
        <w:rPr>
          <w:rFonts w:cs="Arial"/>
          <w:b/>
        </w:rPr>
        <w:t>Describe the</w:t>
      </w:r>
      <w:r w:rsidRPr="00AA56EC">
        <w:rPr>
          <w:rFonts w:cs="Arial"/>
          <w:b/>
        </w:rPr>
        <w:t xml:space="preserve"> Board’s oversight of climate-related issues</w:t>
      </w:r>
      <w:r w:rsidR="00307489">
        <w:rPr>
          <w:rFonts w:cs="Arial"/>
          <w:b/>
        </w:rPr>
        <w:t>.</w:t>
      </w:r>
    </w:p>
    <w:p w14:paraId="743A662E" w14:textId="77777777" w:rsidR="0016091D" w:rsidRPr="00AA56EC" w:rsidRDefault="00AA56EC" w:rsidP="00A95444">
      <w:pPr>
        <w:jc w:val="both"/>
        <w:rPr>
          <w:rFonts w:cs="Arial"/>
          <w:b/>
        </w:rPr>
      </w:pPr>
      <w:r>
        <w:rPr>
          <w:rFonts w:cs="Arial"/>
          <w:b/>
        </w:rPr>
        <w:t>(</w:t>
      </w:r>
      <w:r w:rsidR="0016091D" w:rsidRPr="00C66B64">
        <w:rPr>
          <w:rFonts w:cs="Arial"/>
          <w:b/>
        </w:rPr>
        <w:t xml:space="preserve">b) </w:t>
      </w:r>
      <w:r w:rsidR="0016091D">
        <w:rPr>
          <w:rFonts w:cs="Arial"/>
          <w:b/>
        </w:rPr>
        <w:t xml:space="preserve">Describe </w:t>
      </w:r>
      <w:r w:rsidR="0016091D" w:rsidRPr="00C66B64">
        <w:rPr>
          <w:rFonts w:cs="Arial"/>
          <w:b/>
        </w:rPr>
        <w:t>Management’s Role in assessing and managing climate-related issues</w:t>
      </w:r>
      <w:r w:rsidR="00307489">
        <w:rPr>
          <w:rFonts w:cs="Arial"/>
          <w:b/>
        </w:rPr>
        <w:t>.</w:t>
      </w:r>
    </w:p>
    <w:p w14:paraId="7F6EDAA2" w14:textId="77777777" w:rsidR="00A95444" w:rsidRPr="00B77919" w:rsidRDefault="00A95444" w:rsidP="00A95444">
      <w:pPr>
        <w:jc w:val="both"/>
        <w:rPr>
          <w:rFonts w:cs="Arial"/>
          <w:bCs/>
          <w:sz w:val="12"/>
          <w:szCs w:val="12"/>
          <w:highlight w:val="yellow"/>
        </w:rPr>
      </w:pPr>
    </w:p>
    <w:p w14:paraId="5AC676A8" w14:textId="77777777" w:rsidR="008061FB" w:rsidRDefault="00D0635C" w:rsidP="00A95444">
      <w:pPr>
        <w:jc w:val="both"/>
        <w:rPr>
          <w:rFonts w:cs="Arial"/>
          <w:bCs/>
        </w:rPr>
      </w:pPr>
      <w:r w:rsidRPr="00AA56EC">
        <w:rPr>
          <w:rFonts w:cs="Arial"/>
          <w:bCs/>
        </w:rPr>
        <w:t>The Board</w:t>
      </w:r>
      <w:r w:rsidR="00354B2C">
        <w:rPr>
          <w:rFonts w:cs="Arial"/>
          <w:bCs/>
        </w:rPr>
        <w:t>s of Lothian Buses and Edinburgh Trams</w:t>
      </w:r>
      <w:r w:rsidRPr="00AA56EC">
        <w:rPr>
          <w:rFonts w:cs="Arial"/>
          <w:bCs/>
        </w:rPr>
        <w:t xml:space="preserve"> have ultimate responsibility for identifying, assessing and managing Environmental, Social and Governance (ESG) risks and opportunities including those relating to climate change. The Board</w:t>
      </w:r>
      <w:r w:rsidR="00354B2C">
        <w:rPr>
          <w:rFonts w:cs="Arial"/>
          <w:bCs/>
        </w:rPr>
        <w:t>s</w:t>
      </w:r>
      <w:r w:rsidRPr="00AA56EC">
        <w:rPr>
          <w:rFonts w:cs="Arial"/>
          <w:bCs/>
        </w:rPr>
        <w:t xml:space="preserve"> consider the direct and indirect impact of climate change when establishing, reviewing and refreshing the overall strategy for the business</w:t>
      </w:r>
      <w:r w:rsidR="00AA56EC">
        <w:rPr>
          <w:rFonts w:cs="Arial"/>
          <w:bCs/>
        </w:rPr>
        <w:t>.</w:t>
      </w:r>
      <w:r w:rsidR="005D779B">
        <w:rPr>
          <w:rFonts w:cs="Arial"/>
          <w:bCs/>
        </w:rPr>
        <w:t xml:space="preserve"> </w:t>
      </w:r>
      <w:r w:rsidRPr="00AA56EC">
        <w:rPr>
          <w:rFonts w:cs="Arial"/>
          <w:bCs/>
        </w:rPr>
        <w:t xml:space="preserve"> </w:t>
      </w:r>
    </w:p>
    <w:p w14:paraId="0AC2E3FA" w14:textId="77777777" w:rsidR="0016091D" w:rsidRDefault="0016091D" w:rsidP="0016091D">
      <w:pPr>
        <w:jc w:val="both"/>
        <w:rPr>
          <w:rFonts w:cs="Arial"/>
          <w:bCs/>
          <w:highlight w:val="yellow"/>
        </w:rPr>
      </w:pPr>
    </w:p>
    <w:p w14:paraId="71B0923C" w14:textId="77777777" w:rsidR="005D779B" w:rsidRDefault="0016091D" w:rsidP="0016091D">
      <w:pPr>
        <w:jc w:val="both"/>
        <w:rPr>
          <w:rFonts w:cs="Arial"/>
          <w:bCs/>
        </w:rPr>
      </w:pPr>
      <w:r w:rsidRPr="00AA56EC">
        <w:rPr>
          <w:rFonts w:cs="Arial"/>
          <w:bCs/>
        </w:rPr>
        <w:t xml:space="preserve">The Boards are also acutely aware of the effect transport services have on our environment and communities and </w:t>
      </w:r>
      <w:r w:rsidR="005D779B">
        <w:rPr>
          <w:rFonts w:cs="Arial"/>
          <w:bCs/>
        </w:rPr>
        <w:t>their</w:t>
      </w:r>
      <w:r w:rsidRPr="00AA56EC">
        <w:rPr>
          <w:rFonts w:cs="Arial"/>
          <w:bCs/>
        </w:rPr>
        <w:t xml:space="preserve"> responsibilities in achieving local and national government climate change targets</w:t>
      </w:r>
      <w:r w:rsidR="005D779B">
        <w:rPr>
          <w:rFonts w:cs="Arial"/>
          <w:bCs/>
        </w:rPr>
        <w:t xml:space="preserve">, including alignment with the climate-related policies of key stakeholders such as the City of Edinburgh Council. </w:t>
      </w:r>
      <w:r w:rsidR="00AB3F5B">
        <w:rPr>
          <w:rFonts w:cs="Arial"/>
          <w:bCs/>
        </w:rPr>
        <w:t>For example,</w:t>
      </w:r>
      <w:r w:rsidR="005D779B">
        <w:rPr>
          <w:rFonts w:cs="Arial"/>
          <w:bCs/>
        </w:rPr>
        <w:t xml:space="preserve"> </w:t>
      </w:r>
      <w:r w:rsidR="00BC6F04" w:rsidRPr="0023020B">
        <w:rPr>
          <w:rFonts w:cs="Arial"/>
          <w:bCs/>
        </w:rPr>
        <w:t>Edinburgh’s Low Emission Zone</w:t>
      </w:r>
      <w:r w:rsidR="00BC6F04">
        <w:rPr>
          <w:rFonts w:cs="Arial"/>
          <w:bCs/>
        </w:rPr>
        <w:t xml:space="preserve">, </w:t>
      </w:r>
      <w:r w:rsidR="00AB3F5B">
        <w:rPr>
          <w:rFonts w:cs="Arial"/>
          <w:bCs/>
        </w:rPr>
        <w:t>d</w:t>
      </w:r>
      <w:r w:rsidR="005D779B" w:rsidRPr="0023020B">
        <w:rPr>
          <w:rFonts w:cs="Arial"/>
          <w:bCs/>
        </w:rPr>
        <w:t xml:space="preserve">eveloped in partnership with the Scottish Environmental Protection Agency (SEPA) and Transport Scotland, </w:t>
      </w:r>
      <w:r w:rsidR="00AB3F5B">
        <w:rPr>
          <w:rFonts w:cs="Arial"/>
          <w:bCs/>
        </w:rPr>
        <w:t>sets specific emission requirements for Lothian Buses’ vehicle fleet.</w:t>
      </w:r>
      <w:r w:rsidR="005D779B">
        <w:rPr>
          <w:rFonts w:cs="Arial"/>
          <w:bCs/>
        </w:rPr>
        <w:t xml:space="preserve"> </w:t>
      </w:r>
    </w:p>
    <w:p w14:paraId="1DE6EC47" w14:textId="77777777" w:rsidR="005D779B" w:rsidRDefault="005D779B" w:rsidP="0016091D">
      <w:pPr>
        <w:jc w:val="both"/>
        <w:rPr>
          <w:rFonts w:cs="Arial"/>
          <w:bCs/>
        </w:rPr>
      </w:pPr>
    </w:p>
    <w:p w14:paraId="3F032999" w14:textId="77777777" w:rsidR="003766A8" w:rsidRDefault="003766A8" w:rsidP="00A95444">
      <w:pPr>
        <w:jc w:val="both"/>
        <w:rPr>
          <w:rFonts w:cs="Arial"/>
          <w:bCs/>
        </w:rPr>
      </w:pPr>
      <w:r w:rsidRPr="00E772E0">
        <w:rPr>
          <w:rFonts w:cs="Arial"/>
          <w:bCs/>
        </w:rPr>
        <w:t>The Board</w:t>
      </w:r>
      <w:r>
        <w:rPr>
          <w:rFonts w:cs="Arial"/>
          <w:bCs/>
        </w:rPr>
        <w:t>s</w:t>
      </w:r>
      <w:r w:rsidRPr="00E772E0">
        <w:rPr>
          <w:rFonts w:cs="Arial"/>
          <w:bCs/>
        </w:rPr>
        <w:t xml:space="preserve"> meet around four times per year</w:t>
      </w:r>
      <w:r w:rsidR="00AA56EC">
        <w:rPr>
          <w:rFonts w:cs="Arial"/>
          <w:bCs/>
        </w:rPr>
        <w:t>,</w:t>
      </w:r>
      <w:r w:rsidRPr="00E772E0">
        <w:rPr>
          <w:rFonts w:cs="Arial"/>
          <w:bCs/>
        </w:rPr>
        <w:t xml:space="preserve"> and climate-related issues can be brought to any of these meetings</w:t>
      </w:r>
      <w:r w:rsidR="00AD167C">
        <w:rPr>
          <w:rFonts w:cs="Arial"/>
          <w:bCs/>
        </w:rPr>
        <w:t>,</w:t>
      </w:r>
      <w:r w:rsidR="00AB3F5B">
        <w:rPr>
          <w:rFonts w:cs="Arial"/>
          <w:bCs/>
        </w:rPr>
        <w:t xml:space="preserve"> i</w:t>
      </w:r>
      <w:r w:rsidR="00AD167C">
        <w:rPr>
          <w:rFonts w:cs="Arial"/>
          <w:bCs/>
        </w:rPr>
        <w:t>ncluding where appropriate, briefings on the</w:t>
      </w:r>
      <w:r w:rsidR="00AD167C" w:rsidRPr="00AD167C">
        <w:t xml:space="preserve"> </w:t>
      </w:r>
      <w:r w:rsidR="00AD167C" w:rsidRPr="00AD167C">
        <w:rPr>
          <w:rFonts w:cs="Arial"/>
          <w:bCs/>
        </w:rPr>
        <w:t>latest scientific developments, emerging regulatory frameworks and leading practices in sustainability management</w:t>
      </w:r>
      <w:r w:rsidR="00AD167C">
        <w:rPr>
          <w:rFonts w:cs="Arial"/>
          <w:bCs/>
        </w:rPr>
        <w:t xml:space="preserve"> to help inform their governance responsibilities. </w:t>
      </w:r>
    </w:p>
    <w:p w14:paraId="775FA932" w14:textId="77777777" w:rsidR="003766A8" w:rsidRDefault="003766A8" w:rsidP="00A95444">
      <w:pPr>
        <w:jc w:val="both"/>
        <w:rPr>
          <w:rFonts w:cs="Arial"/>
          <w:bCs/>
        </w:rPr>
      </w:pPr>
    </w:p>
    <w:p w14:paraId="2BEAE278" w14:textId="77777777" w:rsidR="003766A8" w:rsidRDefault="008061FB" w:rsidP="00A95444">
      <w:pPr>
        <w:jc w:val="both"/>
        <w:rPr>
          <w:rFonts w:cs="Arial"/>
          <w:bCs/>
        </w:rPr>
      </w:pPr>
      <w:r>
        <w:rPr>
          <w:rFonts w:cs="Arial"/>
          <w:bCs/>
        </w:rPr>
        <w:t>In the case of Lothian Buses, t</w:t>
      </w:r>
      <w:r w:rsidR="00D0635C" w:rsidRPr="00AA56EC">
        <w:rPr>
          <w:rFonts w:cs="Arial"/>
          <w:bCs/>
        </w:rPr>
        <w:t>he Board will, where necessary, delegate managerial responsibilities</w:t>
      </w:r>
      <w:r w:rsidR="003766A8">
        <w:rPr>
          <w:rFonts w:cs="Arial"/>
          <w:bCs/>
        </w:rPr>
        <w:t xml:space="preserve"> and </w:t>
      </w:r>
      <w:r w:rsidR="00263BA4">
        <w:rPr>
          <w:rFonts w:cs="Arial"/>
          <w:bCs/>
        </w:rPr>
        <w:t>oversight</w:t>
      </w:r>
      <w:r w:rsidR="00D0635C" w:rsidRPr="00AA56EC">
        <w:rPr>
          <w:rFonts w:cs="Arial"/>
          <w:bCs/>
        </w:rPr>
        <w:t xml:space="preserve"> to the Audit &amp; Risk Committee. </w:t>
      </w:r>
      <w:r w:rsidR="003766A8" w:rsidRPr="003D55DB">
        <w:rPr>
          <w:rFonts w:cs="Arial"/>
          <w:bCs/>
        </w:rPr>
        <w:t>The Board and Audit &amp; Risk Committee consider climate-related issues when reviewing and guiding strategy, major investment plans, risk management, annual budgets, the business plan and related objectives, monitoring implementation and approving all capital expenditure/investment while considering any related grants available</w:t>
      </w:r>
      <w:r w:rsidR="003766A8">
        <w:rPr>
          <w:rFonts w:cs="Arial"/>
          <w:bCs/>
        </w:rPr>
        <w:t>.</w:t>
      </w:r>
      <w:r w:rsidR="00C53C01">
        <w:rPr>
          <w:rFonts w:cs="Arial"/>
          <w:bCs/>
        </w:rPr>
        <w:t xml:space="preserve"> </w:t>
      </w:r>
      <w:r w:rsidR="00930A0B">
        <w:rPr>
          <w:rFonts w:cs="Arial"/>
          <w:bCs/>
        </w:rPr>
        <w:t>A key area of focus remains monitoring progress on Lothian’s fleet decarbonisation plan led by the Engineering Director and driving towards Net Zero Fleet emissions by around 2035.</w:t>
      </w:r>
      <w:r w:rsidR="00C53C01">
        <w:rPr>
          <w:rFonts w:cs="Arial"/>
          <w:bCs/>
        </w:rPr>
        <w:t xml:space="preserve"> </w:t>
      </w:r>
    </w:p>
    <w:p w14:paraId="6CFEE072" w14:textId="77777777" w:rsidR="003766A8" w:rsidRDefault="003766A8" w:rsidP="00A95444">
      <w:pPr>
        <w:jc w:val="both"/>
        <w:rPr>
          <w:rFonts w:cs="Arial"/>
          <w:bCs/>
        </w:rPr>
      </w:pPr>
    </w:p>
    <w:p w14:paraId="08F560DD" w14:textId="0AC9F370" w:rsidR="00AB3F5B" w:rsidRPr="00C53C01" w:rsidRDefault="00C53C01" w:rsidP="00AB3F5B">
      <w:pPr>
        <w:jc w:val="both"/>
        <w:rPr>
          <w:rFonts w:cs="Arial"/>
          <w:bCs/>
        </w:rPr>
      </w:pPr>
      <w:r>
        <w:rPr>
          <w:rFonts w:cs="Arial"/>
          <w:bCs/>
        </w:rPr>
        <w:t>Da</w:t>
      </w:r>
      <w:r w:rsidR="00BD390B">
        <w:rPr>
          <w:rFonts w:cs="Arial"/>
          <w:bCs/>
        </w:rPr>
        <w:t>y</w:t>
      </w:r>
      <w:r>
        <w:rPr>
          <w:rFonts w:cs="Arial"/>
          <w:bCs/>
        </w:rPr>
        <w:t xml:space="preserve"> to day management of climate related issues is the responsibility of the businesses’ senior management teams. </w:t>
      </w:r>
      <w:r w:rsidR="00AB3F5B">
        <w:rPr>
          <w:rFonts w:cs="Arial"/>
          <w:bCs/>
        </w:rPr>
        <w:t xml:space="preserve">Lothian Buses’ </w:t>
      </w:r>
      <w:r w:rsidR="00AB3F5B" w:rsidRPr="00636F1E">
        <w:rPr>
          <w:rFonts w:cs="Arial"/>
          <w:bCs/>
        </w:rPr>
        <w:t xml:space="preserve">Finance Director has oversight of </w:t>
      </w:r>
      <w:r w:rsidR="00AB3F5B">
        <w:rPr>
          <w:rFonts w:cs="Arial"/>
          <w:bCs/>
        </w:rPr>
        <w:t xml:space="preserve">the Group’s </w:t>
      </w:r>
      <w:r w:rsidR="00AB3F5B" w:rsidRPr="00636F1E">
        <w:rPr>
          <w:rFonts w:cs="Arial"/>
          <w:bCs/>
        </w:rPr>
        <w:t xml:space="preserve">climate-related reporting including ensuring compliance with TCFD disclosure requirements. The Engineering Director and Chief Engineer are responsible for </w:t>
      </w:r>
      <w:r w:rsidR="00AB3F5B">
        <w:rPr>
          <w:rFonts w:cs="Arial"/>
          <w:bCs/>
        </w:rPr>
        <w:t xml:space="preserve">Lothians’ </w:t>
      </w:r>
      <w:r w:rsidR="00AB3F5B" w:rsidRPr="00636F1E">
        <w:rPr>
          <w:rFonts w:cs="Arial"/>
          <w:bCs/>
        </w:rPr>
        <w:t xml:space="preserve">fleet and asset portfolio including assessing and managing the impact of climate change on these assets and operations. Reporting into the Engineering Director is </w:t>
      </w:r>
      <w:r w:rsidR="00AB3F5B">
        <w:rPr>
          <w:rFonts w:cs="Arial"/>
          <w:bCs/>
        </w:rPr>
        <w:t xml:space="preserve">Lothian’s </w:t>
      </w:r>
      <w:r w:rsidR="00AB3F5B" w:rsidRPr="00636F1E">
        <w:rPr>
          <w:rFonts w:cs="Arial"/>
          <w:bCs/>
        </w:rPr>
        <w:t xml:space="preserve">Sustainability Officer who is responsible for the day-to-day operational tasks relating to ESG reporting and risk management. They meet, when required, with the Audit &amp; Risk Committee to raise potential risks which require further mitigation including climate-related risks and opportunities. Potential material climate-related risks which could have a significant financial impact on our business are recorded in the Enterprise Risk Management (ERM) register. These risks are reviewed by Senior Management every quarter and appropriate mitigating actions </w:t>
      </w:r>
      <w:r w:rsidR="00AB3F5B" w:rsidRPr="00C53C01">
        <w:rPr>
          <w:rFonts w:cs="Arial"/>
          <w:bCs/>
        </w:rPr>
        <w:t xml:space="preserve">undertaken where necessary. Significant issues are reported and managed through a </w:t>
      </w:r>
      <w:r w:rsidR="00AB3F5B" w:rsidRPr="00AA56EC">
        <w:rPr>
          <w:rFonts w:cs="Arial"/>
          <w:bCs/>
        </w:rPr>
        <w:t>Serious and Major Incident Procedure (SMIP)</w:t>
      </w:r>
    </w:p>
    <w:p w14:paraId="4891C40B" w14:textId="77777777" w:rsidR="00AB3F5B" w:rsidRPr="00C53C01" w:rsidRDefault="00AB3F5B" w:rsidP="00AB3F5B">
      <w:pPr>
        <w:jc w:val="both"/>
        <w:rPr>
          <w:rFonts w:cs="Arial"/>
          <w:bCs/>
        </w:rPr>
      </w:pPr>
    </w:p>
    <w:p w14:paraId="1B1AB7F5" w14:textId="77777777" w:rsidR="00AB3F5B" w:rsidRDefault="00AB3F5B" w:rsidP="00AB3F5B">
      <w:pPr>
        <w:jc w:val="both"/>
        <w:rPr>
          <w:rFonts w:cs="Arial"/>
          <w:bCs/>
        </w:rPr>
      </w:pPr>
      <w:r w:rsidRPr="00AA56EC">
        <w:rPr>
          <w:rFonts w:cs="Arial"/>
          <w:bCs/>
        </w:rPr>
        <w:t>The Sustainability Office</w:t>
      </w:r>
      <w:r w:rsidR="00C53C01" w:rsidRPr="00AA56EC">
        <w:rPr>
          <w:rFonts w:cs="Arial"/>
          <w:bCs/>
        </w:rPr>
        <w:t>r</w:t>
      </w:r>
      <w:r w:rsidRPr="00AA56EC">
        <w:rPr>
          <w:rFonts w:cs="Arial"/>
          <w:bCs/>
        </w:rPr>
        <w:t xml:space="preserve"> and </w:t>
      </w:r>
      <w:r w:rsidR="00C53C01" w:rsidRPr="00AA56EC">
        <w:rPr>
          <w:rFonts w:cs="Arial"/>
          <w:bCs/>
        </w:rPr>
        <w:t xml:space="preserve">operational </w:t>
      </w:r>
      <w:r w:rsidRPr="00AA56EC">
        <w:rPr>
          <w:rFonts w:cs="Arial"/>
          <w:bCs/>
        </w:rPr>
        <w:t>management report various sustainability</w:t>
      </w:r>
      <w:r w:rsidR="00C53C01" w:rsidRPr="00AA56EC">
        <w:rPr>
          <w:rFonts w:cs="Arial"/>
          <w:bCs/>
        </w:rPr>
        <w:t xml:space="preserve"> and climate-related</w:t>
      </w:r>
      <w:r w:rsidRPr="00AA56EC">
        <w:rPr>
          <w:rFonts w:cs="Arial"/>
          <w:bCs/>
        </w:rPr>
        <w:t xml:space="preserve"> KPIs including</w:t>
      </w:r>
      <w:r w:rsidR="00C53C01" w:rsidRPr="00AA56EC">
        <w:rPr>
          <w:rFonts w:cs="Arial"/>
          <w:bCs/>
        </w:rPr>
        <w:t xml:space="preserve"> </w:t>
      </w:r>
      <w:r w:rsidRPr="00AA56EC">
        <w:rPr>
          <w:rFonts w:cs="Arial"/>
          <w:bCs/>
        </w:rPr>
        <w:t>utilities usage data, fleet fuel efficiency, and broader progress against the decarbonisation strategy through the adoption of electric vehicles. Lothian also reports Scope 1, Scope 2 and Scope 3 (category 3) emissions annually.</w:t>
      </w:r>
      <w:r w:rsidR="00C53C01" w:rsidRPr="00AA56EC">
        <w:rPr>
          <w:rFonts w:cs="Arial"/>
          <w:bCs/>
        </w:rPr>
        <w:t xml:space="preserve"> </w:t>
      </w:r>
      <w:r w:rsidR="00AA56EC">
        <w:rPr>
          <w:rFonts w:cs="Arial"/>
          <w:bCs/>
        </w:rPr>
        <w:t xml:space="preserve">The Group </w:t>
      </w:r>
      <w:r w:rsidR="00C53C01" w:rsidRPr="00C53C01">
        <w:rPr>
          <w:rFonts w:cs="Arial"/>
          <w:bCs/>
        </w:rPr>
        <w:t xml:space="preserve">will continue to update our KPIs, metrics and targets </w:t>
      </w:r>
      <w:r w:rsidR="00C53C01">
        <w:rPr>
          <w:rFonts w:cs="Arial"/>
          <w:bCs/>
        </w:rPr>
        <w:t>in line with the Group’s strategy and climate related objectives.</w:t>
      </w:r>
    </w:p>
    <w:p w14:paraId="6B10034C" w14:textId="77777777" w:rsidR="00930A0B" w:rsidRPr="00AA56EC" w:rsidRDefault="00930A0B" w:rsidP="00AB3F5B">
      <w:pPr>
        <w:jc w:val="both"/>
        <w:rPr>
          <w:rFonts w:cs="Arial"/>
          <w:bCs/>
        </w:rPr>
      </w:pPr>
    </w:p>
    <w:p w14:paraId="605B7DE2" w14:textId="77777777" w:rsidR="00AB3F5B" w:rsidRDefault="00AB3F5B" w:rsidP="00A95444">
      <w:pPr>
        <w:jc w:val="both"/>
        <w:rPr>
          <w:rFonts w:cs="Arial"/>
          <w:bCs/>
        </w:rPr>
      </w:pPr>
    </w:p>
    <w:p w14:paraId="30F929EF" w14:textId="77777777" w:rsidR="004E72F0" w:rsidRPr="00AA56EC" w:rsidRDefault="00AA56EC" w:rsidP="004E72F0">
      <w:pPr>
        <w:jc w:val="both"/>
        <w:rPr>
          <w:rFonts w:cs="Arial"/>
          <w:b/>
          <w:sz w:val="12"/>
          <w:szCs w:val="12"/>
        </w:rPr>
      </w:pPr>
      <w:r>
        <w:rPr>
          <w:rFonts w:cs="Arial"/>
          <w:b/>
          <w:sz w:val="12"/>
          <w:szCs w:val="12"/>
        </w:rPr>
        <w:br w:type="page"/>
      </w:r>
    </w:p>
    <w:p w14:paraId="61CA7FB4" w14:textId="77777777" w:rsidR="00A702BB" w:rsidRPr="00820267" w:rsidRDefault="00A702BB" w:rsidP="00445308">
      <w:pPr>
        <w:jc w:val="center"/>
        <w:rPr>
          <w:b/>
        </w:rPr>
      </w:pPr>
      <w:r w:rsidRPr="00820267">
        <w:rPr>
          <w:b/>
        </w:rPr>
        <w:lastRenderedPageBreak/>
        <w:t>TRANSPORT FOR EDINBURGH LIMITED</w:t>
      </w:r>
    </w:p>
    <w:p w14:paraId="3091F9FA" w14:textId="77777777" w:rsidR="00A702BB" w:rsidRPr="00820267" w:rsidRDefault="00A702BB" w:rsidP="00A702BB">
      <w:pPr>
        <w:rPr>
          <w:b/>
        </w:rPr>
      </w:pPr>
    </w:p>
    <w:p w14:paraId="6B2FC0A3" w14:textId="77777777" w:rsidR="00A702BB" w:rsidRPr="00820267" w:rsidRDefault="00A702BB" w:rsidP="00A702BB">
      <w:pPr>
        <w:jc w:val="center"/>
        <w:rPr>
          <w:b/>
        </w:rPr>
      </w:pPr>
      <w:r w:rsidRPr="00820267">
        <w:rPr>
          <w:b/>
        </w:rPr>
        <w:t>Strategic Report (continued)</w:t>
      </w:r>
    </w:p>
    <w:p w14:paraId="21FE1EBC" w14:textId="77777777" w:rsidR="00A702BB" w:rsidRPr="00820267" w:rsidRDefault="00A702BB" w:rsidP="00A702BB">
      <w:pPr>
        <w:jc w:val="center"/>
        <w:rPr>
          <w:b/>
        </w:rPr>
      </w:pPr>
    </w:p>
    <w:p w14:paraId="2CEDCCF8" w14:textId="77777777" w:rsidR="00A702BB" w:rsidRPr="00820267" w:rsidRDefault="00D90B89" w:rsidP="00A702BB">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39DD0230" w14:textId="77777777" w:rsidR="00A702BB" w:rsidRPr="00820267" w:rsidRDefault="00A702BB" w:rsidP="00A702BB">
      <w:pPr>
        <w:pStyle w:val="NoSpacing"/>
        <w:jc w:val="both"/>
        <w:rPr>
          <w:rFonts w:ascii="Arial" w:hAnsi="Arial" w:cs="Arial"/>
          <w:b/>
          <w:bCs/>
          <w:sz w:val="20"/>
          <w:szCs w:val="20"/>
        </w:rPr>
      </w:pPr>
    </w:p>
    <w:p w14:paraId="6EA9B8D6" w14:textId="77777777" w:rsidR="00A702BB" w:rsidRPr="00AA56EC" w:rsidRDefault="00A702BB" w:rsidP="00A702BB">
      <w:pPr>
        <w:jc w:val="both"/>
        <w:rPr>
          <w:rFonts w:cs="Arial"/>
          <w:bCs/>
        </w:rPr>
      </w:pPr>
      <w:r w:rsidRPr="00AA56EC">
        <w:rPr>
          <w:rFonts w:cs="Arial"/>
          <w:b/>
        </w:rPr>
        <w:t>Climate Change and Task Force on Climate-related Financial Disclosures (continued)</w:t>
      </w:r>
    </w:p>
    <w:p w14:paraId="0024DBF0" w14:textId="77777777" w:rsidR="008B6EA1" w:rsidRPr="00B77919" w:rsidRDefault="008B6EA1" w:rsidP="00EC2CCA">
      <w:pPr>
        <w:pStyle w:val="NoSpacing"/>
        <w:jc w:val="both"/>
        <w:rPr>
          <w:rFonts w:ascii="Arial" w:hAnsi="Arial" w:cs="Arial"/>
          <w:b/>
          <w:bCs/>
          <w:sz w:val="12"/>
          <w:szCs w:val="12"/>
          <w:highlight w:val="yellow"/>
        </w:rPr>
      </w:pPr>
    </w:p>
    <w:p w14:paraId="211632C6" w14:textId="77777777" w:rsidR="00EC2CCA" w:rsidRPr="00AA56EC" w:rsidRDefault="00EC2CCA" w:rsidP="00EC2CCA">
      <w:pPr>
        <w:jc w:val="both"/>
        <w:rPr>
          <w:rFonts w:cs="Arial"/>
          <w:b/>
        </w:rPr>
      </w:pPr>
      <w:r w:rsidRPr="00AA56EC">
        <w:rPr>
          <w:rFonts w:cs="Arial"/>
          <w:b/>
        </w:rPr>
        <w:t>RISK MANAGEMENT</w:t>
      </w:r>
    </w:p>
    <w:p w14:paraId="6BA68C54" w14:textId="77777777" w:rsidR="00EC2CCA" w:rsidRPr="00AA56EC" w:rsidRDefault="00EC2CCA" w:rsidP="00EC2CCA">
      <w:pPr>
        <w:jc w:val="both"/>
        <w:rPr>
          <w:rFonts w:cs="Arial"/>
          <w:b/>
          <w:sz w:val="14"/>
          <w:szCs w:val="14"/>
        </w:rPr>
      </w:pPr>
    </w:p>
    <w:p w14:paraId="6F6255CB" w14:textId="77777777" w:rsidR="00EC2CCA" w:rsidRPr="00AA56EC" w:rsidRDefault="00EC2CCA" w:rsidP="00EC2CCA">
      <w:pPr>
        <w:jc w:val="both"/>
        <w:rPr>
          <w:rFonts w:cs="Arial"/>
          <w:bCs/>
        </w:rPr>
      </w:pPr>
      <w:r w:rsidRPr="00AA56EC">
        <w:rPr>
          <w:rFonts w:cs="Arial"/>
          <w:b/>
        </w:rPr>
        <w:t xml:space="preserve">Recommendations: </w:t>
      </w:r>
      <w:r w:rsidRPr="00AA56EC">
        <w:rPr>
          <w:rFonts w:cs="Arial"/>
          <w:bCs/>
        </w:rPr>
        <w:t>Disclose how the group identifies, assesses and manages climate-related risks.</w:t>
      </w:r>
    </w:p>
    <w:p w14:paraId="2A824083" w14:textId="77777777" w:rsidR="00EC2CCA" w:rsidRPr="00AA56EC" w:rsidRDefault="00EC2CCA" w:rsidP="00EC2CCA">
      <w:pPr>
        <w:jc w:val="both"/>
        <w:rPr>
          <w:rFonts w:cs="Arial"/>
          <w:bCs/>
          <w:sz w:val="12"/>
          <w:szCs w:val="12"/>
        </w:rPr>
      </w:pPr>
    </w:p>
    <w:p w14:paraId="61F1AD7E" w14:textId="77777777" w:rsidR="00EC2CCA" w:rsidRPr="00AA56EC" w:rsidRDefault="00EC2CCA" w:rsidP="00EC2CCA">
      <w:pPr>
        <w:jc w:val="both"/>
        <w:rPr>
          <w:rFonts w:cs="Arial"/>
          <w:bCs/>
        </w:rPr>
      </w:pPr>
      <w:r w:rsidRPr="00AA56EC">
        <w:rPr>
          <w:rFonts w:cs="Arial"/>
          <w:bCs/>
        </w:rPr>
        <w:t>These principally qualitative disclosures are designed to assist primary annual report users to assess the adequacy and effectiveness of the group’s Board</w:t>
      </w:r>
      <w:r w:rsidR="00570C54">
        <w:rPr>
          <w:rFonts w:cs="Arial"/>
          <w:bCs/>
        </w:rPr>
        <w:t>s</w:t>
      </w:r>
      <w:r w:rsidRPr="00AA56EC">
        <w:rPr>
          <w:rFonts w:cs="Arial"/>
          <w:bCs/>
        </w:rPr>
        <w:t xml:space="preserve"> to oversee, evaluate and manage climate-related issues.</w:t>
      </w:r>
    </w:p>
    <w:p w14:paraId="0F9994B1" w14:textId="77777777" w:rsidR="00EC2CCA" w:rsidRPr="00AA56EC" w:rsidRDefault="00EC2CCA" w:rsidP="00EC2CCA">
      <w:pPr>
        <w:jc w:val="both"/>
        <w:rPr>
          <w:rFonts w:cs="Arial"/>
          <w:b/>
          <w:sz w:val="14"/>
          <w:szCs w:val="14"/>
        </w:rPr>
      </w:pPr>
    </w:p>
    <w:p w14:paraId="11E9FC95" w14:textId="77777777" w:rsidR="00AA56EC" w:rsidRPr="00AA56EC" w:rsidRDefault="00EC2CCA" w:rsidP="00A75BB8">
      <w:pPr>
        <w:jc w:val="both"/>
        <w:rPr>
          <w:rFonts w:cs="Arial"/>
          <w:b/>
        </w:rPr>
      </w:pPr>
      <w:r w:rsidRPr="00AA56EC">
        <w:rPr>
          <w:rFonts w:cs="Arial"/>
          <w:b/>
        </w:rPr>
        <w:t xml:space="preserve">(a) </w:t>
      </w:r>
      <w:r w:rsidR="00646057" w:rsidRPr="00AA56EC">
        <w:rPr>
          <w:rFonts w:cs="Arial"/>
          <w:b/>
        </w:rPr>
        <w:t>Describe</w:t>
      </w:r>
      <w:r w:rsidRPr="00AA56EC">
        <w:rPr>
          <w:rFonts w:cs="Arial"/>
          <w:b/>
        </w:rPr>
        <w:t xml:space="preserve"> the group’s processes for identifying and assessing climate-related risks.</w:t>
      </w:r>
      <w:r w:rsidR="00A75BB8" w:rsidRPr="00AA56EC">
        <w:rPr>
          <w:rFonts w:cs="Arial"/>
          <w:b/>
        </w:rPr>
        <w:t xml:space="preserve"> </w:t>
      </w:r>
    </w:p>
    <w:p w14:paraId="588B8F08" w14:textId="77777777" w:rsidR="00AA56EC" w:rsidRPr="00AA56EC" w:rsidRDefault="00A75BB8" w:rsidP="00A75BB8">
      <w:pPr>
        <w:jc w:val="both"/>
        <w:rPr>
          <w:rFonts w:cs="Arial"/>
          <w:b/>
        </w:rPr>
      </w:pPr>
      <w:r w:rsidRPr="00AA56EC">
        <w:rPr>
          <w:rFonts w:cs="Arial"/>
          <w:b/>
        </w:rPr>
        <w:t>(b) Describe the group’s processes for managing climate-related risks.</w:t>
      </w:r>
      <w:r w:rsidR="00E031AD" w:rsidRPr="00AA56EC">
        <w:rPr>
          <w:rFonts w:cs="Arial"/>
          <w:b/>
        </w:rPr>
        <w:t xml:space="preserve"> </w:t>
      </w:r>
    </w:p>
    <w:p w14:paraId="7CFB1ADE" w14:textId="77777777" w:rsidR="00A75BB8" w:rsidRPr="00276D09" w:rsidRDefault="00E031AD" w:rsidP="00BC6F04">
      <w:pPr>
        <w:ind w:left="322" w:hanging="322"/>
        <w:jc w:val="both"/>
        <w:rPr>
          <w:rFonts w:cs="Arial"/>
          <w:b/>
        </w:rPr>
      </w:pPr>
      <w:r w:rsidRPr="00AA56EC">
        <w:rPr>
          <w:rFonts w:cs="Arial"/>
          <w:b/>
        </w:rPr>
        <w:t>(c) Describe how processes for identifying, assessing and managing climate-related risks are integrated into the group’s overall risk management.</w:t>
      </w:r>
    </w:p>
    <w:p w14:paraId="4842A53E" w14:textId="77777777" w:rsidR="00A75BB8" w:rsidRPr="00276D09" w:rsidRDefault="00A75BB8" w:rsidP="00A75BB8">
      <w:pPr>
        <w:jc w:val="both"/>
        <w:rPr>
          <w:rFonts w:cs="Arial"/>
          <w:bCs/>
          <w:sz w:val="12"/>
          <w:szCs w:val="12"/>
        </w:rPr>
      </w:pPr>
    </w:p>
    <w:p w14:paraId="3FCA1942" w14:textId="77777777" w:rsidR="00320B40" w:rsidRDefault="00EC2CCA" w:rsidP="00EC2CCA">
      <w:pPr>
        <w:jc w:val="both"/>
        <w:rPr>
          <w:rFonts w:cs="Arial"/>
          <w:bCs/>
        </w:rPr>
      </w:pPr>
      <w:r w:rsidRPr="00AA56EC">
        <w:rPr>
          <w:rFonts w:cs="Arial"/>
          <w:bCs/>
        </w:rPr>
        <w:t xml:space="preserve">We identify climate-related risks in a varying number of ways. These include; </w:t>
      </w:r>
    </w:p>
    <w:p w14:paraId="4737DBBB" w14:textId="77777777" w:rsidR="00320B40" w:rsidRDefault="00320B40" w:rsidP="00EC2CCA">
      <w:pPr>
        <w:jc w:val="both"/>
        <w:rPr>
          <w:rFonts w:cs="Arial"/>
          <w:bCs/>
        </w:rPr>
      </w:pPr>
    </w:p>
    <w:p w14:paraId="44F57E35" w14:textId="77777777" w:rsidR="00320B40" w:rsidRDefault="00EC2CCA" w:rsidP="00A5227C">
      <w:pPr>
        <w:numPr>
          <w:ilvl w:val="0"/>
          <w:numId w:val="51"/>
        </w:numPr>
        <w:ind w:left="567" w:hanging="207"/>
        <w:jc w:val="both"/>
        <w:rPr>
          <w:rFonts w:cs="Arial"/>
          <w:bCs/>
        </w:rPr>
      </w:pPr>
      <w:r w:rsidRPr="00AA56EC">
        <w:rPr>
          <w:rFonts w:cs="Arial"/>
          <w:bCs/>
        </w:rPr>
        <w:t>monitoring, reviewing and considering new and emerging regulatory requirements related to climate change, including sector specific requirements related to vehicle types</w:t>
      </w:r>
      <w:r w:rsidR="00AA56EC">
        <w:rPr>
          <w:rFonts w:cs="Arial"/>
          <w:bCs/>
        </w:rPr>
        <w:t>.</w:t>
      </w:r>
      <w:r w:rsidRPr="00AA56EC">
        <w:rPr>
          <w:rFonts w:cs="Arial"/>
          <w:bCs/>
        </w:rPr>
        <w:t xml:space="preserve"> </w:t>
      </w:r>
    </w:p>
    <w:p w14:paraId="18F798F7" w14:textId="77777777" w:rsidR="00320B40" w:rsidRDefault="00EC2CCA" w:rsidP="00A5227C">
      <w:pPr>
        <w:numPr>
          <w:ilvl w:val="0"/>
          <w:numId w:val="51"/>
        </w:numPr>
        <w:ind w:left="567" w:hanging="207"/>
        <w:jc w:val="both"/>
        <w:rPr>
          <w:rFonts w:cs="Arial"/>
          <w:bCs/>
        </w:rPr>
      </w:pPr>
      <w:r w:rsidRPr="00AA56EC">
        <w:rPr>
          <w:rFonts w:cs="Arial"/>
          <w:bCs/>
        </w:rPr>
        <w:t>establishing and maintaining relationships with government bodies and local councils to review, understand, provide feedback and anticipate future policy and regulatory changes relating to climate change</w:t>
      </w:r>
      <w:r w:rsidR="00AA56EC">
        <w:rPr>
          <w:rFonts w:cs="Arial"/>
          <w:bCs/>
        </w:rPr>
        <w:t>.</w:t>
      </w:r>
      <w:r w:rsidRPr="00AA56EC">
        <w:rPr>
          <w:rFonts w:cs="Arial"/>
          <w:bCs/>
        </w:rPr>
        <w:t xml:space="preserve"> </w:t>
      </w:r>
    </w:p>
    <w:p w14:paraId="6DB3E9CF" w14:textId="77777777" w:rsidR="00320B40" w:rsidRDefault="00EC2CCA" w:rsidP="00A5227C">
      <w:pPr>
        <w:numPr>
          <w:ilvl w:val="0"/>
          <w:numId w:val="51"/>
        </w:numPr>
        <w:ind w:left="567" w:hanging="207"/>
        <w:jc w:val="both"/>
        <w:rPr>
          <w:rFonts w:cs="Arial"/>
          <w:bCs/>
        </w:rPr>
      </w:pPr>
      <w:r w:rsidRPr="00AA56EC">
        <w:rPr>
          <w:rFonts w:cs="Arial"/>
          <w:bCs/>
        </w:rPr>
        <w:t>holding meetings with internal senior managers and external experts to discuss climate-related risks and related ideas</w:t>
      </w:r>
      <w:r w:rsidR="00AA56EC">
        <w:rPr>
          <w:rFonts w:cs="Arial"/>
          <w:bCs/>
        </w:rPr>
        <w:t>.</w:t>
      </w:r>
    </w:p>
    <w:p w14:paraId="2A1D9F3D" w14:textId="77777777" w:rsidR="00AA56EC" w:rsidRDefault="00930A0B" w:rsidP="00A5227C">
      <w:pPr>
        <w:numPr>
          <w:ilvl w:val="0"/>
          <w:numId w:val="51"/>
        </w:numPr>
        <w:ind w:left="567" w:hanging="207"/>
        <w:jc w:val="both"/>
        <w:rPr>
          <w:rFonts w:cs="Arial"/>
          <w:bCs/>
        </w:rPr>
      </w:pPr>
      <w:r>
        <w:rPr>
          <w:rFonts w:cs="Arial"/>
          <w:bCs/>
        </w:rPr>
        <w:t>establishing</w:t>
      </w:r>
      <w:r w:rsidR="00EC2CCA" w:rsidRPr="00AA56EC">
        <w:rPr>
          <w:rFonts w:cs="Arial"/>
          <w:bCs/>
        </w:rPr>
        <w:t xml:space="preserve"> an Environment &amp; Sustainability group</w:t>
      </w:r>
      <w:r>
        <w:rPr>
          <w:rFonts w:cs="Arial"/>
          <w:bCs/>
        </w:rPr>
        <w:t xml:space="preserve"> in Lothian Buses</w:t>
      </w:r>
      <w:r w:rsidR="00EC2CCA" w:rsidRPr="00AA56EC">
        <w:rPr>
          <w:rFonts w:cs="Arial"/>
          <w:bCs/>
        </w:rPr>
        <w:t xml:space="preserve"> (led by the Engineering Director) to consider climate-related risks as part of its remit together with actions to reduce Greenhouse Gas Emissions</w:t>
      </w:r>
      <w:r w:rsidR="00AA56EC">
        <w:rPr>
          <w:rFonts w:cs="Arial"/>
          <w:bCs/>
        </w:rPr>
        <w:t>.</w:t>
      </w:r>
      <w:r w:rsidR="00EC2CCA" w:rsidRPr="00AA56EC">
        <w:rPr>
          <w:rFonts w:cs="Arial"/>
          <w:bCs/>
        </w:rPr>
        <w:t xml:space="preserve"> </w:t>
      </w:r>
    </w:p>
    <w:p w14:paraId="4D72B682" w14:textId="77777777" w:rsidR="00320B40" w:rsidRDefault="00EC2CCA" w:rsidP="00A5227C">
      <w:pPr>
        <w:numPr>
          <w:ilvl w:val="0"/>
          <w:numId w:val="51"/>
        </w:numPr>
        <w:ind w:left="567" w:hanging="207"/>
        <w:jc w:val="both"/>
        <w:rPr>
          <w:rFonts w:cs="Arial"/>
          <w:bCs/>
        </w:rPr>
      </w:pPr>
      <w:r w:rsidRPr="00AA56EC">
        <w:rPr>
          <w:rFonts w:cs="Arial"/>
          <w:bCs/>
        </w:rPr>
        <w:t>creating a Risk Register detailing climate-related risks identified by colleagues across the group</w:t>
      </w:r>
      <w:r w:rsidR="00AA56EC">
        <w:rPr>
          <w:rFonts w:cs="Arial"/>
          <w:bCs/>
        </w:rPr>
        <w:t>.</w:t>
      </w:r>
    </w:p>
    <w:p w14:paraId="44D080C7" w14:textId="77777777" w:rsidR="00320B40" w:rsidRDefault="00EC2CCA" w:rsidP="00A5227C">
      <w:pPr>
        <w:numPr>
          <w:ilvl w:val="0"/>
          <w:numId w:val="51"/>
        </w:numPr>
        <w:ind w:left="567" w:hanging="207"/>
        <w:jc w:val="both"/>
        <w:rPr>
          <w:rFonts w:cs="Arial"/>
          <w:bCs/>
        </w:rPr>
      </w:pPr>
      <w:r w:rsidRPr="00AA56EC">
        <w:rPr>
          <w:rFonts w:cs="Arial"/>
          <w:bCs/>
        </w:rPr>
        <w:t>having our Health &amp; Safety Committee also considering climate-related risks as part of their role and senior managers from therein bringing insight from their breadth of experience</w:t>
      </w:r>
      <w:r w:rsidR="00AA56EC">
        <w:rPr>
          <w:rFonts w:cs="Arial"/>
          <w:bCs/>
        </w:rPr>
        <w:t>.</w:t>
      </w:r>
    </w:p>
    <w:p w14:paraId="0DE92D2F" w14:textId="77777777" w:rsidR="00320B40" w:rsidRDefault="00EC2CCA" w:rsidP="00A5227C">
      <w:pPr>
        <w:numPr>
          <w:ilvl w:val="0"/>
          <w:numId w:val="51"/>
        </w:numPr>
        <w:ind w:left="567" w:hanging="207"/>
        <w:jc w:val="both"/>
        <w:rPr>
          <w:rFonts w:cs="Arial"/>
          <w:bCs/>
        </w:rPr>
      </w:pPr>
      <w:r w:rsidRPr="00AA56EC">
        <w:rPr>
          <w:rFonts w:cs="Arial"/>
          <w:bCs/>
        </w:rPr>
        <w:t xml:space="preserve">reviewing information from other transport operators and relevant businesses in different sectors and considering the extent to which climate-related risks they identify are equally applicable to us. </w:t>
      </w:r>
    </w:p>
    <w:p w14:paraId="45772436" w14:textId="77777777" w:rsidR="00320B40" w:rsidRDefault="00320B40" w:rsidP="00EC2CCA">
      <w:pPr>
        <w:jc w:val="both"/>
        <w:rPr>
          <w:rFonts w:cs="Arial"/>
          <w:bCs/>
        </w:rPr>
      </w:pPr>
    </w:p>
    <w:p w14:paraId="06B5180B" w14:textId="77777777" w:rsidR="00EC2CCA" w:rsidRPr="00AA56EC" w:rsidRDefault="00EC2CCA" w:rsidP="00EC2CCA">
      <w:pPr>
        <w:jc w:val="both"/>
        <w:rPr>
          <w:rFonts w:cs="Arial"/>
          <w:bCs/>
        </w:rPr>
      </w:pPr>
      <w:r w:rsidRPr="00AA56EC">
        <w:rPr>
          <w:rFonts w:cs="Arial"/>
          <w:bCs/>
        </w:rPr>
        <w:t xml:space="preserve">The main risks identified and assessed relate primarily to changing customer habits, technology, national and local government policy and related legislation, operational risks, financial impact and extreme weather events (with snow and wind being those most disruptive to our services). </w:t>
      </w:r>
    </w:p>
    <w:p w14:paraId="6C680B1A" w14:textId="77777777" w:rsidR="00EC2CCA" w:rsidRPr="00B77919" w:rsidRDefault="00EC2CCA" w:rsidP="00EC2CCA">
      <w:pPr>
        <w:jc w:val="both"/>
        <w:rPr>
          <w:rFonts w:cs="Arial"/>
          <w:b/>
          <w:sz w:val="14"/>
          <w:szCs w:val="14"/>
          <w:highlight w:val="yellow"/>
        </w:rPr>
      </w:pPr>
    </w:p>
    <w:p w14:paraId="6E7ECB9E" w14:textId="13A57428" w:rsidR="00A75BB8" w:rsidRDefault="00EC2CCA" w:rsidP="00EC2CCA">
      <w:pPr>
        <w:jc w:val="both"/>
        <w:rPr>
          <w:rFonts w:cs="Arial"/>
          <w:bCs/>
        </w:rPr>
      </w:pPr>
      <w:r w:rsidRPr="00AA56EC">
        <w:rPr>
          <w:rFonts w:cs="Arial"/>
          <w:bCs/>
        </w:rPr>
        <w:t>As with any other risk we evaluate the potential likelihood, effect and impact of each of the identified climate-related risk</w:t>
      </w:r>
      <w:r w:rsidR="008B3496">
        <w:rPr>
          <w:rFonts w:cs="Arial"/>
          <w:bCs/>
        </w:rPr>
        <w:t>s</w:t>
      </w:r>
      <w:r w:rsidRPr="00AA56EC">
        <w:rPr>
          <w:rFonts w:cs="Arial"/>
          <w:bCs/>
        </w:rPr>
        <w:t xml:space="preserve"> occurring and </w:t>
      </w:r>
      <w:r w:rsidR="00570C54">
        <w:rPr>
          <w:rFonts w:cs="Arial"/>
          <w:bCs/>
        </w:rPr>
        <w:t>manage</w:t>
      </w:r>
      <w:r w:rsidRPr="00AA56EC">
        <w:rPr>
          <w:rFonts w:cs="Arial"/>
          <w:bCs/>
        </w:rPr>
        <w:t xml:space="preserve"> these risks on a priority basis</w:t>
      </w:r>
      <w:r w:rsidR="00570C54">
        <w:rPr>
          <w:rFonts w:cs="Arial"/>
          <w:bCs/>
        </w:rPr>
        <w:t xml:space="preserve"> using standard risk management processes</w:t>
      </w:r>
      <w:r w:rsidR="00A75BB8">
        <w:rPr>
          <w:rFonts w:cs="Arial"/>
          <w:bCs/>
        </w:rPr>
        <w:t xml:space="preserve"> and consulting external experts where appropriate</w:t>
      </w:r>
      <w:r w:rsidRPr="00AA56EC">
        <w:rPr>
          <w:rFonts w:cs="Arial"/>
          <w:bCs/>
        </w:rPr>
        <w:t xml:space="preserve">. We </w:t>
      </w:r>
      <w:r w:rsidR="0015539B">
        <w:rPr>
          <w:rFonts w:cs="Arial"/>
          <w:bCs/>
        </w:rPr>
        <w:t xml:space="preserve">also engage </w:t>
      </w:r>
      <w:r w:rsidRPr="00AA56EC">
        <w:rPr>
          <w:rFonts w:cs="Arial"/>
          <w:bCs/>
        </w:rPr>
        <w:t xml:space="preserve">with local authorities and government bodies </w:t>
      </w:r>
      <w:r w:rsidR="0015539B">
        <w:rPr>
          <w:rFonts w:cs="Arial"/>
          <w:bCs/>
        </w:rPr>
        <w:t xml:space="preserve">in pursuing </w:t>
      </w:r>
      <w:r w:rsidRPr="00AA56EC">
        <w:rPr>
          <w:rFonts w:cs="Arial"/>
          <w:bCs/>
        </w:rPr>
        <w:t>common objectives to increase bus</w:t>
      </w:r>
      <w:r w:rsidR="00E031AD">
        <w:rPr>
          <w:rFonts w:cs="Arial"/>
          <w:bCs/>
        </w:rPr>
        <w:t xml:space="preserve"> and tram</w:t>
      </w:r>
      <w:r w:rsidRPr="00AA56EC">
        <w:rPr>
          <w:rFonts w:cs="Arial"/>
          <w:bCs/>
        </w:rPr>
        <w:t xml:space="preserve"> journeys, reduce private car journeys, reduce traffic congestion, improve air quality and positively affect climate change</w:t>
      </w:r>
      <w:r w:rsidR="00E031AD">
        <w:rPr>
          <w:rFonts w:cs="Arial"/>
          <w:bCs/>
        </w:rPr>
        <w:t xml:space="preserve"> through promoting the use of public transport</w:t>
      </w:r>
      <w:r w:rsidRPr="00AA56EC">
        <w:rPr>
          <w:rFonts w:cs="Arial"/>
          <w:bCs/>
        </w:rPr>
        <w:t xml:space="preserve">. </w:t>
      </w:r>
    </w:p>
    <w:p w14:paraId="11567140" w14:textId="77777777" w:rsidR="00A75BB8" w:rsidRDefault="00A75BB8" w:rsidP="00EC2CCA">
      <w:pPr>
        <w:jc w:val="both"/>
        <w:rPr>
          <w:rFonts w:cs="Arial"/>
          <w:bCs/>
        </w:rPr>
      </w:pPr>
    </w:p>
    <w:p w14:paraId="3C4359AD" w14:textId="7AAB1211" w:rsidR="00EC2CCA" w:rsidRPr="00AA56EC" w:rsidRDefault="00EC2CCA" w:rsidP="007615DD">
      <w:pPr>
        <w:jc w:val="both"/>
        <w:rPr>
          <w:rFonts w:cs="Arial"/>
          <w:bCs/>
        </w:rPr>
      </w:pPr>
      <w:r w:rsidRPr="00AA56EC">
        <w:rPr>
          <w:rFonts w:cs="Arial"/>
          <w:bCs/>
        </w:rPr>
        <w:t xml:space="preserve">Climate-related risks are considered part of our overall risk management process </w:t>
      </w:r>
      <w:r w:rsidR="00E031AD">
        <w:rPr>
          <w:rFonts w:cs="Arial"/>
          <w:bCs/>
        </w:rPr>
        <w:t>and</w:t>
      </w:r>
      <w:r w:rsidR="007615DD">
        <w:rPr>
          <w:rFonts w:cs="Arial"/>
          <w:bCs/>
        </w:rPr>
        <w:t xml:space="preserve"> are evaluated</w:t>
      </w:r>
      <w:r w:rsidR="00E031AD">
        <w:rPr>
          <w:rFonts w:cs="Arial"/>
          <w:bCs/>
        </w:rPr>
        <w:t xml:space="preserve"> in conjunction with our</w:t>
      </w:r>
      <w:r w:rsidRPr="00AA56EC">
        <w:rPr>
          <w:rFonts w:cs="Arial"/>
          <w:bCs/>
        </w:rPr>
        <w:t xml:space="preserve"> strategy. Our overall strategy is set by the Board</w:t>
      </w:r>
      <w:r w:rsidR="00E031AD">
        <w:rPr>
          <w:rFonts w:cs="Arial"/>
          <w:bCs/>
        </w:rPr>
        <w:t>s</w:t>
      </w:r>
      <w:r w:rsidRPr="00AA56EC">
        <w:rPr>
          <w:rFonts w:cs="Arial"/>
          <w:bCs/>
        </w:rPr>
        <w:t xml:space="preserve"> which </w:t>
      </w:r>
      <w:r w:rsidR="00E031AD">
        <w:rPr>
          <w:rFonts w:cs="Arial"/>
          <w:bCs/>
        </w:rPr>
        <w:t>assesse</w:t>
      </w:r>
      <w:r w:rsidR="009A3C12">
        <w:rPr>
          <w:rFonts w:cs="Arial"/>
          <w:bCs/>
        </w:rPr>
        <w:t>d</w:t>
      </w:r>
      <w:r w:rsidRPr="00AA56EC">
        <w:rPr>
          <w:rFonts w:cs="Arial"/>
          <w:bCs/>
        </w:rPr>
        <w:t xml:space="preserve"> key risks that are a threat to achieving the group’s strategic objectives. The</w:t>
      </w:r>
      <w:r w:rsidR="00E031AD">
        <w:rPr>
          <w:rFonts w:cs="Arial"/>
          <w:bCs/>
        </w:rPr>
        <w:t xml:space="preserve"> </w:t>
      </w:r>
      <w:r w:rsidR="00FF4967">
        <w:rPr>
          <w:rFonts w:cs="Arial"/>
          <w:bCs/>
        </w:rPr>
        <w:t>B</w:t>
      </w:r>
      <w:r w:rsidR="00E031AD">
        <w:rPr>
          <w:rFonts w:cs="Arial"/>
          <w:bCs/>
        </w:rPr>
        <w:t>oard</w:t>
      </w:r>
      <w:r w:rsidR="00FF4967">
        <w:rPr>
          <w:rFonts w:cs="Arial"/>
          <w:bCs/>
        </w:rPr>
        <w:t>s</w:t>
      </w:r>
      <w:r w:rsidR="00E031AD">
        <w:rPr>
          <w:rFonts w:cs="Arial"/>
          <w:bCs/>
        </w:rPr>
        <w:t xml:space="preserve"> use </w:t>
      </w:r>
      <w:r w:rsidR="00FF4967">
        <w:rPr>
          <w:rFonts w:cs="Arial"/>
          <w:bCs/>
        </w:rPr>
        <w:t xml:space="preserve">a </w:t>
      </w:r>
      <w:r w:rsidRPr="00AA56EC">
        <w:rPr>
          <w:rFonts w:cs="Arial"/>
          <w:bCs/>
        </w:rPr>
        <w:t xml:space="preserve">Risk Register </w:t>
      </w:r>
      <w:r w:rsidR="00E031AD">
        <w:rPr>
          <w:rFonts w:cs="Arial"/>
          <w:bCs/>
        </w:rPr>
        <w:t>to</w:t>
      </w:r>
      <w:r w:rsidRPr="00AA56EC">
        <w:rPr>
          <w:rFonts w:cs="Arial"/>
          <w:bCs/>
        </w:rPr>
        <w:t xml:space="preserve"> facilitate wider discussion on current risks and </w:t>
      </w:r>
      <w:r w:rsidR="007615DD">
        <w:rPr>
          <w:rFonts w:cs="Arial"/>
          <w:bCs/>
        </w:rPr>
        <w:t xml:space="preserve">perform </w:t>
      </w:r>
      <w:r w:rsidRPr="00AA56EC">
        <w:rPr>
          <w:rFonts w:cs="Arial"/>
          <w:bCs/>
        </w:rPr>
        <w:t xml:space="preserve">horizon scanning for potential emerging risks. </w:t>
      </w:r>
      <w:r w:rsidR="00FF4967">
        <w:rPr>
          <w:rFonts w:cs="Arial"/>
          <w:bCs/>
        </w:rPr>
        <w:t>Lothian’s</w:t>
      </w:r>
      <w:r w:rsidRPr="00AA56EC">
        <w:rPr>
          <w:rFonts w:cs="Arial"/>
          <w:bCs/>
        </w:rPr>
        <w:t xml:space="preserve"> Head of Risk also integrates climate-related risks into function/departmental specific risk management process</w:t>
      </w:r>
      <w:r w:rsidR="00E031AD">
        <w:rPr>
          <w:rFonts w:cs="Arial"/>
          <w:bCs/>
        </w:rPr>
        <w:t>es</w:t>
      </w:r>
      <w:r w:rsidRPr="00AA56EC">
        <w:rPr>
          <w:rFonts w:cs="Arial"/>
          <w:bCs/>
        </w:rPr>
        <w:t>. Input is also obtained from other Senior Management using their breadth of knowledge and experience in managing risks.</w:t>
      </w:r>
    </w:p>
    <w:p w14:paraId="7ED408E0" w14:textId="77777777" w:rsidR="009E7DC5" w:rsidRPr="00820267" w:rsidRDefault="00457667" w:rsidP="000E42F4">
      <w:pPr>
        <w:jc w:val="center"/>
        <w:outlineLvl w:val="0"/>
        <w:rPr>
          <w:b/>
        </w:rPr>
      </w:pPr>
      <w:r w:rsidRPr="007615DD">
        <w:rPr>
          <w:rFonts w:cs="Arial"/>
          <w:bCs/>
        </w:rPr>
        <w:br w:type="page"/>
      </w:r>
      <w:r w:rsidR="009E7DC5" w:rsidRPr="00820267">
        <w:rPr>
          <w:b/>
        </w:rPr>
        <w:lastRenderedPageBreak/>
        <w:t>TRANSPORT FOR EDINBURGH LIMITED</w:t>
      </w:r>
    </w:p>
    <w:p w14:paraId="27658112" w14:textId="77777777" w:rsidR="009E7DC5" w:rsidRPr="00820267" w:rsidRDefault="009E7DC5" w:rsidP="009E7DC5">
      <w:pPr>
        <w:rPr>
          <w:b/>
        </w:rPr>
      </w:pPr>
    </w:p>
    <w:p w14:paraId="7C156794" w14:textId="77777777" w:rsidR="009E7DC5" w:rsidRPr="00820267" w:rsidRDefault="009E7DC5" w:rsidP="009E7DC5">
      <w:pPr>
        <w:jc w:val="center"/>
        <w:rPr>
          <w:b/>
        </w:rPr>
      </w:pPr>
      <w:r w:rsidRPr="00820267">
        <w:rPr>
          <w:b/>
        </w:rPr>
        <w:t>Strategic Report (continued)</w:t>
      </w:r>
    </w:p>
    <w:p w14:paraId="5C338303" w14:textId="77777777" w:rsidR="009E7DC5" w:rsidRPr="00820267" w:rsidRDefault="009E7DC5" w:rsidP="009E7DC5">
      <w:pPr>
        <w:jc w:val="center"/>
        <w:rPr>
          <w:b/>
        </w:rPr>
      </w:pPr>
    </w:p>
    <w:p w14:paraId="3F35F9CF" w14:textId="77777777" w:rsidR="009E7DC5" w:rsidRPr="00820267" w:rsidRDefault="00D90B89" w:rsidP="009E7DC5">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14BD4D5F" w14:textId="77777777" w:rsidR="004E72F0" w:rsidRPr="00C328EF" w:rsidRDefault="004E72F0" w:rsidP="004E72F0">
      <w:pPr>
        <w:jc w:val="both"/>
        <w:rPr>
          <w:rFonts w:cs="Arial"/>
          <w:b/>
          <w:highlight w:val="yellow"/>
        </w:rPr>
      </w:pPr>
    </w:p>
    <w:p w14:paraId="3D4E00D1" w14:textId="77777777" w:rsidR="004E72F0" w:rsidRPr="008B6EA1" w:rsidRDefault="004E72F0" w:rsidP="004E72F0">
      <w:pPr>
        <w:jc w:val="both"/>
        <w:rPr>
          <w:rFonts w:cs="Arial"/>
          <w:bCs/>
        </w:rPr>
      </w:pPr>
      <w:r w:rsidRPr="008B6EA1">
        <w:rPr>
          <w:rFonts w:cs="Arial"/>
          <w:b/>
        </w:rPr>
        <w:t>Climate Change and Task Force on Climate-related Financial Disclosures (continued)</w:t>
      </w:r>
    </w:p>
    <w:p w14:paraId="74821A74" w14:textId="77777777" w:rsidR="004E72F0" w:rsidRPr="008B6EA1" w:rsidRDefault="004E72F0" w:rsidP="004E72F0">
      <w:pPr>
        <w:jc w:val="both"/>
        <w:rPr>
          <w:rFonts w:cs="Arial"/>
          <w:b/>
          <w:sz w:val="12"/>
          <w:szCs w:val="12"/>
        </w:rPr>
      </w:pPr>
    </w:p>
    <w:p w14:paraId="3E3DCDC0" w14:textId="77777777" w:rsidR="008B6EA1" w:rsidRPr="0008397D" w:rsidRDefault="008B6EA1" w:rsidP="008B6EA1">
      <w:pPr>
        <w:jc w:val="both"/>
        <w:rPr>
          <w:rFonts w:cs="Arial"/>
          <w:b/>
        </w:rPr>
      </w:pPr>
      <w:r w:rsidRPr="0008397D">
        <w:rPr>
          <w:rFonts w:cs="Arial"/>
          <w:b/>
        </w:rPr>
        <w:t>METRICS &amp; TARGETS</w:t>
      </w:r>
    </w:p>
    <w:p w14:paraId="640B1118" w14:textId="77777777" w:rsidR="008B6EA1" w:rsidRPr="0008397D" w:rsidRDefault="008B6EA1" w:rsidP="008B6EA1">
      <w:pPr>
        <w:jc w:val="both"/>
        <w:rPr>
          <w:rFonts w:cs="Arial"/>
          <w:b/>
          <w:sz w:val="12"/>
          <w:szCs w:val="12"/>
        </w:rPr>
      </w:pPr>
    </w:p>
    <w:p w14:paraId="179BB776" w14:textId="77777777" w:rsidR="008B6EA1" w:rsidRPr="00E031AD" w:rsidRDefault="008B6EA1" w:rsidP="008B6EA1">
      <w:pPr>
        <w:jc w:val="both"/>
        <w:rPr>
          <w:rFonts w:cs="Arial"/>
          <w:bCs/>
        </w:rPr>
      </w:pPr>
      <w:r w:rsidRPr="00E031AD">
        <w:rPr>
          <w:rFonts w:cs="Arial"/>
          <w:b/>
        </w:rPr>
        <w:t xml:space="preserve">Recommendations: </w:t>
      </w:r>
      <w:r w:rsidRPr="00E031AD">
        <w:rPr>
          <w:rFonts w:cs="Arial"/>
          <w:bCs/>
        </w:rPr>
        <w:t>Disclose the metrics and targets used to assess and manage relevant climate-related risks and opportunities where such information is material.</w:t>
      </w:r>
    </w:p>
    <w:p w14:paraId="4BD9F95E" w14:textId="77777777" w:rsidR="008B6EA1" w:rsidRPr="00E031AD" w:rsidRDefault="008B6EA1" w:rsidP="008B6EA1">
      <w:pPr>
        <w:jc w:val="both"/>
        <w:rPr>
          <w:rFonts w:cs="Arial"/>
          <w:bCs/>
          <w:sz w:val="14"/>
          <w:szCs w:val="14"/>
        </w:rPr>
      </w:pPr>
    </w:p>
    <w:p w14:paraId="04405A47" w14:textId="77777777" w:rsidR="00E031AD" w:rsidRPr="007615DD" w:rsidRDefault="00E031AD" w:rsidP="00FF4967">
      <w:pPr>
        <w:ind w:left="364" w:hanging="364"/>
        <w:jc w:val="both"/>
        <w:rPr>
          <w:rFonts w:cs="Arial"/>
          <w:b/>
        </w:rPr>
      </w:pPr>
      <w:r w:rsidRPr="007615DD">
        <w:rPr>
          <w:rFonts w:cs="Arial"/>
          <w:b/>
        </w:rPr>
        <w:t xml:space="preserve">(a) </w:t>
      </w:r>
      <w:r w:rsidR="00FF4967">
        <w:rPr>
          <w:rFonts w:cs="Arial"/>
          <w:b/>
        </w:rPr>
        <w:t xml:space="preserve"> </w:t>
      </w:r>
      <w:r w:rsidRPr="007615DD">
        <w:rPr>
          <w:rFonts w:cs="Arial"/>
          <w:b/>
        </w:rPr>
        <w:t>Disclose the metrics used by the group to assess climate-related risks and opportunities in line with group strategy and risk management process.</w:t>
      </w:r>
    </w:p>
    <w:p w14:paraId="33D40214" w14:textId="77777777" w:rsidR="00E031AD" w:rsidRPr="007615DD" w:rsidRDefault="00E031AD" w:rsidP="007615DD">
      <w:pPr>
        <w:jc w:val="both"/>
        <w:rPr>
          <w:rFonts w:cs="Arial"/>
          <w:b/>
        </w:rPr>
      </w:pPr>
      <w:r w:rsidRPr="007615DD">
        <w:rPr>
          <w:rFonts w:cs="Arial"/>
          <w:b/>
        </w:rPr>
        <w:t xml:space="preserve">(b) </w:t>
      </w:r>
      <w:r w:rsidR="00FF4967">
        <w:rPr>
          <w:rFonts w:cs="Arial"/>
          <w:b/>
        </w:rPr>
        <w:t xml:space="preserve"> </w:t>
      </w:r>
      <w:r w:rsidRPr="007615DD">
        <w:rPr>
          <w:rFonts w:cs="Arial"/>
          <w:b/>
        </w:rPr>
        <w:t>Disclose Scope 1, Scope 2, and if appropriate, Scope 3 GHG emissions and the related risks.</w:t>
      </w:r>
    </w:p>
    <w:p w14:paraId="67607A27" w14:textId="77777777" w:rsidR="00E031AD" w:rsidRPr="007615DD" w:rsidRDefault="00E031AD" w:rsidP="00FF4967">
      <w:pPr>
        <w:ind w:left="364" w:hanging="364"/>
        <w:jc w:val="both"/>
        <w:rPr>
          <w:rFonts w:cs="Arial"/>
          <w:b/>
          <w:highlight w:val="yellow"/>
        </w:rPr>
      </w:pPr>
      <w:r w:rsidRPr="007615DD">
        <w:rPr>
          <w:rFonts w:cs="Arial"/>
          <w:b/>
        </w:rPr>
        <w:t>(c)</w:t>
      </w:r>
      <w:r w:rsidR="00FF4967">
        <w:rPr>
          <w:rFonts w:cs="Arial"/>
          <w:b/>
        </w:rPr>
        <w:t xml:space="preserve"> </w:t>
      </w:r>
      <w:r w:rsidRPr="007615DD">
        <w:rPr>
          <w:rFonts w:cs="Arial"/>
          <w:b/>
        </w:rPr>
        <w:t>Describe the targets used by the group to manage climate-related risks and opportunities and performance against targets.</w:t>
      </w:r>
    </w:p>
    <w:p w14:paraId="7B3B0F8B" w14:textId="77777777" w:rsidR="006C7FCF" w:rsidRDefault="006C7FCF" w:rsidP="008B6EA1">
      <w:pPr>
        <w:jc w:val="both"/>
        <w:rPr>
          <w:rFonts w:cs="Arial"/>
          <w:b/>
        </w:rPr>
      </w:pPr>
    </w:p>
    <w:p w14:paraId="23D03E7C" w14:textId="77777777" w:rsidR="006C7FCF" w:rsidRPr="00E031AD" w:rsidRDefault="006C7FCF" w:rsidP="006C7FCF">
      <w:pPr>
        <w:spacing w:line="259" w:lineRule="auto"/>
        <w:jc w:val="both"/>
        <w:rPr>
          <w:rFonts w:cs="Arial"/>
          <w:bCs/>
        </w:rPr>
      </w:pPr>
      <w:r w:rsidRPr="00E031AD">
        <w:rPr>
          <w:rFonts w:cs="Arial"/>
          <w:bCs/>
        </w:rPr>
        <w:t xml:space="preserve">Metrics and targets are essential for monitoring performance and tracking progress. The Climate Change Act commits the UK Government by law to reduce Greenhouse Gas (GHG) emissions and similar legislation and requirements have been set by devolved administrations with the City of Edinburgh Council specifically having their own aspirations and net zero commitments. The </w:t>
      </w:r>
      <w:r w:rsidR="00FF4967">
        <w:rPr>
          <w:rFonts w:cs="Arial"/>
          <w:bCs/>
        </w:rPr>
        <w:t>G</w:t>
      </w:r>
      <w:r w:rsidRPr="00E031AD">
        <w:rPr>
          <w:rFonts w:cs="Arial"/>
          <w:bCs/>
        </w:rPr>
        <w:t>roup</w:t>
      </w:r>
      <w:r w:rsidR="00FF4967">
        <w:rPr>
          <w:rFonts w:cs="Arial"/>
          <w:bCs/>
        </w:rPr>
        <w:t>’</w:t>
      </w:r>
      <w:r w:rsidRPr="00E031AD">
        <w:rPr>
          <w:rFonts w:cs="Arial"/>
          <w:bCs/>
        </w:rPr>
        <w:t xml:space="preserve">s metrics and targets are provided both in the tables above (within the </w:t>
      </w:r>
      <w:r w:rsidRPr="00E031AD">
        <w:rPr>
          <w:rFonts w:eastAsia="Calibri" w:cs="Arial"/>
          <w:bCs/>
        </w:rPr>
        <w:t>Streamlined Energy and Carbon Reporting sections) where the use of GHG reporting allows users of the accounts to track the group’s performance and also below in relation to further metrics and targets.</w:t>
      </w:r>
    </w:p>
    <w:p w14:paraId="06F9DF9C" w14:textId="77777777" w:rsidR="008B6EA1" w:rsidRPr="0008397D" w:rsidRDefault="008B6EA1" w:rsidP="008B6EA1">
      <w:pPr>
        <w:jc w:val="both"/>
        <w:rPr>
          <w:rFonts w:cs="Arial"/>
          <w:bCs/>
          <w:sz w:val="14"/>
          <w:szCs w:val="14"/>
        </w:rPr>
      </w:pPr>
    </w:p>
    <w:p w14:paraId="3B041EDE" w14:textId="77777777" w:rsidR="008B6EA1" w:rsidRPr="0008397D" w:rsidRDefault="008B6EA1" w:rsidP="008B6EA1">
      <w:pPr>
        <w:jc w:val="both"/>
        <w:rPr>
          <w:rFonts w:cs="Arial"/>
          <w:bCs/>
        </w:rPr>
      </w:pPr>
      <w:r w:rsidRPr="0008397D">
        <w:rPr>
          <w:rFonts w:cs="Arial"/>
          <w:bCs/>
        </w:rPr>
        <w:t xml:space="preserve">Our stakeholders require a clear understanding of the group’s methods for assessing and tracking climate-related risks and opportunities. The GHG metrics disclosed by the group enable stakeholders to make informed evaluations of performance, level of vulnerability to climate-related issues and progress made in effectively managing and/or adapting to these issues. </w:t>
      </w:r>
    </w:p>
    <w:p w14:paraId="2820F128" w14:textId="77777777" w:rsidR="008B6EA1" w:rsidRPr="0008397D" w:rsidRDefault="008B6EA1" w:rsidP="008B6EA1">
      <w:pPr>
        <w:jc w:val="both"/>
        <w:rPr>
          <w:rFonts w:cs="Arial"/>
          <w:bCs/>
          <w:sz w:val="14"/>
          <w:szCs w:val="14"/>
        </w:rPr>
      </w:pPr>
    </w:p>
    <w:p w14:paraId="12D06273" w14:textId="77777777" w:rsidR="008B6EA1" w:rsidRDefault="008B6EA1" w:rsidP="008B6EA1">
      <w:pPr>
        <w:spacing w:line="259" w:lineRule="auto"/>
        <w:jc w:val="both"/>
        <w:rPr>
          <w:rFonts w:eastAsia="Calibri" w:cs="Arial"/>
          <w:bCs/>
        </w:rPr>
      </w:pPr>
      <w:r w:rsidRPr="0008397D">
        <w:rPr>
          <w:rFonts w:cs="Arial"/>
          <w:bCs/>
        </w:rPr>
        <w:t>GHG emissions</w:t>
      </w:r>
      <w:r w:rsidR="00D936FC">
        <w:rPr>
          <w:rFonts w:cs="Arial"/>
          <w:bCs/>
        </w:rPr>
        <w:t>, which</w:t>
      </w:r>
      <w:r w:rsidRPr="0008397D">
        <w:rPr>
          <w:rFonts w:cs="Arial"/>
          <w:bCs/>
        </w:rPr>
        <w:t xml:space="preserve"> have been calculated in line with the GHG Protocol methodology and disclosures relating to Scope 1, 2 and 3 can be found in the tables within the </w:t>
      </w:r>
      <w:r w:rsidRPr="0008397D">
        <w:rPr>
          <w:rFonts w:eastAsia="Calibri" w:cs="Arial"/>
          <w:bCs/>
        </w:rPr>
        <w:t>Streamlined Energy and Carbon Reporting section</w:t>
      </w:r>
      <w:r w:rsidR="00326960">
        <w:rPr>
          <w:rFonts w:eastAsia="Calibri" w:cs="Arial"/>
          <w:bCs/>
        </w:rPr>
        <w:t xml:space="preserve"> </w:t>
      </w:r>
      <w:r w:rsidR="00326960" w:rsidRPr="001D5A65">
        <w:rPr>
          <w:rFonts w:eastAsia="Calibri" w:cs="Arial"/>
          <w:bCs/>
        </w:rPr>
        <w:t xml:space="preserve">on </w:t>
      </w:r>
      <w:r w:rsidR="00326960" w:rsidRPr="00FC284E">
        <w:rPr>
          <w:rFonts w:eastAsia="Calibri" w:cs="Arial"/>
          <w:bCs/>
        </w:rPr>
        <w:t>page 8</w:t>
      </w:r>
      <w:r w:rsidRPr="0008397D">
        <w:rPr>
          <w:rFonts w:eastAsia="Calibri" w:cs="Arial"/>
          <w:bCs/>
        </w:rPr>
        <w:t>.</w:t>
      </w:r>
    </w:p>
    <w:p w14:paraId="5F5DA43A" w14:textId="77777777" w:rsidR="00D936FC" w:rsidRPr="0008397D" w:rsidRDefault="00D936FC" w:rsidP="008B6EA1">
      <w:pPr>
        <w:spacing w:line="259" w:lineRule="auto"/>
        <w:jc w:val="both"/>
        <w:rPr>
          <w:rFonts w:eastAsia="Calibri" w:cs="Arial"/>
          <w:bCs/>
        </w:rPr>
      </w:pPr>
    </w:p>
    <w:p w14:paraId="267225BB" w14:textId="746D075E" w:rsidR="00D936FC" w:rsidRDefault="008B6EA1" w:rsidP="008B6EA1">
      <w:pPr>
        <w:spacing w:line="259" w:lineRule="auto"/>
        <w:jc w:val="both"/>
        <w:rPr>
          <w:rFonts w:cs="Arial"/>
        </w:rPr>
      </w:pPr>
      <w:r w:rsidRPr="0008397D">
        <w:rPr>
          <w:rFonts w:cs="Arial"/>
        </w:rPr>
        <w:t xml:space="preserve">Overall GHG Emissions for Scope 1, 2 and 3 for the period ended 28 December 2024 </w:t>
      </w:r>
      <w:r w:rsidR="006D515F">
        <w:rPr>
          <w:rFonts w:cs="Arial"/>
        </w:rPr>
        <w:t>were</w:t>
      </w:r>
      <w:r w:rsidRPr="0008397D">
        <w:rPr>
          <w:rFonts w:cs="Arial"/>
        </w:rPr>
        <w:t xml:space="preserve"> </w:t>
      </w:r>
      <w:bookmarkStart w:id="11" w:name="_Hlk204087013"/>
      <w:r w:rsidRPr="0008397D">
        <w:rPr>
          <w:rFonts w:cs="Arial"/>
        </w:rPr>
        <w:t>5</w:t>
      </w:r>
      <w:r w:rsidR="00AE0339">
        <w:rPr>
          <w:rFonts w:cs="Arial"/>
        </w:rPr>
        <w:t>6</w:t>
      </w:r>
      <w:r w:rsidRPr="0008397D">
        <w:rPr>
          <w:rFonts w:cs="Arial"/>
        </w:rPr>
        <w:t>,</w:t>
      </w:r>
      <w:r w:rsidR="00AE0339">
        <w:rPr>
          <w:rFonts w:cs="Arial"/>
        </w:rPr>
        <w:t>067.90</w:t>
      </w:r>
      <w:bookmarkEnd w:id="11"/>
      <w:r w:rsidRPr="0008397D">
        <w:rPr>
          <w:rFonts w:cs="Arial"/>
        </w:rPr>
        <w:t xml:space="preserve"> tonnes CO</w:t>
      </w:r>
      <w:r w:rsidRPr="0008397D">
        <w:rPr>
          <w:rFonts w:cs="Arial"/>
          <w:vertAlign w:val="subscript"/>
        </w:rPr>
        <w:t>2</w:t>
      </w:r>
      <w:r w:rsidRPr="0008397D">
        <w:rPr>
          <w:rFonts w:cs="Arial"/>
        </w:rPr>
        <w:t>e.  Scope 1</w:t>
      </w:r>
      <w:r w:rsidR="00D936FC">
        <w:rPr>
          <w:rFonts w:cs="Arial"/>
        </w:rPr>
        <w:t xml:space="preserve"> emissions</w:t>
      </w:r>
      <w:r w:rsidRPr="0008397D">
        <w:rPr>
          <w:rFonts w:cs="Arial"/>
        </w:rPr>
        <w:t xml:space="preserve"> accounts for 9</w:t>
      </w:r>
      <w:r w:rsidR="00AE0339">
        <w:rPr>
          <w:rFonts w:cs="Arial"/>
        </w:rPr>
        <w:t>3.2</w:t>
      </w:r>
      <w:r w:rsidRPr="0008397D">
        <w:rPr>
          <w:rFonts w:cs="Arial"/>
        </w:rPr>
        <w:t>%</w:t>
      </w:r>
      <w:r w:rsidR="00D936FC">
        <w:rPr>
          <w:rFonts w:cs="Arial"/>
        </w:rPr>
        <w:t xml:space="preserve"> of total GHG emissions</w:t>
      </w:r>
      <w:r w:rsidR="00AE0339">
        <w:rPr>
          <w:rFonts w:cs="Arial"/>
        </w:rPr>
        <w:t>,</w:t>
      </w:r>
      <w:r w:rsidRPr="0008397D">
        <w:rPr>
          <w:rFonts w:cs="Arial"/>
        </w:rPr>
        <w:t xml:space="preserve"> Scope 2 accounts for </w:t>
      </w:r>
      <w:r w:rsidR="00251BB0">
        <w:rPr>
          <w:rFonts w:cs="Arial"/>
        </w:rPr>
        <w:t>6.6</w:t>
      </w:r>
      <w:r w:rsidRPr="0008397D">
        <w:rPr>
          <w:rFonts w:cs="Arial"/>
        </w:rPr>
        <w:t>% and Scope 3 accounts for 0.2%</w:t>
      </w:r>
      <w:r w:rsidR="00D936FC">
        <w:rPr>
          <w:rFonts w:cs="Arial"/>
        </w:rPr>
        <w:t xml:space="preserve"> of total emissions respectively</w:t>
      </w:r>
      <w:r w:rsidRPr="0008397D">
        <w:rPr>
          <w:rFonts w:cs="Arial"/>
        </w:rPr>
        <w:t>. Scope 2 emissions are calculated using the location-based method. Overall, a financial control approach has been taken</w:t>
      </w:r>
      <w:r w:rsidR="00D936FC">
        <w:rPr>
          <w:rFonts w:cs="Arial"/>
        </w:rPr>
        <w:t xml:space="preserve"> to determine the scope of emissions </w:t>
      </w:r>
      <w:r w:rsidR="006D515F">
        <w:rPr>
          <w:rFonts w:cs="Arial"/>
        </w:rPr>
        <w:t>includ</w:t>
      </w:r>
      <w:r w:rsidR="009A3C12">
        <w:rPr>
          <w:rFonts w:cs="Arial"/>
        </w:rPr>
        <w:t>ed</w:t>
      </w:r>
      <w:r w:rsidR="006D515F">
        <w:rPr>
          <w:rFonts w:cs="Arial"/>
        </w:rPr>
        <w:t xml:space="preserve"> in our </w:t>
      </w:r>
      <w:r w:rsidR="00D936FC">
        <w:rPr>
          <w:rFonts w:cs="Arial"/>
        </w:rPr>
        <w:t>reporting</w:t>
      </w:r>
      <w:r w:rsidRPr="0008397D">
        <w:rPr>
          <w:rFonts w:cs="Arial"/>
        </w:rPr>
        <w:t xml:space="preserve">. </w:t>
      </w:r>
    </w:p>
    <w:p w14:paraId="041E368D" w14:textId="77777777" w:rsidR="00D936FC" w:rsidRDefault="00D936FC" w:rsidP="008B6EA1">
      <w:pPr>
        <w:spacing w:line="259" w:lineRule="auto"/>
        <w:jc w:val="both"/>
        <w:rPr>
          <w:rFonts w:cs="Arial"/>
        </w:rPr>
      </w:pPr>
    </w:p>
    <w:p w14:paraId="161F7ADE" w14:textId="77777777" w:rsidR="008B6EA1" w:rsidRPr="0008397D" w:rsidRDefault="008B6EA1" w:rsidP="008B6EA1">
      <w:pPr>
        <w:spacing w:line="259" w:lineRule="auto"/>
        <w:jc w:val="both"/>
        <w:rPr>
          <w:rFonts w:cs="Arial"/>
          <w:bCs/>
        </w:rPr>
      </w:pPr>
      <w:r w:rsidRPr="0008397D">
        <w:rPr>
          <w:rFonts w:cs="Arial"/>
        </w:rPr>
        <w:t>Our GHG Emissions CO</w:t>
      </w:r>
      <w:r w:rsidRPr="0008397D">
        <w:rPr>
          <w:rFonts w:cs="Arial"/>
          <w:vertAlign w:val="subscript"/>
        </w:rPr>
        <w:t>2</w:t>
      </w:r>
      <w:r w:rsidRPr="0008397D">
        <w:rPr>
          <w:rFonts w:cs="Arial"/>
        </w:rPr>
        <w:t>e Intensity per £M turnover is 2</w:t>
      </w:r>
      <w:r w:rsidR="00251BB0">
        <w:rPr>
          <w:rFonts w:cs="Arial"/>
        </w:rPr>
        <w:t>47</w:t>
      </w:r>
      <w:r w:rsidRPr="0008397D">
        <w:rPr>
          <w:rFonts w:cs="Arial"/>
        </w:rPr>
        <w:t>.</w:t>
      </w:r>
      <w:r w:rsidR="00251BB0">
        <w:rPr>
          <w:rFonts w:cs="Arial"/>
        </w:rPr>
        <w:t>2</w:t>
      </w:r>
      <w:r w:rsidRPr="0008397D">
        <w:rPr>
          <w:rFonts w:cs="Arial"/>
        </w:rPr>
        <w:t>9 tonnes CO</w:t>
      </w:r>
      <w:r w:rsidRPr="0008397D">
        <w:rPr>
          <w:rFonts w:cs="Arial"/>
          <w:vertAlign w:val="subscript"/>
        </w:rPr>
        <w:t>2</w:t>
      </w:r>
      <w:r w:rsidRPr="0008397D">
        <w:rPr>
          <w:rFonts w:cs="Arial"/>
        </w:rPr>
        <w:t xml:space="preserve">e and per employee is </w:t>
      </w:r>
      <w:r w:rsidR="00251BB0">
        <w:rPr>
          <w:rFonts w:cs="Arial"/>
        </w:rPr>
        <w:t>18.83</w:t>
      </w:r>
      <w:r w:rsidRPr="0008397D">
        <w:rPr>
          <w:rFonts w:cs="Arial"/>
        </w:rPr>
        <w:t xml:space="preserve"> tonnes CO</w:t>
      </w:r>
      <w:r w:rsidRPr="0008397D">
        <w:rPr>
          <w:rFonts w:cs="Arial"/>
          <w:vertAlign w:val="subscript"/>
        </w:rPr>
        <w:t>2</w:t>
      </w:r>
      <w:r w:rsidRPr="0008397D">
        <w:rPr>
          <w:rFonts w:cs="Arial"/>
        </w:rPr>
        <w:t xml:space="preserve">e. Overall, a </w:t>
      </w:r>
      <w:r w:rsidR="00251BB0">
        <w:rPr>
          <w:rFonts w:cs="Arial"/>
        </w:rPr>
        <w:t>7.5</w:t>
      </w:r>
      <w:r w:rsidRPr="0008397D">
        <w:rPr>
          <w:rFonts w:cs="Arial"/>
        </w:rPr>
        <w:t>% increase in total GHG emissions can be observed when compared to our baseline year (2021). This increase is primarily attributed to the business expanding both organically through frequency and growth and the acquisition of Eve Coaches Limited</w:t>
      </w:r>
      <w:r w:rsidR="00D936FC">
        <w:rPr>
          <w:rFonts w:cs="Arial"/>
        </w:rPr>
        <w:t xml:space="preserve"> by Lothian Buses Limited</w:t>
      </w:r>
      <w:r w:rsidRPr="0008397D">
        <w:rPr>
          <w:rFonts w:cs="Arial"/>
        </w:rPr>
        <w:t>.</w:t>
      </w:r>
    </w:p>
    <w:p w14:paraId="50B9609A" w14:textId="77777777" w:rsidR="008B6EA1" w:rsidRPr="0008397D" w:rsidRDefault="008B6EA1" w:rsidP="008B6EA1">
      <w:pPr>
        <w:jc w:val="both"/>
        <w:rPr>
          <w:rFonts w:cs="Arial"/>
          <w:b/>
        </w:rPr>
      </w:pPr>
    </w:p>
    <w:p w14:paraId="72BBD87F" w14:textId="77777777" w:rsidR="008B6EA1" w:rsidRPr="00820267" w:rsidRDefault="008B6EA1" w:rsidP="008B6EA1">
      <w:pPr>
        <w:spacing w:line="259" w:lineRule="auto"/>
        <w:jc w:val="center"/>
        <w:rPr>
          <w:b/>
        </w:rPr>
      </w:pPr>
      <w:r>
        <w:rPr>
          <w:rFonts w:cs="Arial"/>
          <w:bCs/>
        </w:rPr>
        <w:br w:type="page"/>
      </w:r>
      <w:r w:rsidRPr="00820267">
        <w:rPr>
          <w:b/>
        </w:rPr>
        <w:lastRenderedPageBreak/>
        <w:t>TRANSPORT FOR EDINBURGH LIMITED</w:t>
      </w:r>
    </w:p>
    <w:p w14:paraId="2B6D7733" w14:textId="77777777" w:rsidR="008B6EA1" w:rsidRPr="00820267" w:rsidRDefault="008B6EA1" w:rsidP="008B6EA1">
      <w:pPr>
        <w:rPr>
          <w:b/>
        </w:rPr>
      </w:pPr>
    </w:p>
    <w:p w14:paraId="2182AB22" w14:textId="77777777" w:rsidR="008B6EA1" w:rsidRPr="00820267" w:rsidRDefault="008B6EA1" w:rsidP="008B6EA1">
      <w:pPr>
        <w:jc w:val="center"/>
        <w:rPr>
          <w:b/>
        </w:rPr>
      </w:pPr>
      <w:r w:rsidRPr="00820267">
        <w:rPr>
          <w:b/>
        </w:rPr>
        <w:t>Strategic Report (continued)</w:t>
      </w:r>
    </w:p>
    <w:p w14:paraId="2CEBF565" w14:textId="77777777" w:rsidR="008B6EA1" w:rsidRPr="00820267" w:rsidRDefault="008B6EA1" w:rsidP="008B6EA1">
      <w:pPr>
        <w:jc w:val="center"/>
        <w:rPr>
          <w:b/>
        </w:rPr>
      </w:pPr>
    </w:p>
    <w:p w14:paraId="7331E673" w14:textId="77777777" w:rsidR="008B6EA1" w:rsidRPr="00820267" w:rsidRDefault="008B6EA1" w:rsidP="008B6EA1">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5C62C3E9" w14:textId="77777777" w:rsidR="008B6EA1" w:rsidRPr="00C328EF" w:rsidRDefault="008B6EA1" w:rsidP="008B6EA1">
      <w:pPr>
        <w:jc w:val="both"/>
        <w:rPr>
          <w:rFonts w:cs="Arial"/>
          <w:b/>
          <w:highlight w:val="yellow"/>
        </w:rPr>
      </w:pPr>
    </w:p>
    <w:p w14:paraId="54029E7B" w14:textId="77777777" w:rsidR="008B6EA1" w:rsidRPr="008B6EA1" w:rsidRDefault="008B6EA1" w:rsidP="008B6EA1">
      <w:pPr>
        <w:jc w:val="both"/>
        <w:rPr>
          <w:rFonts w:cs="Arial"/>
          <w:bCs/>
        </w:rPr>
      </w:pPr>
      <w:r w:rsidRPr="008B6EA1">
        <w:rPr>
          <w:rFonts w:cs="Arial"/>
          <w:b/>
        </w:rPr>
        <w:t>Climate Change and Task Force on Climate-related Financial Disclosures (continued)</w:t>
      </w:r>
    </w:p>
    <w:p w14:paraId="0386B08D" w14:textId="77777777" w:rsidR="008B6EA1" w:rsidRPr="008B6EA1" w:rsidRDefault="008B6EA1" w:rsidP="008B6EA1">
      <w:pPr>
        <w:jc w:val="both"/>
        <w:rPr>
          <w:rFonts w:cs="Arial"/>
          <w:b/>
          <w:sz w:val="12"/>
          <w:szCs w:val="12"/>
        </w:rPr>
      </w:pPr>
    </w:p>
    <w:p w14:paraId="612FB8DC" w14:textId="77777777" w:rsidR="008B6EA1" w:rsidRPr="008B6EA1" w:rsidRDefault="008B6EA1" w:rsidP="008B6EA1">
      <w:pPr>
        <w:jc w:val="both"/>
        <w:rPr>
          <w:rFonts w:cs="Arial"/>
          <w:b/>
        </w:rPr>
      </w:pPr>
      <w:r w:rsidRPr="008B6EA1">
        <w:rPr>
          <w:rFonts w:cs="Arial"/>
          <w:b/>
        </w:rPr>
        <w:t>METRICS &amp; TARGETS (continued)</w:t>
      </w:r>
    </w:p>
    <w:p w14:paraId="7ED3AD21" w14:textId="77777777" w:rsidR="008B6EA1" w:rsidRPr="008B6EA1" w:rsidRDefault="008B6EA1" w:rsidP="008B6EA1">
      <w:pPr>
        <w:jc w:val="both"/>
        <w:rPr>
          <w:rFonts w:cs="Arial"/>
          <w:b/>
          <w:sz w:val="14"/>
          <w:szCs w:val="14"/>
        </w:rPr>
      </w:pPr>
    </w:p>
    <w:p w14:paraId="19A5C9B2" w14:textId="77777777" w:rsidR="008B6EA1" w:rsidRPr="008B6EA1" w:rsidRDefault="008B6EA1" w:rsidP="008B6EA1">
      <w:pPr>
        <w:jc w:val="both"/>
        <w:rPr>
          <w:rFonts w:cs="Arial"/>
          <w:bCs/>
        </w:rPr>
      </w:pPr>
      <w:r w:rsidRPr="008B6EA1">
        <w:rPr>
          <w:rFonts w:cs="Arial"/>
          <w:bCs/>
        </w:rPr>
        <w:t xml:space="preserve">As 2024 is the first period we have disclosed targets we have chosen this as the base period to report from. </w:t>
      </w:r>
    </w:p>
    <w:p w14:paraId="08376B23" w14:textId="61D70195" w:rsidR="008B6EA1" w:rsidRPr="008B6EA1" w:rsidRDefault="008B6EA1" w:rsidP="008B6EA1">
      <w:pPr>
        <w:jc w:val="both"/>
        <w:rPr>
          <w:rFonts w:cs="Arial"/>
          <w:bCs/>
        </w:rPr>
      </w:pPr>
      <w:r w:rsidRPr="008B6EA1">
        <w:rPr>
          <w:rFonts w:cs="Arial"/>
          <w:bCs/>
        </w:rPr>
        <w:t>Our short, medium and long-term targets are</w:t>
      </w:r>
      <w:r w:rsidR="00D96E77">
        <w:rPr>
          <w:rFonts w:cs="Arial"/>
          <w:bCs/>
        </w:rPr>
        <w:t xml:space="preserve"> set out below and</w:t>
      </w:r>
      <w:r w:rsidRPr="008B6EA1">
        <w:rPr>
          <w:rFonts w:cs="Arial"/>
          <w:bCs/>
        </w:rPr>
        <w:t xml:space="preserve"> </w:t>
      </w:r>
      <w:r w:rsidR="003321B2">
        <w:rPr>
          <w:rFonts w:cs="Arial"/>
          <w:bCs/>
        </w:rPr>
        <w:t>spe</w:t>
      </w:r>
      <w:r w:rsidR="00D96E77">
        <w:rPr>
          <w:rFonts w:cs="Arial"/>
          <w:bCs/>
        </w:rPr>
        <w:t>cifically focus on bus emissions</w:t>
      </w:r>
      <w:r w:rsidR="00BB5655">
        <w:rPr>
          <w:rFonts w:cs="Arial"/>
          <w:bCs/>
        </w:rPr>
        <w:t xml:space="preserve"> which represent </w:t>
      </w:r>
      <w:r w:rsidR="00521839">
        <w:rPr>
          <w:rFonts w:cs="Arial"/>
          <w:bCs/>
        </w:rPr>
        <w:t>the majority of both Scope 1 and total emissions</w:t>
      </w:r>
      <w:r w:rsidR="00D10F86">
        <w:rPr>
          <w:rFonts w:cs="Arial"/>
          <w:bCs/>
        </w:rPr>
        <w:t>.</w:t>
      </w:r>
    </w:p>
    <w:p w14:paraId="5115DD67" w14:textId="77777777" w:rsidR="00326960" w:rsidRDefault="00326960" w:rsidP="008B6EA1">
      <w:pPr>
        <w:jc w:val="both"/>
        <w:rPr>
          <w:rFonts w:cs="Arial"/>
          <w:bCs/>
        </w:rPr>
      </w:pPr>
    </w:p>
    <w:p w14:paraId="4EDBA164" w14:textId="77777777" w:rsidR="00A93BEA" w:rsidRPr="00A93BEA" w:rsidRDefault="00A93BEA" w:rsidP="00A93BEA">
      <w:pPr>
        <w:jc w:val="both"/>
        <w:rPr>
          <w:rFonts w:cs="Arial"/>
          <w:b/>
        </w:rPr>
      </w:pPr>
      <w:r w:rsidRPr="00A93BEA">
        <w:rPr>
          <w:rFonts w:cs="Arial"/>
          <w:b/>
        </w:rPr>
        <w:t xml:space="preserve">Metric for emissions per </w:t>
      </w:r>
      <w:r>
        <w:rPr>
          <w:rFonts w:cs="Arial"/>
          <w:b/>
        </w:rPr>
        <w:t xml:space="preserve">bus </w:t>
      </w:r>
      <w:r w:rsidRPr="00A93BEA">
        <w:rPr>
          <w:rFonts w:cs="Arial"/>
          <w:b/>
        </w:rPr>
        <w:t xml:space="preserve">vehicle mile for 2024: </w:t>
      </w:r>
      <w:r w:rsidRPr="00A93BEA">
        <w:rPr>
          <w:rFonts w:cs="Arial"/>
          <w:b/>
        </w:rPr>
        <w:tab/>
      </w:r>
      <w:r w:rsidRPr="00A93BEA">
        <w:rPr>
          <w:rFonts w:cs="Arial"/>
          <w:b/>
        </w:rPr>
        <w:tab/>
      </w:r>
      <w:r w:rsidRPr="00A93BEA">
        <w:rPr>
          <w:rFonts w:cs="Arial"/>
          <w:b/>
        </w:rPr>
        <w:tab/>
      </w:r>
      <w:r w:rsidRPr="00A93BEA">
        <w:rPr>
          <w:rFonts w:cs="Arial"/>
          <w:b/>
        </w:rPr>
        <w:tab/>
      </w:r>
      <w:r w:rsidRPr="00A93BEA">
        <w:rPr>
          <w:rFonts w:cs="Arial"/>
          <w:b/>
        </w:rPr>
        <w:tab/>
      </w:r>
    </w:p>
    <w:p w14:paraId="5ACB6586" w14:textId="77777777" w:rsidR="00A93BEA" w:rsidRPr="00A93BEA" w:rsidRDefault="00A93BEA" w:rsidP="00A5227C">
      <w:pPr>
        <w:numPr>
          <w:ilvl w:val="0"/>
          <w:numId w:val="52"/>
        </w:numPr>
        <w:jc w:val="both"/>
        <w:rPr>
          <w:rFonts w:cs="Arial"/>
          <w:bCs/>
        </w:rPr>
      </w:pPr>
      <w:r w:rsidRPr="00A93BEA">
        <w:rPr>
          <w:rFonts w:cs="Arial"/>
          <w:bCs/>
        </w:rPr>
        <w:t>Total Scope 1&amp;2 emission tonnes (tCO2e) (location based) - 53,230</w:t>
      </w:r>
    </w:p>
    <w:p w14:paraId="4802AA9C" w14:textId="77777777" w:rsidR="00A93BEA" w:rsidRDefault="00A93BEA" w:rsidP="00A5227C">
      <w:pPr>
        <w:numPr>
          <w:ilvl w:val="0"/>
          <w:numId w:val="52"/>
        </w:numPr>
        <w:jc w:val="both"/>
        <w:rPr>
          <w:rFonts w:cs="Arial"/>
          <w:bCs/>
        </w:rPr>
      </w:pPr>
      <w:r w:rsidRPr="00A93BEA">
        <w:rPr>
          <w:rFonts w:cs="Arial"/>
          <w:bCs/>
        </w:rPr>
        <w:t>Vehicle miles (000s) – 29,555</w:t>
      </w:r>
      <w:r w:rsidRPr="00A93BEA">
        <w:rPr>
          <w:rFonts w:cs="Arial"/>
          <w:bCs/>
        </w:rPr>
        <w:tab/>
      </w:r>
    </w:p>
    <w:p w14:paraId="2957EFDA" w14:textId="77777777" w:rsidR="008B6EA1" w:rsidRPr="008B6EA1" w:rsidRDefault="008B6EA1" w:rsidP="00A5227C">
      <w:pPr>
        <w:numPr>
          <w:ilvl w:val="0"/>
          <w:numId w:val="52"/>
        </w:numPr>
        <w:jc w:val="both"/>
        <w:rPr>
          <w:rFonts w:cs="Arial"/>
          <w:bCs/>
        </w:rPr>
      </w:pPr>
      <w:r w:rsidRPr="008B6EA1">
        <w:rPr>
          <w:rFonts w:cs="Arial"/>
          <w:bCs/>
        </w:rPr>
        <w:t xml:space="preserve">Actual metric for </w:t>
      </w:r>
      <w:r w:rsidR="00326960">
        <w:rPr>
          <w:rFonts w:cs="Arial"/>
          <w:bCs/>
        </w:rPr>
        <w:t xml:space="preserve">Scope 1&amp;2 </w:t>
      </w:r>
      <w:r w:rsidRPr="008B6EA1">
        <w:rPr>
          <w:rFonts w:cs="Arial"/>
          <w:bCs/>
        </w:rPr>
        <w:t>Emissions per vehicle mile (above) for 2024 = 1.80</w:t>
      </w:r>
    </w:p>
    <w:p w14:paraId="2D99351F" w14:textId="77777777" w:rsidR="008B6EA1" w:rsidRPr="008B6EA1" w:rsidRDefault="008B6EA1" w:rsidP="00A5227C">
      <w:pPr>
        <w:numPr>
          <w:ilvl w:val="0"/>
          <w:numId w:val="52"/>
        </w:numPr>
        <w:jc w:val="both"/>
        <w:rPr>
          <w:rFonts w:cs="Arial"/>
          <w:bCs/>
        </w:rPr>
      </w:pPr>
      <w:r w:rsidRPr="008B6EA1">
        <w:rPr>
          <w:rFonts w:cs="Arial"/>
          <w:bCs/>
        </w:rPr>
        <w:t>Target for 2025 = 1.68, Medium-term = 0.90 and Long-term = Net Zero</w:t>
      </w:r>
    </w:p>
    <w:p w14:paraId="69979F34" w14:textId="77777777" w:rsidR="008B6EA1" w:rsidRPr="00A93BEA" w:rsidRDefault="008B6EA1" w:rsidP="008B6EA1">
      <w:pPr>
        <w:jc w:val="both"/>
        <w:rPr>
          <w:rFonts w:cs="Arial"/>
          <w:bCs/>
        </w:rPr>
      </w:pPr>
    </w:p>
    <w:p w14:paraId="78C38FE3" w14:textId="77777777" w:rsidR="00A93BEA" w:rsidRPr="00A93BEA" w:rsidRDefault="00A93BEA" w:rsidP="00A93BEA">
      <w:pPr>
        <w:jc w:val="both"/>
        <w:rPr>
          <w:rFonts w:cs="Arial"/>
          <w:b/>
        </w:rPr>
      </w:pPr>
      <w:r w:rsidRPr="00A93BEA">
        <w:rPr>
          <w:rFonts w:cs="Arial"/>
          <w:b/>
        </w:rPr>
        <w:t xml:space="preserve">Metric for emissions per scheduled </w:t>
      </w:r>
      <w:r>
        <w:rPr>
          <w:rFonts w:cs="Arial"/>
          <w:b/>
        </w:rPr>
        <w:t xml:space="preserve">bus </w:t>
      </w:r>
      <w:r w:rsidRPr="00A93BEA">
        <w:rPr>
          <w:rFonts w:cs="Arial"/>
          <w:b/>
        </w:rPr>
        <w:t>service passenger journey for 2024:</w:t>
      </w:r>
    </w:p>
    <w:p w14:paraId="0173FD4A" w14:textId="77777777" w:rsidR="00A93BEA" w:rsidRPr="00A93BEA" w:rsidRDefault="00A93BEA" w:rsidP="00A5227C">
      <w:pPr>
        <w:numPr>
          <w:ilvl w:val="0"/>
          <w:numId w:val="53"/>
        </w:numPr>
        <w:jc w:val="both"/>
        <w:rPr>
          <w:rFonts w:cs="Arial"/>
          <w:bCs/>
        </w:rPr>
      </w:pPr>
      <w:r w:rsidRPr="00A93BEA">
        <w:rPr>
          <w:rFonts w:cs="Arial"/>
          <w:bCs/>
        </w:rPr>
        <w:t>Total Scope 1&amp;2 emission tonnes (tCO2e) (location based) - 53,230</w:t>
      </w:r>
    </w:p>
    <w:p w14:paraId="59C8C33E" w14:textId="77777777" w:rsidR="00A93BEA" w:rsidRPr="00A93BEA" w:rsidRDefault="00A93BEA" w:rsidP="00A5227C">
      <w:pPr>
        <w:numPr>
          <w:ilvl w:val="0"/>
          <w:numId w:val="53"/>
        </w:numPr>
        <w:jc w:val="both"/>
        <w:rPr>
          <w:rFonts w:cs="Arial"/>
          <w:bCs/>
        </w:rPr>
      </w:pPr>
      <w:r w:rsidRPr="00A93BEA">
        <w:rPr>
          <w:rFonts w:cs="Arial"/>
          <w:bCs/>
        </w:rPr>
        <w:t>Patronage (000s) - 115,829</w:t>
      </w:r>
    </w:p>
    <w:p w14:paraId="05F706AF" w14:textId="77777777" w:rsidR="008B6EA1" w:rsidRPr="008B6EA1" w:rsidRDefault="008B6EA1" w:rsidP="00A5227C">
      <w:pPr>
        <w:numPr>
          <w:ilvl w:val="0"/>
          <w:numId w:val="53"/>
        </w:numPr>
        <w:jc w:val="both"/>
        <w:rPr>
          <w:rFonts w:cs="Arial"/>
          <w:bCs/>
        </w:rPr>
      </w:pPr>
      <w:r w:rsidRPr="008B6EA1">
        <w:rPr>
          <w:rFonts w:cs="Arial"/>
          <w:bCs/>
        </w:rPr>
        <w:t xml:space="preserve">Actual metric for </w:t>
      </w:r>
      <w:r w:rsidR="00326960">
        <w:rPr>
          <w:rFonts w:cs="Arial"/>
          <w:bCs/>
        </w:rPr>
        <w:t xml:space="preserve">Scope 1&amp;2 </w:t>
      </w:r>
      <w:r w:rsidRPr="008B6EA1">
        <w:rPr>
          <w:rFonts w:cs="Arial"/>
          <w:bCs/>
        </w:rPr>
        <w:t>Emissions per scheduled service passenger journey (above) for 2024 = 0.46</w:t>
      </w:r>
    </w:p>
    <w:p w14:paraId="70C80864" w14:textId="77777777" w:rsidR="008B6EA1" w:rsidRPr="008B6EA1" w:rsidRDefault="008B6EA1" w:rsidP="00A5227C">
      <w:pPr>
        <w:numPr>
          <w:ilvl w:val="0"/>
          <w:numId w:val="53"/>
        </w:numPr>
        <w:jc w:val="both"/>
        <w:rPr>
          <w:rFonts w:cs="Arial"/>
          <w:bCs/>
        </w:rPr>
      </w:pPr>
      <w:r w:rsidRPr="008B6EA1">
        <w:rPr>
          <w:rFonts w:cs="Arial"/>
          <w:bCs/>
        </w:rPr>
        <w:t>Target for 2025 = 0.45, Medium-term = 0.23 and Long-term = Net Zero</w:t>
      </w:r>
    </w:p>
    <w:p w14:paraId="44F6D399" w14:textId="77777777" w:rsidR="008B6EA1" w:rsidRPr="008B6EA1" w:rsidRDefault="008B6EA1" w:rsidP="008B6EA1">
      <w:pPr>
        <w:jc w:val="both"/>
        <w:rPr>
          <w:rFonts w:cs="Arial"/>
          <w:bCs/>
          <w:sz w:val="14"/>
          <w:szCs w:val="14"/>
        </w:rPr>
      </w:pPr>
    </w:p>
    <w:p w14:paraId="4C206461" w14:textId="77777777" w:rsidR="00A93BEA" w:rsidRPr="00A93BEA" w:rsidRDefault="00A93BEA" w:rsidP="00A93BEA">
      <w:pPr>
        <w:jc w:val="both"/>
        <w:rPr>
          <w:rFonts w:cs="Arial"/>
          <w:b/>
        </w:rPr>
      </w:pPr>
      <w:r w:rsidRPr="00A93BEA">
        <w:rPr>
          <w:rFonts w:cs="Arial"/>
          <w:b/>
        </w:rPr>
        <w:t xml:space="preserve">Metric for </w:t>
      </w:r>
      <w:r>
        <w:rPr>
          <w:rFonts w:cs="Arial"/>
          <w:b/>
        </w:rPr>
        <w:t xml:space="preserve">Lothian </w:t>
      </w:r>
      <w:r w:rsidRPr="00A93BEA">
        <w:rPr>
          <w:rFonts w:cs="Arial"/>
          <w:b/>
        </w:rPr>
        <w:t>emissions per £ of revenue for 2024:</w:t>
      </w:r>
    </w:p>
    <w:p w14:paraId="11B7C83D" w14:textId="77777777" w:rsidR="00A93BEA" w:rsidRPr="00A93BEA" w:rsidRDefault="00A93BEA" w:rsidP="00A5227C">
      <w:pPr>
        <w:numPr>
          <w:ilvl w:val="0"/>
          <w:numId w:val="54"/>
        </w:numPr>
        <w:jc w:val="both"/>
        <w:rPr>
          <w:rFonts w:cs="Arial"/>
          <w:bCs/>
        </w:rPr>
      </w:pPr>
      <w:r w:rsidRPr="00A93BEA">
        <w:rPr>
          <w:rFonts w:cs="Arial"/>
          <w:bCs/>
        </w:rPr>
        <w:t>Total Scope 1&amp;2 emission tonnes (tCO2e) (location based) - 53,230</w:t>
      </w:r>
      <w:r w:rsidRPr="00A93BEA">
        <w:rPr>
          <w:rFonts w:cs="Arial"/>
          <w:bCs/>
        </w:rPr>
        <w:tab/>
      </w:r>
    </w:p>
    <w:p w14:paraId="52898E52" w14:textId="77777777" w:rsidR="00A93BEA" w:rsidRDefault="00A93BEA" w:rsidP="00A5227C">
      <w:pPr>
        <w:numPr>
          <w:ilvl w:val="0"/>
          <w:numId w:val="54"/>
        </w:numPr>
        <w:jc w:val="both"/>
        <w:rPr>
          <w:rFonts w:cs="Arial"/>
          <w:bCs/>
        </w:rPr>
      </w:pPr>
      <w:r w:rsidRPr="00A93BEA">
        <w:rPr>
          <w:rFonts w:cs="Arial"/>
          <w:bCs/>
        </w:rPr>
        <w:t>Total revenue (000s) - 197,749</w:t>
      </w:r>
    </w:p>
    <w:p w14:paraId="0225C88B" w14:textId="77777777" w:rsidR="008B6EA1" w:rsidRPr="008B6EA1" w:rsidRDefault="008B6EA1" w:rsidP="00A5227C">
      <w:pPr>
        <w:numPr>
          <w:ilvl w:val="0"/>
          <w:numId w:val="54"/>
        </w:numPr>
        <w:jc w:val="both"/>
        <w:rPr>
          <w:rFonts w:cs="Arial"/>
          <w:bCs/>
        </w:rPr>
      </w:pPr>
      <w:r w:rsidRPr="008B6EA1">
        <w:rPr>
          <w:rFonts w:cs="Arial"/>
          <w:bCs/>
        </w:rPr>
        <w:t xml:space="preserve">Actual metric for </w:t>
      </w:r>
      <w:r w:rsidR="00326960">
        <w:rPr>
          <w:rFonts w:cs="Arial"/>
          <w:bCs/>
        </w:rPr>
        <w:t xml:space="preserve">Scope 1&amp;2 </w:t>
      </w:r>
      <w:r w:rsidRPr="008B6EA1">
        <w:rPr>
          <w:rFonts w:cs="Arial"/>
          <w:bCs/>
        </w:rPr>
        <w:t>Emissions per £ of revenue (above) for 2024 = 0.27</w:t>
      </w:r>
    </w:p>
    <w:p w14:paraId="7E8B2D6C" w14:textId="77777777" w:rsidR="008B6EA1" w:rsidRPr="008B6EA1" w:rsidRDefault="008B6EA1" w:rsidP="00A5227C">
      <w:pPr>
        <w:numPr>
          <w:ilvl w:val="0"/>
          <w:numId w:val="54"/>
        </w:numPr>
        <w:jc w:val="both"/>
        <w:rPr>
          <w:rFonts w:cs="Arial"/>
          <w:bCs/>
        </w:rPr>
      </w:pPr>
      <w:r w:rsidRPr="008B6EA1">
        <w:rPr>
          <w:rFonts w:cs="Arial"/>
          <w:bCs/>
        </w:rPr>
        <w:t>Target for 2025 = 0.25, Medium-term = 0.13 and Long-term = Net Zero</w:t>
      </w:r>
    </w:p>
    <w:p w14:paraId="3C5A7987" w14:textId="77777777" w:rsidR="008B6EA1" w:rsidRPr="008B6EA1" w:rsidRDefault="008B6EA1" w:rsidP="008B6EA1">
      <w:pPr>
        <w:jc w:val="both"/>
        <w:rPr>
          <w:rFonts w:cs="Arial"/>
          <w:b/>
          <w:sz w:val="14"/>
          <w:szCs w:val="14"/>
        </w:rPr>
      </w:pPr>
    </w:p>
    <w:p w14:paraId="75F5132C" w14:textId="77777777" w:rsidR="008B6EA1" w:rsidRPr="008B6EA1" w:rsidRDefault="008B6EA1" w:rsidP="008B6EA1">
      <w:pPr>
        <w:jc w:val="both"/>
        <w:rPr>
          <w:rFonts w:cs="Arial"/>
          <w:bCs/>
        </w:rPr>
      </w:pPr>
      <w:r w:rsidRPr="008B6EA1">
        <w:rPr>
          <w:rFonts w:cs="Arial"/>
          <w:bCs/>
        </w:rPr>
        <w:t>Overall, we are targeting to reduce emissions of our vehicle fleet over time by moving to the latest cleaner, ultra-low emission and zero emission vehicles available each period and ultimately have a fully zero emission vehicle fleet by around 2035. The data below shows actual fleet replacement together with future replacement targets and the cumulative percentage of the fleet that will be zero emission. As with any future target individual years could be susceptible to change due to external factors out with our control. The cost of new vehicles and regulatory changes are also factors that will be considered in each individual future year leading to net zero.</w:t>
      </w:r>
    </w:p>
    <w:p w14:paraId="55ED64BC" w14:textId="77777777" w:rsidR="008B6EA1" w:rsidRPr="008B6EA1" w:rsidRDefault="008B6EA1" w:rsidP="008B6EA1">
      <w:pPr>
        <w:jc w:val="both"/>
        <w:rPr>
          <w:rFonts w:cs="Arial"/>
          <w:bCs/>
          <w:sz w:val="14"/>
          <w:szCs w:val="14"/>
        </w:rPr>
      </w:pPr>
    </w:p>
    <w:p w14:paraId="0F3E73EA" w14:textId="77777777" w:rsidR="008B6EA1" w:rsidRPr="008B6EA1" w:rsidRDefault="008B6EA1" w:rsidP="008B6EA1">
      <w:pPr>
        <w:jc w:val="both"/>
        <w:rPr>
          <w:rFonts w:cs="Arial"/>
          <w:bCs/>
          <w:sz w:val="18"/>
          <w:szCs w:val="18"/>
        </w:rPr>
      </w:pPr>
      <w:r w:rsidRPr="008B6EA1">
        <w:rPr>
          <w:rFonts w:cs="Arial"/>
          <w:bCs/>
          <w:sz w:val="18"/>
          <w:szCs w:val="18"/>
        </w:rPr>
        <w:t xml:space="preserve">2024 + </w:t>
      </w:r>
      <w:bookmarkStart w:id="12" w:name="_Hlk191027072"/>
      <w:r w:rsidRPr="008B6EA1">
        <w:rPr>
          <w:rFonts w:cs="Arial"/>
          <w:bCs/>
          <w:sz w:val="18"/>
          <w:szCs w:val="18"/>
        </w:rPr>
        <w:t>20 Electric buses (bus fleet cumulatively 4% zero emission)</w:t>
      </w:r>
      <w:bookmarkEnd w:id="12"/>
    </w:p>
    <w:p w14:paraId="69F195E5" w14:textId="77777777" w:rsidR="008B6EA1" w:rsidRPr="008B6EA1" w:rsidRDefault="008B6EA1" w:rsidP="008B6EA1">
      <w:pPr>
        <w:jc w:val="both"/>
        <w:rPr>
          <w:rFonts w:cs="Arial"/>
          <w:bCs/>
          <w:sz w:val="18"/>
          <w:szCs w:val="18"/>
        </w:rPr>
      </w:pPr>
      <w:r w:rsidRPr="008B6EA1">
        <w:rPr>
          <w:rFonts w:cs="Arial"/>
          <w:bCs/>
          <w:sz w:val="18"/>
          <w:szCs w:val="18"/>
        </w:rPr>
        <w:t xml:space="preserve">2025 </w:t>
      </w:r>
      <w:bookmarkStart w:id="13" w:name="_Hlk191025826"/>
      <w:r w:rsidRPr="008B6EA1">
        <w:rPr>
          <w:rFonts w:cs="Arial"/>
          <w:bCs/>
          <w:sz w:val="18"/>
          <w:szCs w:val="18"/>
        </w:rPr>
        <w:t xml:space="preserve">+ </w:t>
      </w:r>
      <w:bookmarkEnd w:id="13"/>
      <w:r w:rsidRPr="008B6EA1">
        <w:rPr>
          <w:rFonts w:cs="Arial"/>
          <w:bCs/>
          <w:sz w:val="18"/>
          <w:szCs w:val="18"/>
        </w:rPr>
        <w:t>78 Electric buses (bus fleet cumulatively 17% zero emission)</w:t>
      </w:r>
    </w:p>
    <w:p w14:paraId="741073BD" w14:textId="77777777" w:rsidR="008B6EA1" w:rsidRPr="008B6EA1" w:rsidRDefault="008B6EA1" w:rsidP="008B6EA1">
      <w:pPr>
        <w:jc w:val="both"/>
        <w:rPr>
          <w:rFonts w:cs="Arial"/>
          <w:bCs/>
          <w:sz w:val="18"/>
          <w:szCs w:val="18"/>
        </w:rPr>
      </w:pPr>
      <w:r w:rsidRPr="008B6EA1">
        <w:rPr>
          <w:rFonts w:cs="Arial"/>
          <w:bCs/>
          <w:sz w:val="18"/>
          <w:szCs w:val="18"/>
        </w:rPr>
        <w:t>2026 + 44 Electric buses (bus fleet cumulatively 25% zero emission)</w:t>
      </w:r>
    </w:p>
    <w:p w14:paraId="36351C09" w14:textId="77777777" w:rsidR="008B6EA1" w:rsidRPr="008B6EA1" w:rsidRDefault="008B6EA1" w:rsidP="008B6EA1">
      <w:pPr>
        <w:jc w:val="both"/>
        <w:rPr>
          <w:rFonts w:cs="Arial"/>
          <w:bCs/>
          <w:sz w:val="18"/>
          <w:szCs w:val="18"/>
        </w:rPr>
      </w:pPr>
      <w:r w:rsidRPr="008B6EA1">
        <w:rPr>
          <w:rFonts w:cs="Arial"/>
          <w:bCs/>
          <w:sz w:val="18"/>
          <w:szCs w:val="18"/>
        </w:rPr>
        <w:t>2027 + 50 Electric buses (bus fleet cumulatively 33% zero emission)</w:t>
      </w:r>
    </w:p>
    <w:p w14:paraId="2E816135" w14:textId="77777777" w:rsidR="008B6EA1" w:rsidRPr="008B6EA1" w:rsidRDefault="008B6EA1" w:rsidP="008B6EA1">
      <w:pPr>
        <w:jc w:val="both"/>
        <w:rPr>
          <w:rFonts w:cs="Arial"/>
          <w:bCs/>
          <w:sz w:val="18"/>
          <w:szCs w:val="18"/>
        </w:rPr>
      </w:pPr>
      <w:r w:rsidRPr="008B6EA1">
        <w:rPr>
          <w:rFonts w:cs="Arial"/>
          <w:bCs/>
          <w:sz w:val="18"/>
          <w:szCs w:val="18"/>
        </w:rPr>
        <w:t>2028 + 50 Electric buses (bus fleet cumulatively 41% zero emission)</w:t>
      </w:r>
    </w:p>
    <w:p w14:paraId="347B0339" w14:textId="77777777" w:rsidR="008B6EA1" w:rsidRPr="008B6EA1" w:rsidRDefault="008B6EA1" w:rsidP="008B6EA1">
      <w:pPr>
        <w:jc w:val="both"/>
        <w:rPr>
          <w:rFonts w:cs="Arial"/>
          <w:bCs/>
          <w:sz w:val="18"/>
          <w:szCs w:val="18"/>
        </w:rPr>
      </w:pPr>
      <w:r w:rsidRPr="008B6EA1">
        <w:rPr>
          <w:rFonts w:cs="Arial"/>
          <w:bCs/>
          <w:sz w:val="18"/>
          <w:szCs w:val="18"/>
        </w:rPr>
        <w:t>2029 + 50 Electric buses (bus fleet cumulatively 49% zero emission)</w:t>
      </w:r>
    </w:p>
    <w:p w14:paraId="6E377ACB" w14:textId="77777777" w:rsidR="008B6EA1" w:rsidRPr="008B6EA1" w:rsidRDefault="008B6EA1" w:rsidP="008B6EA1">
      <w:pPr>
        <w:jc w:val="both"/>
        <w:rPr>
          <w:rFonts w:cs="Arial"/>
          <w:bCs/>
          <w:sz w:val="18"/>
          <w:szCs w:val="18"/>
        </w:rPr>
      </w:pPr>
      <w:r w:rsidRPr="008B6EA1">
        <w:rPr>
          <w:rFonts w:cs="Arial"/>
          <w:bCs/>
          <w:sz w:val="18"/>
          <w:szCs w:val="18"/>
        </w:rPr>
        <w:t>2030 + 47 Electric buses (bus fleet cumulatively 57% zero emission)</w:t>
      </w:r>
    </w:p>
    <w:p w14:paraId="616EBCD3" w14:textId="77777777" w:rsidR="008B6EA1" w:rsidRPr="008B6EA1" w:rsidRDefault="008B6EA1" w:rsidP="008B6EA1">
      <w:pPr>
        <w:jc w:val="both"/>
        <w:rPr>
          <w:rFonts w:cs="Arial"/>
          <w:bCs/>
          <w:sz w:val="18"/>
          <w:szCs w:val="18"/>
        </w:rPr>
      </w:pPr>
      <w:r w:rsidRPr="008B6EA1">
        <w:rPr>
          <w:rFonts w:cs="Arial"/>
          <w:bCs/>
          <w:sz w:val="18"/>
          <w:szCs w:val="18"/>
        </w:rPr>
        <w:t>2031 + 50 Electric buses (bus fleet cumulatively 65% zero emission)</w:t>
      </w:r>
    </w:p>
    <w:p w14:paraId="704EC6E3" w14:textId="77777777" w:rsidR="008B6EA1" w:rsidRPr="008B6EA1" w:rsidRDefault="008B6EA1" w:rsidP="008B6EA1">
      <w:pPr>
        <w:jc w:val="both"/>
        <w:rPr>
          <w:rFonts w:cs="Arial"/>
          <w:bCs/>
          <w:sz w:val="18"/>
          <w:szCs w:val="18"/>
        </w:rPr>
      </w:pPr>
      <w:r w:rsidRPr="008B6EA1">
        <w:rPr>
          <w:rFonts w:cs="Arial"/>
          <w:bCs/>
          <w:sz w:val="18"/>
          <w:szCs w:val="18"/>
        </w:rPr>
        <w:t>2032 + 50 Electric buses (bus fleet cumulatively 73% zero emission)</w:t>
      </w:r>
    </w:p>
    <w:p w14:paraId="1930E34F" w14:textId="77777777" w:rsidR="008B6EA1" w:rsidRPr="008B6EA1" w:rsidRDefault="008B6EA1" w:rsidP="008B6EA1">
      <w:pPr>
        <w:jc w:val="both"/>
        <w:rPr>
          <w:rFonts w:cs="Arial"/>
          <w:bCs/>
          <w:sz w:val="18"/>
          <w:szCs w:val="18"/>
        </w:rPr>
      </w:pPr>
      <w:r w:rsidRPr="008B6EA1">
        <w:rPr>
          <w:rFonts w:cs="Arial"/>
          <w:bCs/>
          <w:sz w:val="18"/>
          <w:szCs w:val="18"/>
        </w:rPr>
        <w:t>2033 + 52 Electric buses (bus fleet cumulatively 82% zero emission)</w:t>
      </w:r>
    </w:p>
    <w:p w14:paraId="038D1675" w14:textId="77777777" w:rsidR="008B6EA1" w:rsidRPr="008B6EA1" w:rsidRDefault="008B6EA1" w:rsidP="008B6EA1">
      <w:pPr>
        <w:jc w:val="both"/>
        <w:rPr>
          <w:rFonts w:cs="Arial"/>
          <w:bCs/>
          <w:sz w:val="18"/>
          <w:szCs w:val="18"/>
        </w:rPr>
      </w:pPr>
      <w:r w:rsidRPr="008B6EA1">
        <w:rPr>
          <w:rFonts w:cs="Arial"/>
          <w:bCs/>
          <w:sz w:val="18"/>
          <w:szCs w:val="18"/>
        </w:rPr>
        <w:t>2034 + 55 Electric buses (bus fleet cumulatively 91% zero emission)</w:t>
      </w:r>
    </w:p>
    <w:p w14:paraId="56A3484A" w14:textId="77777777" w:rsidR="008B6EA1" w:rsidRPr="008B6EA1" w:rsidRDefault="008B6EA1" w:rsidP="008B6EA1">
      <w:pPr>
        <w:jc w:val="both"/>
        <w:rPr>
          <w:rFonts w:cs="Arial"/>
          <w:bCs/>
          <w:sz w:val="18"/>
          <w:szCs w:val="18"/>
        </w:rPr>
      </w:pPr>
      <w:r w:rsidRPr="008B6EA1">
        <w:rPr>
          <w:rFonts w:cs="Arial"/>
          <w:bCs/>
          <w:sz w:val="18"/>
          <w:szCs w:val="18"/>
        </w:rPr>
        <w:t>2035 + 57 Electric buses (bus fleet cumulatively 100% zero emission)</w:t>
      </w:r>
    </w:p>
    <w:p w14:paraId="51192B27" w14:textId="77777777" w:rsidR="008B6EA1" w:rsidRPr="008B6EA1" w:rsidRDefault="008B6EA1" w:rsidP="008B6EA1">
      <w:pPr>
        <w:jc w:val="both"/>
        <w:rPr>
          <w:rFonts w:cs="Arial"/>
          <w:bCs/>
          <w:sz w:val="14"/>
          <w:szCs w:val="14"/>
        </w:rPr>
      </w:pPr>
    </w:p>
    <w:p w14:paraId="4D996310" w14:textId="77777777" w:rsidR="008B6EA1" w:rsidRPr="00C328EF" w:rsidRDefault="008B6EA1" w:rsidP="0075270E">
      <w:pPr>
        <w:pStyle w:val="NoSpacing"/>
        <w:jc w:val="both"/>
        <w:rPr>
          <w:rFonts w:ascii="Arial" w:hAnsi="Arial" w:cs="Arial"/>
          <w:b/>
          <w:bCs/>
          <w:sz w:val="20"/>
          <w:szCs w:val="20"/>
          <w:highlight w:val="yellow"/>
        </w:rPr>
      </w:pPr>
      <w:r w:rsidRPr="008B6EA1">
        <w:rPr>
          <w:rFonts w:ascii="Arial" w:hAnsi="Arial" w:cs="Arial"/>
          <w:bCs/>
          <w:sz w:val="20"/>
          <w:szCs w:val="20"/>
        </w:rPr>
        <w:t>We recognise that we are still relatively at the beginning of this process compared to other organisations and performance against targets will be built up over future years. We have not yet set specific individual targets for our Scope 1, 2 and 3 GHG emissions. We have been disclosing performance on emissions reporting for several years now and the overall combined target here has always been for reduction over time until fully net zero. In the periods where emissions have increased period on period there have been valid business reasons (mainly growing back post pandemic and business expansion via organic growth and acquisitions) and performance against the baseline allows for viewing performance over a longer period. We would potentially target our carbon saved by modal shift by growing bus journeys, lowering car journeys and increasing patronage loads on vehicles. Our target to be fully net zero involves the property estate and other non-vehicle areas of the group where the ultimate overall target is to be fully net zero by 2050.</w:t>
      </w:r>
    </w:p>
    <w:p w14:paraId="107A4C3C" w14:textId="77777777" w:rsidR="006A4A6F" w:rsidRDefault="006A4A6F" w:rsidP="00EC1642">
      <w:pPr>
        <w:jc w:val="both"/>
        <w:rPr>
          <w:rFonts w:cs="Arial"/>
          <w:b/>
        </w:rPr>
      </w:pPr>
    </w:p>
    <w:p w14:paraId="3ECB5118" w14:textId="77777777" w:rsidR="00476D7C" w:rsidRPr="00820267" w:rsidRDefault="0075270E" w:rsidP="00476D7C">
      <w:pPr>
        <w:jc w:val="center"/>
        <w:outlineLvl w:val="0"/>
        <w:rPr>
          <w:b/>
        </w:rPr>
      </w:pPr>
      <w:r w:rsidRPr="00C328EF">
        <w:rPr>
          <w:b/>
          <w:highlight w:val="yellow"/>
        </w:rPr>
        <w:br w:type="page"/>
      </w:r>
      <w:r w:rsidR="00476D7C" w:rsidRPr="00820267">
        <w:rPr>
          <w:b/>
        </w:rPr>
        <w:lastRenderedPageBreak/>
        <w:t>TRANSPORT FOR EDINBURGH LIMITED</w:t>
      </w:r>
    </w:p>
    <w:p w14:paraId="18F2E182" w14:textId="77777777" w:rsidR="00476D7C" w:rsidRPr="00820267" w:rsidRDefault="00476D7C" w:rsidP="00476D7C">
      <w:pPr>
        <w:rPr>
          <w:b/>
        </w:rPr>
      </w:pPr>
    </w:p>
    <w:p w14:paraId="38C1FF42" w14:textId="77777777" w:rsidR="00476D7C" w:rsidRPr="00820267" w:rsidRDefault="00476D7C" w:rsidP="00476D7C">
      <w:pPr>
        <w:jc w:val="center"/>
        <w:rPr>
          <w:b/>
        </w:rPr>
      </w:pPr>
      <w:r w:rsidRPr="00820267">
        <w:rPr>
          <w:b/>
        </w:rPr>
        <w:t>Strategic Report (continued)</w:t>
      </w:r>
    </w:p>
    <w:p w14:paraId="056A6850" w14:textId="77777777" w:rsidR="00476D7C" w:rsidRPr="00820267" w:rsidRDefault="00476D7C" w:rsidP="00476D7C">
      <w:pPr>
        <w:jc w:val="center"/>
        <w:rPr>
          <w:b/>
        </w:rPr>
      </w:pPr>
    </w:p>
    <w:p w14:paraId="5E3076AA" w14:textId="77777777" w:rsidR="00476D7C" w:rsidRPr="00820267" w:rsidRDefault="00D90B89" w:rsidP="00476D7C">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04453B0B" w14:textId="77777777" w:rsidR="006F23FC" w:rsidRPr="00C328EF" w:rsidRDefault="006F23FC" w:rsidP="006F23FC">
      <w:pPr>
        <w:pStyle w:val="NoSpacing"/>
        <w:jc w:val="both"/>
        <w:rPr>
          <w:rFonts w:ascii="Arial" w:hAnsi="Arial" w:cs="Arial"/>
          <w:color w:val="000000"/>
          <w:sz w:val="20"/>
          <w:szCs w:val="20"/>
          <w:highlight w:val="yellow"/>
        </w:rPr>
      </w:pPr>
    </w:p>
    <w:p w14:paraId="6EF6BBF5" w14:textId="77777777" w:rsidR="00FD0B28" w:rsidRPr="00C8043C" w:rsidRDefault="00FD0B28" w:rsidP="00FD0B28">
      <w:pPr>
        <w:jc w:val="both"/>
        <w:rPr>
          <w:rFonts w:cs="Arial"/>
          <w:b/>
        </w:rPr>
      </w:pPr>
      <w:r w:rsidRPr="00C8043C">
        <w:rPr>
          <w:rFonts w:cs="Arial"/>
          <w:b/>
        </w:rPr>
        <w:t>Tram Asset Management</w:t>
      </w:r>
    </w:p>
    <w:p w14:paraId="0A95913B" w14:textId="77777777" w:rsidR="00FD0B28" w:rsidRPr="00C8043C" w:rsidRDefault="00FD0B28" w:rsidP="00FD0B28">
      <w:pPr>
        <w:jc w:val="both"/>
        <w:rPr>
          <w:rFonts w:cs="Arial"/>
          <w:b/>
          <w:sz w:val="12"/>
          <w:szCs w:val="12"/>
        </w:rPr>
      </w:pPr>
    </w:p>
    <w:p w14:paraId="26F13537" w14:textId="77777777" w:rsidR="00FD0B28" w:rsidRPr="00C8043C" w:rsidRDefault="00FD0B28" w:rsidP="00FD0B28">
      <w:pPr>
        <w:widowControl w:val="0"/>
        <w:autoSpaceDE w:val="0"/>
        <w:autoSpaceDN w:val="0"/>
        <w:jc w:val="both"/>
        <w:rPr>
          <w:rFonts w:eastAsia="Arial" w:cs="Arial"/>
          <w:spacing w:val="-2"/>
          <w:lang w:val="en-US"/>
        </w:rPr>
      </w:pPr>
      <w:r w:rsidRPr="00C8043C">
        <w:rPr>
          <w:rFonts w:eastAsia="Arial" w:cs="Arial"/>
          <w:lang w:val="en-US"/>
        </w:rPr>
        <w:t>Under</w:t>
      </w:r>
      <w:r w:rsidRPr="00C8043C">
        <w:rPr>
          <w:rFonts w:eastAsia="Arial" w:cs="Arial"/>
          <w:spacing w:val="-9"/>
          <w:lang w:val="en-US"/>
        </w:rPr>
        <w:t xml:space="preserve"> </w:t>
      </w:r>
      <w:r w:rsidRPr="00C8043C">
        <w:rPr>
          <w:rFonts w:eastAsia="Arial" w:cs="Arial"/>
          <w:lang w:val="en-US"/>
        </w:rPr>
        <w:t>the</w:t>
      </w:r>
      <w:r w:rsidRPr="00C8043C">
        <w:rPr>
          <w:rFonts w:eastAsia="Arial" w:cs="Arial"/>
          <w:spacing w:val="-8"/>
          <w:lang w:val="en-US"/>
        </w:rPr>
        <w:t xml:space="preserve"> </w:t>
      </w:r>
      <w:r w:rsidRPr="00C8043C">
        <w:rPr>
          <w:rFonts w:eastAsia="Arial" w:cs="Arial"/>
          <w:lang w:val="en-US"/>
        </w:rPr>
        <w:t>terms</w:t>
      </w:r>
      <w:r w:rsidRPr="00C8043C">
        <w:rPr>
          <w:rFonts w:eastAsia="Arial" w:cs="Arial"/>
          <w:spacing w:val="-9"/>
          <w:lang w:val="en-US"/>
        </w:rPr>
        <w:t xml:space="preserve"> </w:t>
      </w:r>
      <w:r w:rsidRPr="00C8043C">
        <w:rPr>
          <w:rFonts w:eastAsia="Arial" w:cs="Arial"/>
          <w:lang w:val="en-US"/>
        </w:rPr>
        <w:t>of</w:t>
      </w:r>
      <w:r w:rsidRPr="00C8043C">
        <w:rPr>
          <w:rFonts w:eastAsia="Arial" w:cs="Arial"/>
          <w:spacing w:val="-10"/>
          <w:lang w:val="en-US"/>
        </w:rPr>
        <w:t xml:space="preserve"> </w:t>
      </w:r>
      <w:r w:rsidRPr="00C8043C">
        <w:rPr>
          <w:rFonts w:eastAsia="Arial" w:cs="Arial"/>
          <w:lang w:val="en-US"/>
        </w:rPr>
        <w:t>the</w:t>
      </w:r>
      <w:r w:rsidRPr="00C8043C">
        <w:rPr>
          <w:rFonts w:eastAsia="Arial" w:cs="Arial"/>
          <w:spacing w:val="-11"/>
          <w:lang w:val="en-US"/>
        </w:rPr>
        <w:t xml:space="preserve"> </w:t>
      </w:r>
      <w:r w:rsidRPr="00C8043C">
        <w:rPr>
          <w:rFonts w:eastAsia="Arial" w:cs="Arial"/>
          <w:lang w:val="en-US"/>
        </w:rPr>
        <w:t>Operating</w:t>
      </w:r>
      <w:r w:rsidRPr="00C8043C">
        <w:rPr>
          <w:rFonts w:eastAsia="Arial" w:cs="Arial"/>
          <w:spacing w:val="-8"/>
          <w:lang w:val="en-US"/>
        </w:rPr>
        <w:t xml:space="preserve"> </w:t>
      </w:r>
      <w:r w:rsidRPr="00C8043C">
        <w:rPr>
          <w:rFonts w:eastAsia="Arial" w:cs="Arial"/>
          <w:lang w:val="en-US"/>
        </w:rPr>
        <w:t>Agreement</w:t>
      </w:r>
      <w:r w:rsidRPr="00C8043C">
        <w:rPr>
          <w:rFonts w:eastAsia="Arial" w:cs="Arial"/>
          <w:spacing w:val="-11"/>
          <w:lang w:val="en-US"/>
        </w:rPr>
        <w:t xml:space="preserve"> </w:t>
      </w:r>
      <w:r w:rsidRPr="00C8043C">
        <w:rPr>
          <w:rFonts w:eastAsia="Arial" w:cs="Arial"/>
          <w:lang w:val="en-US"/>
        </w:rPr>
        <w:t>as</w:t>
      </w:r>
      <w:r w:rsidRPr="00C8043C">
        <w:rPr>
          <w:rFonts w:eastAsia="Arial" w:cs="Arial"/>
          <w:spacing w:val="-9"/>
          <w:lang w:val="en-US"/>
        </w:rPr>
        <w:t xml:space="preserve"> </w:t>
      </w:r>
      <w:r w:rsidRPr="00C8043C">
        <w:rPr>
          <w:rFonts w:eastAsia="Arial" w:cs="Arial"/>
          <w:lang w:val="en-US"/>
        </w:rPr>
        <w:t>varied</w:t>
      </w:r>
      <w:r w:rsidRPr="00C8043C">
        <w:rPr>
          <w:rFonts w:eastAsia="Arial" w:cs="Arial"/>
          <w:spacing w:val="-6"/>
          <w:lang w:val="en-US"/>
        </w:rPr>
        <w:t xml:space="preserve"> </w:t>
      </w:r>
      <w:r w:rsidRPr="00C8043C">
        <w:rPr>
          <w:rFonts w:eastAsia="Arial" w:cs="Arial"/>
          <w:lang w:val="en-US"/>
        </w:rPr>
        <w:t>on</w:t>
      </w:r>
      <w:r w:rsidRPr="00C8043C">
        <w:rPr>
          <w:rFonts w:eastAsia="Arial" w:cs="Arial"/>
          <w:spacing w:val="-11"/>
          <w:lang w:val="en-US"/>
        </w:rPr>
        <w:t xml:space="preserve"> </w:t>
      </w:r>
      <w:r w:rsidRPr="00C8043C">
        <w:rPr>
          <w:rFonts w:eastAsia="Arial" w:cs="Arial"/>
          <w:lang w:val="en-US"/>
        </w:rPr>
        <w:t>30</w:t>
      </w:r>
      <w:r w:rsidRPr="00C8043C">
        <w:rPr>
          <w:rFonts w:eastAsia="Arial" w:cs="Arial"/>
          <w:spacing w:val="12"/>
          <w:position w:val="6"/>
          <w:sz w:val="13"/>
          <w:lang w:val="en-US"/>
        </w:rPr>
        <w:t xml:space="preserve"> </w:t>
      </w:r>
      <w:r w:rsidRPr="00C8043C">
        <w:rPr>
          <w:rFonts w:eastAsia="Arial" w:cs="Arial"/>
          <w:lang w:val="en-US"/>
        </w:rPr>
        <w:t>April</w:t>
      </w:r>
      <w:r w:rsidRPr="00C8043C">
        <w:rPr>
          <w:rFonts w:eastAsia="Arial" w:cs="Arial"/>
          <w:spacing w:val="-9"/>
          <w:lang w:val="en-US"/>
        </w:rPr>
        <w:t xml:space="preserve"> </w:t>
      </w:r>
      <w:r w:rsidRPr="00C8043C">
        <w:rPr>
          <w:rFonts w:eastAsia="Arial" w:cs="Arial"/>
          <w:lang w:val="en-US"/>
        </w:rPr>
        <w:t>2021,</w:t>
      </w:r>
      <w:r w:rsidRPr="00C8043C">
        <w:rPr>
          <w:rFonts w:eastAsia="Arial" w:cs="Arial"/>
          <w:spacing w:val="-11"/>
          <w:lang w:val="en-US"/>
        </w:rPr>
        <w:t xml:space="preserve"> </w:t>
      </w:r>
      <w:r w:rsidRPr="00C8043C">
        <w:rPr>
          <w:rFonts w:eastAsia="Arial" w:cs="Arial"/>
          <w:lang w:val="en-US"/>
        </w:rPr>
        <w:t>CEC</w:t>
      </w:r>
      <w:r w:rsidRPr="00C8043C">
        <w:rPr>
          <w:rFonts w:eastAsia="Arial" w:cs="Arial"/>
          <w:spacing w:val="-7"/>
          <w:lang w:val="en-US"/>
        </w:rPr>
        <w:t xml:space="preserve"> </w:t>
      </w:r>
      <w:r w:rsidRPr="00C8043C">
        <w:rPr>
          <w:rFonts w:eastAsia="Arial" w:cs="Arial"/>
          <w:lang w:val="en-US"/>
        </w:rPr>
        <w:t>is</w:t>
      </w:r>
      <w:r w:rsidRPr="00C8043C">
        <w:rPr>
          <w:rFonts w:eastAsia="Arial" w:cs="Arial"/>
          <w:spacing w:val="-9"/>
          <w:lang w:val="en-US"/>
        </w:rPr>
        <w:t xml:space="preserve"> </w:t>
      </w:r>
      <w:r w:rsidRPr="00C8043C">
        <w:rPr>
          <w:rFonts w:eastAsia="Arial" w:cs="Arial"/>
          <w:lang w:val="en-US"/>
        </w:rPr>
        <w:t>responsible</w:t>
      </w:r>
      <w:r w:rsidRPr="00C8043C">
        <w:rPr>
          <w:rFonts w:eastAsia="Arial" w:cs="Arial"/>
          <w:spacing w:val="-8"/>
          <w:lang w:val="en-US"/>
        </w:rPr>
        <w:t xml:space="preserve"> </w:t>
      </w:r>
      <w:r w:rsidRPr="00C8043C">
        <w:rPr>
          <w:rFonts w:eastAsia="Arial" w:cs="Arial"/>
          <w:lang w:val="en-US"/>
        </w:rPr>
        <w:t>for</w:t>
      </w:r>
      <w:r w:rsidRPr="00C8043C">
        <w:rPr>
          <w:rFonts w:eastAsia="Arial" w:cs="Arial"/>
          <w:spacing w:val="-7"/>
          <w:lang w:val="en-US"/>
        </w:rPr>
        <w:t xml:space="preserve"> </w:t>
      </w:r>
      <w:r w:rsidRPr="00C8043C">
        <w:rPr>
          <w:rFonts w:eastAsia="Arial" w:cs="Arial"/>
          <w:lang w:val="en-US"/>
        </w:rPr>
        <w:t>the</w:t>
      </w:r>
      <w:r w:rsidRPr="00C8043C">
        <w:rPr>
          <w:rFonts w:eastAsia="Arial" w:cs="Arial"/>
          <w:spacing w:val="-9"/>
          <w:lang w:val="en-US"/>
        </w:rPr>
        <w:t xml:space="preserve"> </w:t>
      </w:r>
      <w:r w:rsidRPr="00C8043C">
        <w:rPr>
          <w:rFonts w:eastAsia="Arial" w:cs="Arial"/>
          <w:lang w:val="en-US"/>
        </w:rPr>
        <w:t>cost</w:t>
      </w:r>
      <w:r w:rsidRPr="00C8043C">
        <w:rPr>
          <w:rFonts w:eastAsia="Arial" w:cs="Arial"/>
          <w:spacing w:val="-10"/>
          <w:lang w:val="en-US"/>
        </w:rPr>
        <w:t xml:space="preserve"> </w:t>
      </w:r>
      <w:r w:rsidRPr="00C8043C">
        <w:rPr>
          <w:rFonts w:eastAsia="Arial" w:cs="Arial"/>
          <w:lang w:val="en-US"/>
        </w:rPr>
        <w:t>of</w:t>
      </w:r>
      <w:r w:rsidRPr="00C8043C">
        <w:rPr>
          <w:rFonts w:eastAsia="Arial" w:cs="Arial"/>
          <w:spacing w:val="-8"/>
          <w:lang w:val="en-US"/>
        </w:rPr>
        <w:t xml:space="preserve"> </w:t>
      </w:r>
      <w:r w:rsidRPr="00C8043C">
        <w:rPr>
          <w:rFonts w:eastAsia="Arial" w:cs="Arial"/>
          <w:lang w:val="en-US"/>
        </w:rPr>
        <w:t xml:space="preserve">Asset </w:t>
      </w:r>
      <w:r w:rsidRPr="00C8043C">
        <w:rPr>
          <w:rFonts w:eastAsia="Arial" w:cs="Arial"/>
          <w:spacing w:val="-2"/>
          <w:lang w:val="en-US"/>
        </w:rPr>
        <w:t xml:space="preserve">Renewals. </w:t>
      </w:r>
    </w:p>
    <w:p w14:paraId="0E933BFA" w14:textId="77777777" w:rsidR="00FD0B28" w:rsidRPr="00D1509B" w:rsidRDefault="00FD0B28" w:rsidP="00FD0B28">
      <w:pPr>
        <w:widowControl w:val="0"/>
        <w:autoSpaceDE w:val="0"/>
        <w:autoSpaceDN w:val="0"/>
        <w:jc w:val="both"/>
        <w:rPr>
          <w:rFonts w:eastAsia="Arial" w:cs="Arial"/>
          <w:spacing w:val="-2"/>
          <w:sz w:val="12"/>
          <w:szCs w:val="12"/>
          <w:lang w:val="en-US"/>
        </w:rPr>
      </w:pPr>
    </w:p>
    <w:p w14:paraId="417093C0" w14:textId="77777777" w:rsidR="00FD0B28" w:rsidRPr="00D1509B" w:rsidRDefault="00FD0B28" w:rsidP="00FD0B28">
      <w:pPr>
        <w:widowControl w:val="0"/>
        <w:autoSpaceDE w:val="0"/>
        <w:autoSpaceDN w:val="0"/>
        <w:jc w:val="both"/>
      </w:pPr>
      <w:r w:rsidRPr="00D1509B">
        <w:t xml:space="preserve">As per the Operating Agreement, Edinburgh Trams submitted the draft Annual Asset Renewals Plan, which provides more detail and more accurate costings for the activities on 1 August 2024. CEC are reviewing the information provided and once feedback is received Trams will submit to CEC, as per the Operating Agreement, the ten-year plan that includes expected renewal activities and an estimated cost for these activities for the subsequent ten years. </w:t>
      </w:r>
    </w:p>
    <w:p w14:paraId="16E113DB" w14:textId="77777777" w:rsidR="00FD0B28" w:rsidRPr="00D1509B" w:rsidRDefault="00FD0B28" w:rsidP="00FD0B28">
      <w:pPr>
        <w:widowControl w:val="0"/>
        <w:autoSpaceDE w:val="0"/>
        <w:autoSpaceDN w:val="0"/>
        <w:jc w:val="both"/>
        <w:rPr>
          <w:rFonts w:eastAsia="Arial" w:cs="Arial"/>
          <w:sz w:val="12"/>
          <w:szCs w:val="12"/>
          <w:lang w:val="en-US"/>
        </w:rPr>
      </w:pPr>
    </w:p>
    <w:p w14:paraId="53C369A3" w14:textId="5166F0BB" w:rsidR="00FD0B28" w:rsidRPr="00D1509B" w:rsidRDefault="00FD0B28" w:rsidP="00FD0B28">
      <w:pPr>
        <w:jc w:val="both"/>
        <w:rPr>
          <w:rFonts w:eastAsia="Arial" w:cs="Arial"/>
          <w:lang w:val="en-US"/>
        </w:rPr>
      </w:pPr>
      <w:r w:rsidRPr="00D1509B">
        <w:rPr>
          <w:rFonts w:eastAsia="Arial" w:cs="Arial"/>
          <w:lang w:val="en-US"/>
        </w:rPr>
        <w:t xml:space="preserve">As per previous </w:t>
      </w:r>
      <w:r>
        <w:rPr>
          <w:rFonts w:eastAsia="Arial" w:cs="Arial"/>
          <w:lang w:val="en-US"/>
        </w:rPr>
        <w:t>periods</w:t>
      </w:r>
      <w:r w:rsidRPr="00D1509B">
        <w:rPr>
          <w:rFonts w:eastAsia="Arial" w:cs="Arial"/>
          <w:lang w:val="en-US"/>
        </w:rPr>
        <w:t xml:space="preserve">, a process has been agreed between Edinburgh Trams and CEC whereby prior to generating and issuing any change documentation or purchase orders to suppliers, </w:t>
      </w:r>
      <w:r w:rsidR="00A52687">
        <w:rPr>
          <w:rFonts w:eastAsia="Arial" w:cs="Arial"/>
          <w:lang w:val="en-US"/>
        </w:rPr>
        <w:t xml:space="preserve">Edinburgh </w:t>
      </w:r>
      <w:r w:rsidRPr="00D1509B">
        <w:rPr>
          <w:rFonts w:eastAsia="Arial" w:cs="Arial"/>
          <w:lang w:val="en-US"/>
        </w:rPr>
        <w:t>Tram</w:t>
      </w:r>
      <w:r w:rsidR="00A52687">
        <w:rPr>
          <w:rFonts w:eastAsia="Arial" w:cs="Arial"/>
          <w:lang w:val="en-US"/>
        </w:rPr>
        <w:t>s</w:t>
      </w:r>
      <w:r w:rsidRPr="00D1509B">
        <w:rPr>
          <w:rFonts w:eastAsia="Arial" w:cs="Arial"/>
          <w:lang w:val="en-US"/>
        </w:rPr>
        <w:t xml:space="preserve"> have in place a purchase order from CEC</w:t>
      </w:r>
      <w:r w:rsidRPr="00D1509B">
        <w:rPr>
          <w:rFonts w:eastAsia="Arial" w:cs="Arial"/>
          <w:spacing w:val="-7"/>
          <w:lang w:val="en-US"/>
        </w:rPr>
        <w:t xml:space="preserve"> </w:t>
      </w:r>
      <w:r w:rsidRPr="00D1509B">
        <w:rPr>
          <w:rFonts w:eastAsia="Arial" w:cs="Arial"/>
          <w:lang w:val="en-US"/>
        </w:rPr>
        <w:t>to</w:t>
      </w:r>
      <w:r w:rsidRPr="00D1509B">
        <w:rPr>
          <w:rFonts w:eastAsia="Arial" w:cs="Arial"/>
          <w:spacing w:val="-7"/>
          <w:lang w:val="en-US"/>
        </w:rPr>
        <w:t xml:space="preserve"> </w:t>
      </w:r>
      <w:r w:rsidRPr="00D1509B">
        <w:rPr>
          <w:rFonts w:eastAsia="Arial" w:cs="Arial"/>
          <w:lang w:val="en-US"/>
        </w:rPr>
        <w:t>cover</w:t>
      </w:r>
      <w:r w:rsidRPr="00D1509B">
        <w:rPr>
          <w:rFonts w:eastAsia="Arial" w:cs="Arial"/>
          <w:spacing w:val="-9"/>
          <w:lang w:val="en-US"/>
        </w:rPr>
        <w:t xml:space="preserve"> </w:t>
      </w:r>
      <w:r w:rsidRPr="00D1509B">
        <w:rPr>
          <w:rFonts w:eastAsia="Arial" w:cs="Arial"/>
          <w:lang w:val="en-US"/>
        </w:rPr>
        <w:t>the</w:t>
      </w:r>
      <w:r w:rsidRPr="00D1509B">
        <w:rPr>
          <w:rFonts w:eastAsia="Arial" w:cs="Arial"/>
          <w:spacing w:val="-8"/>
          <w:lang w:val="en-US"/>
        </w:rPr>
        <w:t xml:space="preserve"> </w:t>
      </w:r>
      <w:r w:rsidRPr="00D1509B">
        <w:rPr>
          <w:rFonts w:eastAsia="Arial" w:cs="Arial"/>
          <w:lang w:val="en-US"/>
        </w:rPr>
        <w:t>expected</w:t>
      </w:r>
      <w:r w:rsidRPr="00D1509B">
        <w:rPr>
          <w:rFonts w:eastAsia="Arial" w:cs="Arial"/>
          <w:spacing w:val="-7"/>
          <w:lang w:val="en-US"/>
        </w:rPr>
        <w:t xml:space="preserve"> </w:t>
      </w:r>
      <w:r w:rsidRPr="00D1509B">
        <w:rPr>
          <w:rFonts w:eastAsia="Arial" w:cs="Arial"/>
          <w:lang w:val="en-US"/>
        </w:rPr>
        <w:t>cost.</w:t>
      </w:r>
      <w:r w:rsidRPr="00D1509B">
        <w:rPr>
          <w:rFonts w:eastAsia="Arial" w:cs="Arial"/>
          <w:spacing w:val="-9"/>
          <w:lang w:val="en-US"/>
        </w:rPr>
        <w:t xml:space="preserve"> </w:t>
      </w:r>
      <w:r w:rsidRPr="00D1509B">
        <w:rPr>
          <w:rFonts w:eastAsia="Arial" w:cs="Arial"/>
          <w:lang w:val="en-US"/>
        </w:rPr>
        <w:t>This</w:t>
      </w:r>
      <w:r w:rsidRPr="00D1509B">
        <w:rPr>
          <w:rFonts w:eastAsia="Arial" w:cs="Arial"/>
          <w:spacing w:val="-6"/>
          <w:lang w:val="en-US"/>
        </w:rPr>
        <w:t xml:space="preserve"> </w:t>
      </w:r>
      <w:r w:rsidRPr="00D1509B">
        <w:rPr>
          <w:rFonts w:eastAsia="Arial" w:cs="Arial"/>
          <w:lang w:val="en-US"/>
        </w:rPr>
        <w:t>provides</w:t>
      </w:r>
      <w:r w:rsidRPr="00D1509B">
        <w:rPr>
          <w:rFonts w:eastAsia="Arial" w:cs="Arial"/>
          <w:spacing w:val="-6"/>
          <w:lang w:val="en-US"/>
        </w:rPr>
        <w:t xml:space="preserve"> </w:t>
      </w:r>
      <w:r w:rsidRPr="00D1509B">
        <w:rPr>
          <w:rFonts w:eastAsia="Arial" w:cs="Arial"/>
          <w:lang w:val="en-US"/>
        </w:rPr>
        <w:t>Edinburgh Trams</w:t>
      </w:r>
      <w:r w:rsidRPr="00D1509B">
        <w:rPr>
          <w:rFonts w:eastAsia="Arial" w:cs="Arial"/>
          <w:spacing w:val="-7"/>
          <w:lang w:val="en-US"/>
        </w:rPr>
        <w:t xml:space="preserve"> </w:t>
      </w:r>
      <w:r w:rsidRPr="00D1509B">
        <w:rPr>
          <w:rFonts w:eastAsia="Arial" w:cs="Arial"/>
          <w:lang w:val="en-US"/>
        </w:rPr>
        <w:t>with</w:t>
      </w:r>
      <w:r w:rsidRPr="00D1509B">
        <w:rPr>
          <w:rFonts w:eastAsia="Arial" w:cs="Arial"/>
          <w:spacing w:val="-10"/>
          <w:lang w:val="en-US"/>
        </w:rPr>
        <w:t xml:space="preserve"> </w:t>
      </w:r>
      <w:r w:rsidRPr="00D1509B">
        <w:rPr>
          <w:rFonts w:eastAsia="Arial" w:cs="Arial"/>
          <w:lang w:val="en-US"/>
        </w:rPr>
        <w:t>the</w:t>
      </w:r>
      <w:r w:rsidRPr="00D1509B">
        <w:rPr>
          <w:rFonts w:eastAsia="Arial" w:cs="Arial"/>
          <w:spacing w:val="-10"/>
          <w:lang w:val="en-US"/>
        </w:rPr>
        <w:t xml:space="preserve"> </w:t>
      </w:r>
      <w:r w:rsidRPr="00D1509B">
        <w:rPr>
          <w:rFonts w:eastAsia="Arial" w:cs="Arial"/>
          <w:lang w:val="en-US"/>
        </w:rPr>
        <w:t>security</w:t>
      </w:r>
      <w:r w:rsidRPr="00D1509B">
        <w:rPr>
          <w:rFonts w:eastAsia="Arial" w:cs="Arial"/>
          <w:spacing w:val="-8"/>
          <w:lang w:val="en-US"/>
        </w:rPr>
        <w:t xml:space="preserve"> </w:t>
      </w:r>
      <w:r w:rsidRPr="00D1509B">
        <w:rPr>
          <w:rFonts w:eastAsia="Arial" w:cs="Arial"/>
          <w:lang w:val="en-US"/>
        </w:rPr>
        <w:t>that</w:t>
      </w:r>
      <w:r w:rsidRPr="00D1509B">
        <w:rPr>
          <w:rFonts w:eastAsia="Arial" w:cs="Arial"/>
          <w:spacing w:val="-7"/>
          <w:lang w:val="en-US"/>
        </w:rPr>
        <w:t xml:space="preserve"> </w:t>
      </w:r>
      <w:r w:rsidRPr="00D1509B">
        <w:rPr>
          <w:rFonts w:eastAsia="Arial" w:cs="Arial"/>
          <w:lang w:val="en-US"/>
        </w:rPr>
        <w:t>any</w:t>
      </w:r>
      <w:r w:rsidRPr="00D1509B">
        <w:rPr>
          <w:rFonts w:eastAsia="Arial" w:cs="Arial"/>
          <w:spacing w:val="-6"/>
          <w:lang w:val="en-US"/>
        </w:rPr>
        <w:t xml:space="preserve"> </w:t>
      </w:r>
      <w:r w:rsidRPr="00D1509B">
        <w:rPr>
          <w:rFonts w:eastAsia="Arial" w:cs="Arial"/>
          <w:lang w:val="en-US"/>
        </w:rPr>
        <w:t>cost</w:t>
      </w:r>
      <w:r w:rsidRPr="00D1509B">
        <w:rPr>
          <w:rFonts w:eastAsia="Arial" w:cs="Arial"/>
          <w:spacing w:val="-7"/>
          <w:lang w:val="en-US"/>
        </w:rPr>
        <w:t xml:space="preserve"> </w:t>
      </w:r>
      <w:r w:rsidRPr="00D1509B">
        <w:rPr>
          <w:rFonts w:eastAsia="Arial" w:cs="Arial"/>
          <w:lang w:val="en-US"/>
        </w:rPr>
        <w:t>incurred</w:t>
      </w:r>
      <w:r w:rsidRPr="00D1509B">
        <w:rPr>
          <w:rFonts w:eastAsia="Arial" w:cs="Arial"/>
          <w:spacing w:val="-10"/>
          <w:lang w:val="en-US"/>
        </w:rPr>
        <w:t xml:space="preserve"> </w:t>
      </w:r>
      <w:r w:rsidRPr="00D1509B">
        <w:rPr>
          <w:rFonts w:eastAsia="Arial" w:cs="Arial"/>
          <w:lang w:val="en-US"/>
        </w:rPr>
        <w:t>can</w:t>
      </w:r>
      <w:r w:rsidRPr="00D1509B">
        <w:rPr>
          <w:rFonts w:eastAsia="Arial" w:cs="Arial"/>
          <w:spacing w:val="-10"/>
          <w:lang w:val="en-US"/>
        </w:rPr>
        <w:t xml:space="preserve"> </w:t>
      </w:r>
      <w:r w:rsidRPr="00D1509B">
        <w:rPr>
          <w:rFonts w:eastAsia="Arial" w:cs="Arial"/>
          <w:lang w:val="en-US"/>
        </w:rPr>
        <w:t>be</w:t>
      </w:r>
      <w:r w:rsidRPr="00D1509B">
        <w:rPr>
          <w:rFonts w:eastAsia="Arial" w:cs="Arial"/>
          <w:spacing w:val="-10"/>
          <w:lang w:val="en-US"/>
        </w:rPr>
        <w:t xml:space="preserve"> </w:t>
      </w:r>
      <w:r w:rsidRPr="00D1509B">
        <w:rPr>
          <w:rFonts w:eastAsia="Arial" w:cs="Arial"/>
          <w:lang w:val="en-US"/>
        </w:rPr>
        <w:t>re-charged</w:t>
      </w:r>
      <w:r w:rsidRPr="00D1509B">
        <w:rPr>
          <w:rFonts w:eastAsia="Arial" w:cs="Arial"/>
          <w:spacing w:val="-5"/>
          <w:lang w:val="en-US"/>
        </w:rPr>
        <w:t xml:space="preserve"> </w:t>
      </w:r>
      <w:r w:rsidRPr="00D1509B">
        <w:rPr>
          <w:rFonts w:eastAsia="Arial" w:cs="Arial"/>
          <w:lang w:val="en-US"/>
        </w:rPr>
        <w:t>and recovered quickly, minimising the impact upon cashflow.</w:t>
      </w:r>
      <w:r w:rsidRPr="00D1509B">
        <w:rPr>
          <w:rFonts w:eastAsia="Arial" w:cs="Arial"/>
          <w:spacing w:val="40"/>
          <w:lang w:val="en-US"/>
        </w:rPr>
        <w:t xml:space="preserve"> </w:t>
      </w:r>
      <w:r w:rsidRPr="00D1509B">
        <w:rPr>
          <w:rFonts w:eastAsia="Arial" w:cs="Arial"/>
          <w:lang w:val="en-US"/>
        </w:rPr>
        <w:t xml:space="preserve">Any changes to the plan throughout the </w:t>
      </w:r>
      <w:r>
        <w:rPr>
          <w:rFonts w:eastAsia="Arial" w:cs="Arial"/>
          <w:lang w:val="en-US"/>
        </w:rPr>
        <w:t>period</w:t>
      </w:r>
      <w:r w:rsidRPr="00D1509B">
        <w:rPr>
          <w:rFonts w:eastAsia="Arial" w:cs="Arial"/>
          <w:lang w:val="en-US"/>
        </w:rPr>
        <w:t>, including</w:t>
      </w:r>
      <w:r w:rsidRPr="00D1509B">
        <w:rPr>
          <w:rFonts w:eastAsia="Arial" w:cs="Arial"/>
          <w:spacing w:val="-14"/>
          <w:lang w:val="en-US"/>
        </w:rPr>
        <w:t xml:space="preserve"> </w:t>
      </w:r>
      <w:r w:rsidRPr="00D1509B">
        <w:rPr>
          <w:rFonts w:eastAsia="Arial" w:cs="Arial"/>
          <w:lang w:val="en-US"/>
        </w:rPr>
        <w:t>price</w:t>
      </w:r>
      <w:r w:rsidRPr="00D1509B">
        <w:rPr>
          <w:rFonts w:eastAsia="Arial" w:cs="Arial"/>
          <w:spacing w:val="-14"/>
          <w:lang w:val="en-US"/>
        </w:rPr>
        <w:t xml:space="preserve"> </w:t>
      </w:r>
      <w:r w:rsidRPr="00D1509B">
        <w:rPr>
          <w:rFonts w:eastAsia="Arial" w:cs="Arial"/>
          <w:lang w:val="en-US"/>
        </w:rPr>
        <w:t>changes</w:t>
      </w:r>
      <w:r w:rsidRPr="00D1509B">
        <w:rPr>
          <w:rFonts w:eastAsia="Arial" w:cs="Arial"/>
          <w:spacing w:val="-14"/>
          <w:lang w:val="en-US"/>
        </w:rPr>
        <w:t xml:space="preserve"> </w:t>
      </w:r>
      <w:r w:rsidRPr="00D1509B">
        <w:rPr>
          <w:rFonts w:eastAsia="Arial" w:cs="Arial"/>
          <w:lang w:val="en-US"/>
        </w:rPr>
        <w:t>are</w:t>
      </w:r>
      <w:r w:rsidRPr="00D1509B">
        <w:rPr>
          <w:rFonts w:eastAsia="Arial" w:cs="Arial"/>
          <w:spacing w:val="-14"/>
          <w:lang w:val="en-US"/>
        </w:rPr>
        <w:t xml:space="preserve"> </w:t>
      </w:r>
      <w:r w:rsidRPr="00D1509B">
        <w:rPr>
          <w:rFonts w:eastAsia="Arial" w:cs="Arial"/>
          <w:lang w:val="en-US"/>
        </w:rPr>
        <w:t>discussed</w:t>
      </w:r>
      <w:r w:rsidRPr="00D1509B">
        <w:rPr>
          <w:rFonts w:eastAsia="Arial" w:cs="Arial"/>
          <w:spacing w:val="-14"/>
          <w:lang w:val="en-US"/>
        </w:rPr>
        <w:t xml:space="preserve"> </w:t>
      </w:r>
      <w:r w:rsidRPr="00D1509B">
        <w:rPr>
          <w:rFonts w:eastAsia="Arial" w:cs="Arial"/>
          <w:lang w:val="en-US"/>
        </w:rPr>
        <w:t>and</w:t>
      </w:r>
      <w:r w:rsidRPr="00D1509B">
        <w:rPr>
          <w:rFonts w:eastAsia="Arial" w:cs="Arial"/>
          <w:spacing w:val="-14"/>
          <w:lang w:val="en-US"/>
        </w:rPr>
        <w:t xml:space="preserve"> </w:t>
      </w:r>
      <w:r w:rsidRPr="00D1509B">
        <w:rPr>
          <w:rFonts w:eastAsia="Arial" w:cs="Arial"/>
          <w:lang w:val="en-US"/>
        </w:rPr>
        <w:t>captured</w:t>
      </w:r>
      <w:r w:rsidRPr="00D1509B">
        <w:rPr>
          <w:rFonts w:eastAsia="Arial" w:cs="Arial"/>
          <w:spacing w:val="-14"/>
          <w:lang w:val="en-US"/>
        </w:rPr>
        <w:t xml:space="preserve"> </w:t>
      </w:r>
      <w:r w:rsidRPr="00D1509B">
        <w:rPr>
          <w:rFonts w:eastAsia="Arial" w:cs="Arial"/>
          <w:lang w:val="en-US"/>
        </w:rPr>
        <w:t>via</w:t>
      </w:r>
      <w:r w:rsidRPr="00D1509B">
        <w:rPr>
          <w:rFonts w:eastAsia="Arial" w:cs="Arial"/>
          <w:spacing w:val="-14"/>
          <w:lang w:val="en-US"/>
        </w:rPr>
        <w:t xml:space="preserve"> </w:t>
      </w:r>
      <w:r w:rsidRPr="00D1509B">
        <w:rPr>
          <w:rFonts w:eastAsia="Arial" w:cs="Arial"/>
          <w:lang w:val="en-US"/>
        </w:rPr>
        <w:t>an</w:t>
      </w:r>
      <w:r w:rsidRPr="00D1509B">
        <w:rPr>
          <w:rFonts w:eastAsia="Arial" w:cs="Arial"/>
          <w:spacing w:val="-14"/>
          <w:lang w:val="en-US"/>
        </w:rPr>
        <w:t xml:space="preserve"> </w:t>
      </w:r>
      <w:r w:rsidRPr="00D1509B">
        <w:rPr>
          <w:rFonts w:eastAsia="Arial" w:cs="Arial"/>
          <w:lang w:val="en-US"/>
        </w:rPr>
        <w:t>agreed</w:t>
      </w:r>
      <w:r w:rsidRPr="00D1509B">
        <w:rPr>
          <w:rFonts w:eastAsia="Arial" w:cs="Arial"/>
          <w:spacing w:val="-13"/>
          <w:lang w:val="en-US"/>
        </w:rPr>
        <w:t xml:space="preserve"> </w:t>
      </w:r>
      <w:r w:rsidRPr="00D1509B">
        <w:rPr>
          <w:rFonts w:eastAsia="Arial" w:cs="Arial"/>
          <w:lang w:val="en-US"/>
        </w:rPr>
        <w:t>change</w:t>
      </w:r>
      <w:r w:rsidRPr="00D1509B">
        <w:rPr>
          <w:rFonts w:eastAsia="Arial" w:cs="Arial"/>
          <w:spacing w:val="-14"/>
          <w:lang w:val="en-US"/>
        </w:rPr>
        <w:t xml:space="preserve"> </w:t>
      </w:r>
      <w:r w:rsidRPr="00D1509B">
        <w:rPr>
          <w:rFonts w:eastAsia="Arial" w:cs="Arial"/>
          <w:lang w:val="en-US"/>
        </w:rPr>
        <w:t>process</w:t>
      </w:r>
      <w:r w:rsidRPr="00D1509B">
        <w:rPr>
          <w:rFonts w:eastAsia="Arial" w:cs="Arial"/>
          <w:spacing w:val="-14"/>
          <w:lang w:val="en-US"/>
        </w:rPr>
        <w:t xml:space="preserve"> </w:t>
      </w:r>
      <w:r w:rsidRPr="00D1509B">
        <w:rPr>
          <w:rFonts w:eastAsia="Arial" w:cs="Arial"/>
          <w:lang w:val="en-US"/>
        </w:rPr>
        <w:t>within</w:t>
      </w:r>
      <w:r w:rsidRPr="00D1509B">
        <w:rPr>
          <w:rFonts w:eastAsia="Arial" w:cs="Arial"/>
          <w:spacing w:val="-14"/>
          <w:lang w:val="en-US"/>
        </w:rPr>
        <w:t xml:space="preserve"> </w:t>
      </w:r>
      <w:r w:rsidRPr="00D1509B">
        <w:rPr>
          <w:rFonts w:eastAsia="Arial" w:cs="Arial"/>
          <w:lang w:val="en-US"/>
        </w:rPr>
        <w:t>the</w:t>
      </w:r>
      <w:r w:rsidRPr="00D1509B">
        <w:rPr>
          <w:rFonts w:eastAsia="Arial" w:cs="Arial"/>
          <w:spacing w:val="-14"/>
          <w:lang w:val="en-US"/>
        </w:rPr>
        <w:t xml:space="preserve"> </w:t>
      </w:r>
      <w:r w:rsidRPr="00D1509B">
        <w:rPr>
          <w:rFonts w:eastAsia="Arial" w:cs="Arial"/>
          <w:lang w:val="en-US"/>
        </w:rPr>
        <w:t>four-weekly</w:t>
      </w:r>
      <w:r w:rsidRPr="00D1509B">
        <w:rPr>
          <w:rFonts w:eastAsia="Arial" w:cs="Arial"/>
          <w:spacing w:val="-14"/>
          <w:lang w:val="en-US"/>
        </w:rPr>
        <w:t xml:space="preserve"> </w:t>
      </w:r>
      <w:r w:rsidRPr="00D1509B">
        <w:rPr>
          <w:rFonts w:eastAsia="Arial" w:cs="Arial"/>
          <w:lang w:val="en-US"/>
        </w:rPr>
        <w:t>Contract Liaison Meeting. Both processes have been embedded in both organisations and all payments or changes are agreed in a timely manner.</w:t>
      </w:r>
    </w:p>
    <w:p w14:paraId="0AB86B15" w14:textId="77777777" w:rsidR="00FD0B28" w:rsidRPr="00820267" w:rsidRDefault="00FD0B28" w:rsidP="00FD0B28">
      <w:pPr>
        <w:pStyle w:val="NoSpacing"/>
        <w:jc w:val="both"/>
        <w:rPr>
          <w:rFonts w:ascii="Arial" w:hAnsi="Arial" w:cs="Arial"/>
          <w:b/>
          <w:color w:val="000000"/>
          <w:sz w:val="20"/>
          <w:szCs w:val="20"/>
        </w:rPr>
      </w:pPr>
    </w:p>
    <w:p w14:paraId="2CDC353D" w14:textId="77777777" w:rsidR="00FD0B28" w:rsidRPr="00C27805" w:rsidRDefault="00FD0B28" w:rsidP="00FD0B28">
      <w:pPr>
        <w:widowControl w:val="0"/>
        <w:kinsoku w:val="0"/>
        <w:overflowPunct w:val="0"/>
        <w:autoSpaceDE w:val="0"/>
        <w:autoSpaceDN w:val="0"/>
        <w:adjustRightInd w:val="0"/>
        <w:jc w:val="both"/>
        <w:rPr>
          <w:rFonts w:cs="Arial"/>
          <w:lang w:eastAsia="en-GB"/>
        </w:rPr>
      </w:pPr>
      <w:r w:rsidRPr="00D1509B">
        <w:rPr>
          <w:rFonts w:cs="Arial"/>
          <w:lang w:eastAsia="en-GB"/>
        </w:rPr>
        <w:t xml:space="preserve">The key </w:t>
      </w:r>
      <w:r w:rsidRPr="00C27805">
        <w:rPr>
          <w:rFonts w:cs="Arial"/>
          <w:lang w:eastAsia="en-GB"/>
        </w:rPr>
        <w:t>activities of the 2024/2025 Asset Renewals Plan (CEC financial year is running April to March) that were completed in 2024 are:</w:t>
      </w:r>
    </w:p>
    <w:p w14:paraId="16F33855" w14:textId="77777777" w:rsidR="00FD0B28" w:rsidRPr="00C27805" w:rsidRDefault="00FD0B28" w:rsidP="00FD0B28">
      <w:pPr>
        <w:widowControl w:val="0"/>
        <w:kinsoku w:val="0"/>
        <w:overflowPunct w:val="0"/>
        <w:autoSpaceDE w:val="0"/>
        <w:autoSpaceDN w:val="0"/>
        <w:adjustRightInd w:val="0"/>
        <w:ind w:right="503"/>
        <w:jc w:val="both"/>
        <w:rPr>
          <w:rFonts w:cs="Arial"/>
          <w:sz w:val="12"/>
          <w:szCs w:val="12"/>
          <w:lang w:eastAsia="en-GB"/>
        </w:rPr>
      </w:pPr>
    </w:p>
    <w:p w14:paraId="0BC4E02F" w14:textId="77777777" w:rsidR="00FD0B28" w:rsidRPr="00C27805" w:rsidRDefault="00FD0B28" w:rsidP="00A5227C">
      <w:pPr>
        <w:widowControl w:val="0"/>
        <w:numPr>
          <w:ilvl w:val="0"/>
          <w:numId w:val="56"/>
        </w:numPr>
        <w:tabs>
          <w:tab w:val="left" w:pos="770"/>
        </w:tabs>
        <w:kinsoku w:val="0"/>
        <w:overflowPunct w:val="0"/>
        <w:autoSpaceDE w:val="0"/>
        <w:autoSpaceDN w:val="0"/>
        <w:adjustRightInd w:val="0"/>
        <w:ind w:left="794" w:hanging="340"/>
        <w:jc w:val="both"/>
        <w:rPr>
          <w:rFonts w:cs="Arial"/>
          <w:lang w:eastAsia="en-GB"/>
        </w:rPr>
      </w:pPr>
      <w:r w:rsidRPr="008A0994">
        <w:rPr>
          <w:rFonts w:cs="Arial"/>
          <w:bCs/>
        </w:rPr>
        <w:t>The renewal of obsolete lighting units in tram depot offices. The replacement of the lights is driven by safety concerns that can be generated should the existing lights fail. The new lighting units installed are LEDs and connected through a smart system that allows Edinburgh Trams to achieve energy efficiencies</w:t>
      </w:r>
      <w:r w:rsidRPr="00C27805">
        <w:rPr>
          <w:rFonts w:eastAsia="Arial" w:cs="Arial"/>
          <w:szCs w:val="22"/>
          <w:lang w:val="en-US"/>
        </w:rPr>
        <w:t>.</w:t>
      </w:r>
      <w:r w:rsidRPr="00C27805">
        <w:rPr>
          <w:rFonts w:eastAsia="Arial" w:cs="Arial"/>
          <w:spacing w:val="-8"/>
          <w:szCs w:val="22"/>
          <w:lang w:val="en-US"/>
        </w:rPr>
        <w:t xml:space="preserve"> </w:t>
      </w:r>
      <w:r w:rsidRPr="00C27805">
        <w:rPr>
          <w:rFonts w:eastAsia="Arial" w:cs="Arial"/>
          <w:szCs w:val="22"/>
          <w:lang w:val="en-US"/>
        </w:rPr>
        <w:t>This</w:t>
      </w:r>
      <w:r w:rsidRPr="00C27805">
        <w:rPr>
          <w:rFonts w:eastAsia="Arial" w:cs="Arial"/>
          <w:spacing w:val="-10"/>
          <w:szCs w:val="22"/>
          <w:lang w:val="en-US"/>
        </w:rPr>
        <w:t xml:space="preserve"> </w:t>
      </w:r>
      <w:r w:rsidRPr="00C27805">
        <w:rPr>
          <w:rFonts w:eastAsia="Arial" w:cs="Arial"/>
          <w:szCs w:val="22"/>
          <w:lang w:val="en-US"/>
        </w:rPr>
        <w:t>project</w:t>
      </w:r>
      <w:r w:rsidRPr="00C27805">
        <w:rPr>
          <w:rFonts w:eastAsia="Arial" w:cs="Arial"/>
          <w:spacing w:val="-12"/>
          <w:szCs w:val="22"/>
          <w:lang w:val="en-US"/>
        </w:rPr>
        <w:t xml:space="preserve"> </w:t>
      </w:r>
      <w:r w:rsidRPr="00C27805">
        <w:rPr>
          <w:rFonts w:eastAsia="Arial" w:cs="Arial"/>
          <w:szCs w:val="22"/>
          <w:lang w:val="en-US"/>
        </w:rPr>
        <w:t>is</w:t>
      </w:r>
      <w:r w:rsidRPr="00C27805">
        <w:rPr>
          <w:rFonts w:eastAsia="Arial" w:cs="Arial"/>
          <w:spacing w:val="-7"/>
          <w:szCs w:val="22"/>
          <w:lang w:val="en-US"/>
        </w:rPr>
        <w:t xml:space="preserve"> </w:t>
      </w:r>
      <w:r w:rsidRPr="00C27805">
        <w:rPr>
          <w:rFonts w:eastAsia="Arial" w:cs="Arial"/>
          <w:szCs w:val="22"/>
          <w:lang w:val="en-US"/>
        </w:rPr>
        <w:t>part</w:t>
      </w:r>
      <w:r w:rsidRPr="00C27805">
        <w:rPr>
          <w:rFonts w:eastAsia="Arial" w:cs="Arial"/>
          <w:spacing w:val="-12"/>
          <w:szCs w:val="22"/>
          <w:lang w:val="en-US"/>
        </w:rPr>
        <w:t xml:space="preserve"> </w:t>
      </w:r>
      <w:r w:rsidRPr="00C27805">
        <w:rPr>
          <w:rFonts w:eastAsia="Arial" w:cs="Arial"/>
          <w:szCs w:val="22"/>
          <w:lang w:val="en-US"/>
        </w:rPr>
        <w:t>of</w:t>
      </w:r>
      <w:r w:rsidRPr="00C27805">
        <w:rPr>
          <w:rFonts w:eastAsia="Arial" w:cs="Arial"/>
          <w:spacing w:val="-10"/>
          <w:szCs w:val="22"/>
          <w:lang w:val="en-US"/>
        </w:rPr>
        <w:t xml:space="preserve"> </w:t>
      </w:r>
      <w:r w:rsidRPr="00C27805">
        <w:rPr>
          <w:rFonts w:eastAsia="Arial" w:cs="Arial"/>
          <w:szCs w:val="22"/>
          <w:lang w:val="en-US"/>
        </w:rPr>
        <w:t>a</w:t>
      </w:r>
      <w:r w:rsidRPr="00C27805">
        <w:rPr>
          <w:rFonts w:eastAsia="Arial" w:cs="Arial"/>
          <w:spacing w:val="-8"/>
          <w:szCs w:val="22"/>
          <w:lang w:val="en-US"/>
        </w:rPr>
        <w:t xml:space="preserve"> </w:t>
      </w:r>
      <w:r w:rsidRPr="00C27805">
        <w:rPr>
          <w:rFonts w:eastAsia="Arial" w:cs="Arial"/>
          <w:szCs w:val="22"/>
          <w:lang w:val="en-US"/>
        </w:rPr>
        <w:t>three-phased</w:t>
      </w:r>
      <w:r w:rsidRPr="00C27805">
        <w:rPr>
          <w:rFonts w:eastAsia="Arial" w:cs="Arial"/>
          <w:spacing w:val="-5"/>
          <w:szCs w:val="22"/>
          <w:lang w:val="en-US"/>
        </w:rPr>
        <w:t xml:space="preserve"> </w:t>
      </w:r>
      <w:r w:rsidRPr="00C27805">
        <w:rPr>
          <w:rFonts w:eastAsia="Arial" w:cs="Arial"/>
          <w:szCs w:val="22"/>
          <w:lang w:val="en-US"/>
        </w:rPr>
        <w:t>project</w:t>
      </w:r>
      <w:r w:rsidRPr="00C27805">
        <w:rPr>
          <w:rFonts w:eastAsia="Arial" w:cs="Arial"/>
          <w:spacing w:val="-7"/>
          <w:szCs w:val="22"/>
          <w:lang w:val="en-US"/>
        </w:rPr>
        <w:t xml:space="preserve"> </w:t>
      </w:r>
      <w:r w:rsidRPr="00C27805">
        <w:rPr>
          <w:rFonts w:eastAsia="Arial" w:cs="Arial"/>
          <w:szCs w:val="22"/>
          <w:lang w:val="en-US"/>
        </w:rPr>
        <w:t>where</w:t>
      </w:r>
      <w:r w:rsidRPr="00C27805">
        <w:rPr>
          <w:rFonts w:eastAsia="Arial" w:cs="Arial"/>
          <w:spacing w:val="-5"/>
          <w:szCs w:val="22"/>
          <w:lang w:val="en-US"/>
        </w:rPr>
        <w:t xml:space="preserve"> </w:t>
      </w:r>
      <w:r w:rsidRPr="00C27805">
        <w:rPr>
          <w:rFonts w:eastAsia="Arial" w:cs="Arial"/>
          <w:szCs w:val="22"/>
          <w:lang w:val="en-US"/>
        </w:rPr>
        <w:t>Phase</w:t>
      </w:r>
      <w:r w:rsidRPr="00C27805">
        <w:rPr>
          <w:rFonts w:eastAsia="Arial" w:cs="Arial"/>
          <w:spacing w:val="-5"/>
          <w:szCs w:val="22"/>
          <w:lang w:val="en-US"/>
        </w:rPr>
        <w:t xml:space="preserve"> </w:t>
      </w:r>
      <w:r w:rsidRPr="00C27805">
        <w:rPr>
          <w:rFonts w:eastAsia="Arial" w:cs="Arial"/>
          <w:szCs w:val="22"/>
          <w:lang w:val="en-US"/>
        </w:rPr>
        <w:t>1</w:t>
      </w:r>
      <w:r w:rsidRPr="00C27805">
        <w:rPr>
          <w:rFonts w:eastAsia="Arial" w:cs="Arial"/>
          <w:spacing w:val="-8"/>
          <w:szCs w:val="22"/>
          <w:lang w:val="en-US"/>
        </w:rPr>
        <w:t xml:space="preserve"> </w:t>
      </w:r>
      <w:r w:rsidRPr="00C27805">
        <w:rPr>
          <w:rFonts w:eastAsia="Arial" w:cs="Arial"/>
          <w:szCs w:val="22"/>
          <w:lang w:val="en-US"/>
        </w:rPr>
        <w:t>is</w:t>
      </w:r>
      <w:r w:rsidRPr="00C27805">
        <w:rPr>
          <w:rFonts w:eastAsia="Arial" w:cs="Arial"/>
          <w:spacing w:val="-5"/>
          <w:szCs w:val="22"/>
          <w:lang w:val="en-US"/>
        </w:rPr>
        <w:t xml:space="preserve"> </w:t>
      </w:r>
      <w:r w:rsidRPr="00C27805">
        <w:rPr>
          <w:rFonts w:eastAsia="Arial" w:cs="Arial"/>
          <w:szCs w:val="22"/>
          <w:lang w:val="en-US"/>
        </w:rPr>
        <w:t>the</w:t>
      </w:r>
      <w:r w:rsidRPr="00C27805">
        <w:rPr>
          <w:rFonts w:eastAsia="Arial" w:cs="Arial"/>
          <w:spacing w:val="-6"/>
          <w:szCs w:val="22"/>
          <w:lang w:val="en-US"/>
        </w:rPr>
        <w:t xml:space="preserve"> </w:t>
      </w:r>
      <w:r w:rsidRPr="00C27805">
        <w:rPr>
          <w:rFonts w:eastAsia="Arial" w:cs="Arial"/>
          <w:szCs w:val="22"/>
          <w:lang w:val="en-US"/>
        </w:rPr>
        <w:t>replacement</w:t>
      </w:r>
      <w:r w:rsidRPr="00C27805">
        <w:rPr>
          <w:rFonts w:eastAsia="Arial" w:cs="Arial"/>
          <w:spacing w:val="-5"/>
          <w:szCs w:val="22"/>
          <w:lang w:val="en-US"/>
        </w:rPr>
        <w:t xml:space="preserve"> </w:t>
      </w:r>
      <w:r w:rsidRPr="00C27805">
        <w:rPr>
          <w:rFonts w:eastAsia="Arial" w:cs="Arial"/>
          <w:szCs w:val="22"/>
          <w:lang w:val="en-US"/>
        </w:rPr>
        <w:t>of</w:t>
      </w:r>
      <w:r w:rsidRPr="00C27805">
        <w:rPr>
          <w:rFonts w:eastAsia="Arial" w:cs="Arial"/>
          <w:spacing w:val="-4"/>
          <w:szCs w:val="22"/>
          <w:lang w:val="en-US"/>
        </w:rPr>
        <w:t xml:space="preserve"> </w:t>
      </w:r>
      <w:r w:rsidRPr="00C27805">
        <w:rPr>
          <w:rFonts w:eastAsia="Arial" w:cs="Arial"/>
          <w:szCs w:val="22"/>
          <w:lang w:val="en-US"/>
        </w:rPr>
        <w:t>the</w:t>
      </w:r>
      <w:r w:rsidRPr="00C27805">
        <w:rPr>
          <w:rFonts w:eastAsia="Arial" w:cs="Arial"/>
          <w:spacing w:val="-6"/>
          <w:szCs w:val="22"/>
          <w:lang w:val="en-US"/>
        </w:rPr>
        <w:t xml:space="preserve"> </w:t>
      </w:r>
      <w:r w:rsidRPr="00C27805">
        <w:rPr>
          <w:rFonts w:eastAsia="Arial" w:cs="Arial"/>
          <w:szCs w:val="22"/>
          <w:lang w:val="en-US"/>
        </w:rPr>
        <w:t>depot</w:t>
      </w:r>
      <w:r w:rsidRPr="00C27805">
        <w:rPr>
          <w:rFonts w:eastAsia="Arial" w:cs="Arial"/>
          <w:spacing w:val="-7"/>
          <w:szCs w:val="22"/>
          <w:lang w:val="en-US"/>
        </w:rPr>
        <w:t xml:space="preserve"> </w:t>
      </w:r>
      <w:r w:rsidRPr="00C27805">
        <w:rPr>
          <w:rFonts w:eastAsia="Arial" w:cs="Arial"/>
          <w:szCs w:val="22"/>
          <w:lang w:val="en-US"/>
        </w:rPr>
        <w:t>workshop</w:t>
      </w:r>
      <w:r w:rsidRPr="00C27805">
        <w:rPr>
          <w:rFonts w:eastAsia="Arial" w:cs="Arial"/>
          <w:spacing w:val="-4"/>
          <w:szCs w:val="22"/>
          <w:lang w:val="en-US"/>
        </w:rPr>
        <w:t xml:space="preserve"> </w:t>
      </w:r>
      <w:r w:rsidRPr="00C27805">
        <w:rPr>
          <w:rFonts w:eastAsia="Arial" w:cs="Arial"/>
          <w:szCs w:val="22"/>
          <w:lang w:val="en-US"/>
        </w:rPr>
        <w:t>lights</w:t>
      </w:r>
      <w:r w:rsidRPr="00C27805">
        <w:rPr>
          <w:rFonts w:eastAsia="Arial" w:cs="Arial"/>
          <w:spacing w:val="-5"/>
          <w:szCs w:val="22"/>
          <w:lang w:val="en-US"/>
        </w:rPr>
        <w:t xml:space="preserve"> </w:t>
      </w:r>
      <w:r w:rsidRPr="00C27805">
        <w:rPr>
          <w:rFonts w:eastAsia="Arial" w:cs="Arial"/>
          <w:szCs w:val="22"/>
          <w:lang w:val="en-US"/>
        </w:rPr>
        <w:t>completed</w:t>
      </w:r>
      <w:r w:rsidRPr="00C27805">
        <w:rPr>
          <w:rFonts w:eastAsia="Arial" w:cs="Arial"/>
          <w:spacing w:val="-4"/>
          <w:szCs w:val="22"/>
          <w:lang w:val="en-US"/>
        </w:rPr>
        <w:t xml:space="preserve"> </w:t>
      </w:r>
      <w:r w:rsidRPr="00C27805">
        <w:rPr>
          <w:rFonts w:eastAsia="Arial" w:cs="Arial"/>
          <w:szCs w:val="22"/>
          <w:lang w:val="en-US"/>
        </w:rPr>
        <w:t>in</w:t>
      </w:r>
      <w:r w:rsidRPr="00C27805">
        <w:rPr>
          <w:rFonts w:eastAsia="Arial" w:cs="Arial"/>
          <w:spacing w:val="-5"/>
          <w:szCs w:val="22"/>
          <w:lang w:val="en-US"/>
        </w:rPr>
        <w:t xml:space="preserve"> </w:t>
      </w:r>
      <w:r w:rsidRPr="00C27805">
        <w:rPr>
          <w:rFonts w:eastAsia="Arial" w:cs="Arial"/>
          <w:szCs w:val="22"/>
          <w:lang w:val="en-US"/>
        </w:rPr>
        <w:t>2022,</w:t>
      </w:r>
      <w:r w:rsidRPr="00C27805">
        <w:rPr>
          <w:rFonts w:eastAsia="Arial" w:cs="Arial"/>
          <w:spacing w:val="-5"/>
          <w:szCs w:val="22"/>
          <w:lang w:val="en-US"/>
        </w:rPr>
        <w:t xml:space="preserve"> </w:t>
      </w:r>
      <w:r w:rsidRPr="00C27805">
        <w:rPr>
          <w:rFonts w:eastAsia="Arial" w:cs="Arial"/>
          <w:szCs w:val="22"/>
          <w:lang w:val="en-US"/>
        </w:rPr>
        <w:t>Phase</w:t>
      </w:r>
      <w:r w:rsidRPr="00C27805">
        <w:rPr>
          <w:rFonts w:eastAsia="Arial" w:cs="Arial"/>
          <w:spacing w:val="-6"/>
          <w:szCs w:val="22"/>
          <w:lang w:val="en-US"/>
        </w:rPr>
        <w:t xml:space="preserve"> </w:t>
      </w:r>
      <w:r w:rsidRPr="00C27805">
        <w:rPr>
          <w:rFonts w:eastAsia="Arial" w:cs="Arial"/>
          <w:szCs w:val="22"/>
          <w:lang w:val="en-US"/>
        </w:rPr>
        <w:t>2</w:t>
      </w:r>
      <w:r w:rsidRPr="00C27805">
        <w:rPr>
          <w:rFonts w:eastAsia="Arial" w:cs="Arial"/>
          <w:spacing w:val="-5"/>
          <w:szCs w:val="22"/>
          <w:lang w:val="en-US"/>
        </w:rPr>
        <w:t xml:space="preserve"> </w:t>
      </w:r>
      <w:r w:rsidRPr="00C27805">
        <w:rPr>
          <w:rFonts w:eastAsia="Arial" w:cs="Arial"/>
          <w:szCs w:val="22"/>
          <w:lang w:val="en-US"/>
        </w:rPr>
        <w:t>is</w:t>
      </w:r>
      <w:r w:rsidRPr="00C27805">
        <w:rPr>
          <w:rFonts w:eastAsia="Arial" w:cs="Arial"/>
          <w:spacing w:val="-5"/>
          <w:szCs w:val="22"/>
          <w:lang w:val="en-US"/>
        </w:rPr>
        <w:t xml:space="preserve"> </w:t>
      </w:r>
      <w:r w:rsidRPr="00C27805">
        <w:rPr>
          <w:rFonts w:eastAsia="Arial" w:cs="Arial"/>
          <w:szCs w:val="22"/>
          <w:lang w:val="en-US"/>
        </w:rPr>
        <w:t>the replacement</w:t>
      </w:r>
      <w:r w:rsidRPr="00C27805">
        <w:rPr>
          <w:rFonts w:eastAsia="Arial" w:cs="Arial"/>
          <w:spacing w:val="-6"/>
          <w:szCs w:val="22"/>
          <w:lang w:val="en-US"/>
        </w:rPr>
        <w:t xml:space="preserve"> </w:t>
      </w:r>
      <w:r w:rsidRPr="00C27805">
        <w:rPr>
          <w:rFonts w:eastAsia="Arial" w:cs="Arial"/>
          <w:szCs w:val="22"/>
          <w:lang w:val="en-US"/>
        </w:rPr>
        <w:t>of</w:t>
      </w:r>
      <w:r w:rsidRPr="00C27805">
        <w:rPr>
          <w:rFonts w:eastAsia="Arial" w:cs="Arial"/>
          <w:spacing w:val="-6"/>
          <w:szCs w:val="22"/>
          <w:lang w:val="en-US"/>
        </w:rPr>
        <w:t xml:space="preserve"> </w:t>
      </w:r>
      <w:r w:rsidRPr="00C27805">
        <w:rPr>
          <w:rFonts w:eastAsia="Arial" w:cs="Arial"/>
          <w:szCs w:val="22"/>
          <w:lang w:val="en-US"/>
        </w:rPr>
        <w:t>the</w:t>
      </w:r>
      <w:r w:rsidRPr="00C27805">
        <w:rPr>
          <w:rFonts w:eastAsia="Arial" w:cs="Arial"/>
          <w:spacing w:val="-3"/>
          <w:szCs w:val="22"/>
          <w:lang w:val="en-US"/>
        </w:rPr>
        <w:t xml:space="preserve"> </w:t>
      </w:r>
      <w:r w:rsidRPr="00C27805">
        <w:rPr>
          <w:rFonts w:eastAsia="Arial" w:cs="Arial"/>
          <w:szCs w:val="22"/>
          <w:lang w:val="en-US"/>
        </w:rPr>
        <w:t>depot</w:t>
      </w:r>
      <w:r w:rsidRPr="00C27805">
        <w:rPr>
          <w:rFonts w:eastAsia="Arial" w:cs="Arial"/>
          <w:spacing w:val="-4"/>
          <w:szCs w:val="22"/>
          <w:lang w:val="en-US"/>
        </w:rPr>
        <w:t xml:space="preserve"> </w:t>
      </w:r>
      <w:r w:rsidRPr="00C27805">
        <w:rPr>
          <w:rFonts w:eastAsia="Arial" w:cs="Arial"/>
          <w:szCs w:val="22"/>
          <w:lang w:val="en-US"/>
        </w:rPr>
        <w:t>car</w:t>
      </w:r>
      <w:r w:rsidRPr="00C27805">
        <w:rPr>
          <w:rFonts w:eastAsia="Arial" w:cs="Arial"/>
          <w:spacing w:val="-5"/>
          <w:szCs w:val="22"/>
          <w:lang w:val="en-US"/>
        </w:rPr>
        <w:t xml:space="preserve"> </w:t>
      </w:r>
      <w:r w:rsidRPr="00C27805">
        <w:rPr>
          <w:rFonts w:eastAsia="Arial" w:cs="Arial"/>
          <w:szCs w:val="22"/>
          <w:lang w:val="en-US"/>
        </w:rPr>
        <w:t>park</w:t>
      </w:r>
      <w:r w:rsidRPr="00C27805">
        <w:rPr>
          <w:rFonts w:eastAsia="Arial" w:cs="Arial"/>
          <w:spacing w:val="-3"/>
          <w:szCs w:val="22"/>
          <w:lang w:val="en-US"/>
        </w:rPr>
        <w:t xml:space="preserve"> </w:t>
      </w:r>
      <w:r w:rsidRPr="00C27805">
        <w:rPr>
          <w:rFonts w:eastAsia="Arial" w:cs="Arial"/>
          <w:szCs w:val="22"/>
          <w:lang w:val="en-US"/>
        </w:rPr>
        <w:t>lights</w:t>
      </w:r>
      <w:r w:rsidRPr="00C27805">
        <w:rPr>
          <w:rFonts w:eastAsia="Arial" w:cs="Arial"/>
          <w:spacing w:val="-4"/>
          <w:szCs w:val="22"/>
          <w:lang w:val="en-US"/>
        </w:rPr>
        <w:t xml:space="preserve"> </w:t>
      </w:r>
      <w:r w:rsidRPr="00C27805">
        <w:rPr>
          <w:rFonts w:eastAsia="Arial" w:cs="Arial"/>
          <w:szCs w:val="22"/>
          <w:lang w:val="en-US"/>
        </w:rPr>
        <w:t>that</w:t>
      </w:r>
      <w:r w:rsidRPr="00C27805">
        <w:rPr>
          <w:rFonts w:eastAsia="Arial" w:cs="Arial"/>
          <w:spacing w:val="-2"/>
          <w:szCs w:val="22"/>
          <w:lang w:val="en-US"/>
        </w:rPr>
        <w:t xml:space="preserve"> </w:t>
      </w:r>
      <w:r w:rsidRPr="00C27805">
        <w:rPr>
          <w:rFonts w:eastAsia="Arial" w:cs="Arial"/>
          <w:szCs w:val="22"/>
          <w:lang w:val="en-US"/>
        </w:rPr>
        <w:t>was</w:t>
      </w:r>
      <w:r w:rsidRPr="00C27805">
        <w:rPr>
          <w:rFonts w:eastAsia="Arial" w:cs="Arial"/>
          <w:spacing w:val="-4"/>
          <w:szCs w:val="22"/>
          <w:lang w:val="en-US"/>
        </w:rPr>
        <w:t xml:space="preserve"> </w:t>
      </w:r>
      <w:r w:rsidRPr="00C27805">
        <w:rPr>
          <w:rFonts w:eastAsia="Arial" w:cs="Arial"/>
          <w:szCs w:val="22"/>
          <w:lang w:val="en-US"/>
        </w:rPr>
        <w:t>completed</w:t>
      </w:r>
      <w:r w:rsidRPr="00C27805">
        <w:rPr>
          <w:rFonts w:eastAsia="Arial" w:cs="Arial"/>
          <w:spacing w:val="-4"/>
          <w:szCs w:val="22"/>
          <w:lang w:val="en-US"/>
        </w:rPr>
        <w:t xml:space="preserve"> </w:t>
      </w:r>
      <w:r w:rsidRPr="00C27805">
        <w:rPr>
          <w:rFonts w:eastAsia="Arial" w:cs="Arial"/>
          <w:szCs w:val="22"/>
          <w:lang w:val="en-US"/>
        </w:rPr>
        <w:t>in</w:t>
      </w:r>
      <w:r w:rsidRPr="00C27805">
        <w:rPr>
          <w:rFonts w:eastAsia="Arial" w:cs="Arial"/>
          <w:spacing w:val="-4"/>
          <w:szCs w:val="22"/>
          <w:lang w:val="en-US"/>
        </w:rPr>
        <w:t xml:space="preserve"> </w:t>
      </w:r>
      <w:r w:rsidRPr="00C27805">
        <w:rPr>
          <w:rFonts w:eastAsia="Arial" w:cs="Arial"/>
          <w:szCs w:val="22"/>
          <w:lang w:val="en-US"/>
        </w:rPr>
        <w:t>2023</w:t>
      </w:r>
      <w:r w:rsidRPr="00C27805">
        <w:rPr>
          <w:rFonts w:eastAsia="Arial" w:cs="Arial"/>
          <w:spacing w:val="-4"/>
          <w:szCs w:val="22"/>
          <w:lang w:val="en-US"/>
        </w:rPr>
        <w:t xml:space="preserve"> </w:t>
      </w:r>
      <w:r w:rsidRPr="00C27805">
        <w:rPr>
          <w:rFonts w:eastAsia="Arial" w:cs="Arial"/>
          <w:szCs w:val="22"/>
          <w:lang w:val="en-US"/>
        </w:rPr>
        <w:t>and</w:t>
      </w:r>
      <w:r w:rsidRPr="00C27805">
        <w:rPr>
          <w:rFonts w:eastAsia="Arial" w:cs="Arial"/>
          <w:spacing w:val="-4"/>
          <w:szCs w:val="22"/>
          <w:lang w:val="en-US"/>
        </w:rPr>
        <w:t xml:space="preserve"> </w:t>
      </w:r>
      <w:r w:rsidRPr="00C27805">
        <w:rPr>
          <w:rFonts w:eastAsia="Arial" w:cs="Arial"/>
          <w:szCs w:val="22"/>
          <w:lang w:val="en-US"/>
        </w:rPr>
        <w:t>Phase</w:t>
      </w:r>
      <w:r w:rsidRPr="00C27805">
        <w:rPr>
          <w:rFonts w:eastAsia="Arial" w:cs="Arial"/>
          <w:spacing w:val="-4"/>
          <w:szCs w:val="22"/>
          <w:lang w:val="en-US"/>
        </w:rPr>
        <w:t xml:space="preserve"> </w:t>
      </w:r>
      <w:r w:rsidRPr="00C27805">
        <w:rPr>
          <w:rFonts w:eastAsia="Arial" w:cs="Arial"/>
          <w:szCs w:val="22"/>
          <w:lang w:val="en-US"/>
        </w:rPr>
        <w:t>3</w:t>
      </w:r>
      <w:r w:rsidRPr="00C27805">
        <w:rPr>
          <w:rFonts w:eastAsia="Arial" w:cs="Arial"/>
          <w:spacing w:val="-4"/>
          <w:szCs w:val="22"/>
          <w:lang w:val="en-US"/>
        </w:rPr>
        <w:t xml:space="preserve"> </w:t>
      </w:r>
      <w:r w:rsidRPr="00C27805">
        <w:rPr>
          <w:rFonts w:eastAsia="Arial" w:cs="Arial"/>
          <w:szCs w:val="22"/>
          <w:lang w:val="en-US"/>
        </w:rPr>
        <w:t>is</w:t>
      </w:r>
      <w:r w:rsidRPr="00C27805">
        <w:rPr>
          <w:rFonts w:eastAsia="Arial" w:cs="Arial"/>
          <w:spacing w:val="-4"/>
          <w:szCs w:val="22"/>
          <w:lang w:val="en-US"/>
        </w:rPr>
        <w:t xml:space="preserve"> </w:t>
      </w:r>
      <w:r w:rsidRPr="00C27805">
        <w:rPr>
          <w:rFonts w:eastAsia="Arial" w:cs="Arial"/>
          <w:szCs w:val="22"/>
          <w:lang w:val="en-US"/>
        </w:rPr>
        <w:t>the</w:t>
      </w:r>
      <w:r w:rsidRPr="00C27805">
        <w:rPr>
          <w:rFonts w:eastAsia="Arial" w:cs="Arial"/>
          <w:spacing w:val="-4"/>
          <w:szCs w:val="22"/>
          <w:lang w:val="en-US"/>
        </w:rPr>
        <w:t xml:space="preserve"> </w:t>
      </w:r>
      <w:r w:rsidRPr="00C27805">
        <w:rPr>
          <w:rFonts w:eastAsia="Arial" w:cs="Arial"/>
          <w:szCs w:val="22"/>
          <w:lang w:val="en-US"/>
        </w:rPr>
        <w:t>replacement</w:t>
      </w:r>
      <w:r w:rsidRPr="00C27805">
        <w:rPr>
          <w:rFonts w:eastAsia="Arial" w:cs="Arial"/>
          <w:spacing w:val="-3"/>
          <w:szCs w:val="22"/>
          <w:lang w:val="en-US"/>
        </w:rPr>
        <w:t xml:space="preserve"> </w:t>
      </w:r>
      <w:r w:rsidRPr="00C27805">
        <w:rPr>
          <w:rFonts w:eastAsia="Arial" w:cs="Arial"/>
          <w:szCs w:val="22"/>
          <w:lang w:val="en-US"/>
        </w:rPr>
        <w:t>of</w:t>
      </w:r>
      <w:r w:rsidRPr="00C27805">
        <w:rPr>
          <w:rFonts w:eastAsia="Arial" w:cs="Arial"/>
          <w:spacing w:val="-3"/>
          <w:szCs w:val="22"/>
          <w:lang w:val="en-US"/>
        </w:rPr>
        <w:t xml:space="preserve"> </w:t>
      </w:r>
      <w:r w:rsidRPr="00C27805">
        <w:rPr>
          <w:rFonts w:eastAsia="Arial" w:cs="Arial"/>
          <w:szCs w:val="22"/>
          <w:lang w:val="en-US"/>
        </w:rPr>
        <w:t>the</w:t>
      </w:r>
      <w:r w:rsidRPr="00C27805">
        <w:rPr>
          <w:rFonts w:eastAsia="Arial" w:cs="Arial"/>
          <w:spacing w:val="-4"/>
          <w:szCs w:val="22"/>
          <w:lang w:val="en-US"/>
        </w:rPr>
        <w:t xml:space="preserve"> </w:t>
      </w:r>
      <w:r w:rsidRPr="00C27805">
        <w:rPr>
          <w:rFonts w:eastAsia="Arial" w:cs="Arial"/>
          <w:szCs w:val="22"/>
          <w:lang w:val="en-US"/>
        </w:rPr>
        <w:t>depot office lights that was completed in 2024.</w:t>
      </w:r>
    </w:p>
    <w:p w14:paraId="1AD9339B" w14:textId="77777777" w:rsidR="00FD0B28" w:rsidRPr="00C27805" w:rsidRDefault="00FD0B28" w:rsidP="00A5227C">
      <w:pPr>
        <w:widowControl w:val="0"/>
        <w:numPr>
          <w:ilvl w:val="0"/>
          <w:numId w:val="55"/>
        </w:numPr>
        <w:tabs>
          <w:tab w:val="left" w:pos="784"/>
        </w:tabs>
        <w:kinsoku w:val="0"/>
        <w:overflowPunct w:val="0"/>
        <w:autoSpaceDE w:val="0"/>
        <w:autoSpaceDN w:val="0"/>
        <w:adjustRightInd w:val="0"/>
        <w:jc w:val="both"/>
        <w:rPr>
          <w:rFonts w:cs="Arial"/>
          <w:lang w:eastAsia="en-GB"/>
        </w:rPr>
      </w:pPr>
      <w:r w:rsidRPr="00C27805">
        <w:rPr>
          <w:rFonts w:eastAsia="Arial" w:cs="Arial"/>
          <w:szCs w:val="22"/>
          <w:lang w:val="en-US"/>
        </w:rPr>
        <w:t>The replacement of the Rail Sealant and Structure sealant activities were both successfully completed in 2024. Both</w:t>
      </w:r>
      <w:r w:rsidRPr="00C27805">
        <w:rPr>
          <w:rFonts w:eastAsia="Arial" w:cs="Arial"/>
          <w:spacing w:val="-8"/>
          <w:szCs w:val="22"/>
          <w:lang w:val="en-US"/>
        </w:rPr>
        <w:t xml:space="preserve"> </w:t>
      </w:r>
      <w:r w:rsidRPr="00C27805">
        <w:rPr>
          <w:rFonts w:eastAsia="Arial" w:cs="Arial"/>
          <w:szCs w:val="22"/>
          <w:lang w:val="en-US"/>
        </w:rPr>
        <w:t>activities</w:t>
      </w:r>
      <w:r w:rsidRPr="00C27805">
        <w:rPr>
          <w:rFonts w:eastAsia="Arial" w:cs="Arial"/>
          <w:spacing w:val="-7"/>
          <w:szCs w:val="22"/>
          <w:lang w:val="en-US"/>
        </w:rPr>
        <w:t xml:space="preserve"> </w:t>
      </w:r>
      <w:r w:rsidRPr="00C27805">
        <w:rPr>
          <w:rFonts w:eastAsia="Arial" w:cs="Arial"/>
          <w:szCs w:val="22"/>
          <w:lang w:val="en-US"/>
        </w:rPr>
        <w:t>are</w:t>
      </w:r>
      <w:r w:rsidRPr="00C27805">
        <w:rPr>
          <w:rFonts w:eastAsia="Arial" w:cs="Arial"/>
          <w:spacing w:val="-10"/>
          <w:szCs w:val="22"/>
          <w:lang w:val="en-US"/>
        </w:rPr>
        <w:t xml:space="preserve"> </w:t>
      </w:r>
      <w:r w:rsidRPr="00C27805">
        <w:rPr>
          <w:rFonts w:eastAsia="Arial" w:cs="Arial"/>
          <w:szCs w:val="22"/>
          <w:lang w:val="en-US"/>
        </w:rPr>
        <w:t>part</w:t>
      </w:r>
      <w:r w:rsidRPr="00C27805">
        <w:rPr>
          <w:rFonts w:eastAsia="Arial" w:cs="Arial"/>
          <w:spacing w:val="-9"/>
          <w:szCs w:val="22"/>
          <w:lang w:val="en-US"/>
        </w:rPr>
        <w:t xml:space="preserve"> </w:t>
      </w:r>
      <w:r w:rsidRPr="00C27805">
        <w:rPr>
          <w:rFonts w:eastAsia="Arial" w:cs="Arial"/>
          <w:szCs w:val="22"/>
          <w:lang w:val="en-US"/>
        </w:rPr>
        <w:t>of</w:t>
      </w:r>
      <w:r w:rsidRPr="00C27805">
        <w:rPr>
          <w:rFonts w:eastAsia="Arial" w:cs="Arial"/>
          <w:spacing w:val="-11"/>
          <w:szCs w:val="22"/>
          <w:lang w:val="en-US"/>
        </w:rPr>
        <w:t xml:space="preserve"> </w:t>
      </w:r>
      <w:r w:rsidRPr="00C27805">
        <w:rPr>
          <w:rFonts w:eastAsia="Arial" w:cs="Arial"/>
          <w:szCs w:val="22"/>
          <w:lang w:val="en-US"/>
        </w:rPr>
        <w:t>a</w:t>
      </w:r>
      <w:r w:rsidRPr="00C27805">
        <w:rPr>
          <w:rFonts w:eastAsia="Arial" w:cs="Arial"/>
          <w:spacing w:val="-9"/>
          <w:szCs w:val="22"/>
          <w:lang w:val="en-US"/>
        </w:rPr>
        <w:t xml:space="preserve"> </w:t>
      </w:r>
      <w:r w:rsidRPr="00C27805">
        <w:rPr>
          <w:rFonts w:eastAsia="Arial" w:cs="Arial"/>
          <w:szCs w:val="22"/>
          <w:lang w:val="en-US"/>
        </w:rPr>
        <w:t>multi-year</w:t>
      </w:r>
      <w:r w:rsidRPr="00C27805">
        <w:rPr>
          <w:rFonts w:eastAsia="Arial" w:cs="Arial"/>
          <w:spacing w:val="-8"/>
          <w:szCs w:val="22"/>
          <w:lang w:val="en-US"/>
        </w:rPr>
        <w:t xml:space="preserve"> </w:t>
      </w:r>
      <w:r w:rsidRPr="00C27805">
        <w:rPr>
          <w:rFonts w:eastAsia="Arial" w:cs="Arial"/>
          <w:szCs w:val="22"/>
          <w:lang w:val="en-US"/>
        </w:rPr>
        <w:t>programme,</w:t>
      </w:r>
      <w:r w:rsidRPr="00C27805">
        <w:rPr>
          <w:rFonts w:eastAsia="Arial" w:cs="Arial"/>
          <w:spacing w:val="-9"/>
          <w:szCs w:val="22"/>
          <w:lang w:val="en-US"/>
        </w:rPr>
        <w:t xml:space="preserve"> </w:t>
      </w:r>
      <w:r w:rsidRPr="00C27805">
        <w:rPr>
          <w:rFonts w:eastAsia="Arial" w:cs="Arial"/>
          <w:szCs w:val="22"/>
          <w:lang w:val="en-US"/>
        </w:rPr>
        <w:t>and</w:t>
      </w:r>
      <w:r w:rsidRPr="00C27805">
        <w:rPr>
          <w:rFonts w:eastAsia="Arial" w:cs="Arial"/>
          <w:spacing w:val="-10"/>
          <w:szCs w:val="22"/>
          <w:lang w:val="en-US"/>
        </w:rPr>
        <w:t xml:space="preserve"> </w:t>
      </w:r>
      <w:r w:rsidRPr="00C27805">
        <w:rPr>
          <w:rFonts w:eastAsia="Arial" w:cs="Arial"/>
          <w:szCs w:val="22"/>
          <w:lang w:val="en-US"/>
        </w:rPr>
        <w:t>this</w:t>
      </w:r>
      <w:r w:rsidRPr="00C27805">
        <w:rPr>
          <w:rFonts w:eastAsia="Arial" w:cs="Arial"/>
          <w:spacing w:val="-9"/>
          <w:szCs w:val="22"/>
          <w:lang w:val="en-US"/>
        </w:rPr>
        <w:t xml:space="preserve"> </w:t>
      </w:r>
      <w:r w:rsidRPr="00C27805">
        <w:rPr>
          <w:rFonts w:eastAsia="Arial" w:cs="Arial"/>
          <w:szCs w:val="22"/>
          <w:lang w:val="en-US"/>
        </w:rPr>
        <w:t>was</w:t>
      </w:r>
      <w:r w:rsidRPr="00C27805">
        <w:rPr>
          <w:rFonts w:eastAsia="Arial" w:cs="Arial"/>
          <w:spacing w:val="-9"/>
          <w:szCs w:val="22"/>
          <w:lang w:val="en-US"/>
        </w:rPr>
        <w:t xml:space="preserve"> </w:t>
      </w:r>
      <w:r w:rsidRPr="00C27805">
        <w:rPr>
          <w:rFonts w:eastAsia="Arial" w:cs="Arial"/>
          <w:szCs w:val="22"/>
          <w:lang w:val="en-US"/>
        </w:rPr>
        <w:t>the</w:t>
      </w:r>
      <w:r w:rsidRPr="00C27805">
        <w:rPr>
          <w:rFonts w:eastAsia="Arial" w:cs="Arial"/>
          <w:spacing w:val="-9"/>
          <w:szCs w:val="22"/>
          <w:lang w:val="en-US"/>
        </w:rPr>
        <w:t xml:space="preserve"> </w:t>
      </w:r>
      <w:r w:rsidRPr="00C27805">
        <w:rPr>
          <w:rFonts w:eastAsia="Arial" w:cs="Arial"/>
          <w:szCs w:val="22"/>
          <w:lang w:val="en-US"/>
        </w:rPr>
        <w:t>second</w:t>
      </w:r>
      <w:r w:rsidRPr="00C27805">
        <w:rPr>
          <w:rFonts w:eastAsia="Arial" w:cs="Arial"/>
          <w:spacing w:val="-12"/>
          <w:szCs w:val="22"/>
          <w:lang w:val="en-US"/>
        </w:rPr>
        <w:t xml:space="preserve"> </w:t>
      </w:r>
      <w:r w:rsidRPr="00C27805">
        <w:rPr>
          <w:rFonts w:eastAsia="Arial" w:cs="Arial"/>
          <w:szCs w:val="22"/>
          <w:lang w:val="en-US"/>
        </w:rPr>
        <w:t>year</w:t>
      </w:r>
      <w:r w:rsidRPr="00C27805">
        <w:rPr>
          <w:rFonts w:eastAsia="Arial" w:cs="Arial"/>
          <w:spacing w:val="-10"/>
          <w:szCs w:val="22"/>
          <w:lang w:val="en-US"/>
        </w:rPr>
        <w:t xml:space="preserve"> </w:t>
      </w:r>
      <w:r w:rsidRPr="00C27805">
        <w:rPr>
          <w:rFonts w:eastAsia="Arial" w:cs="Arial"/>
          <w:szCs w:val="22"/>
          <w:lang w:val="en-US"/>
        </w:rPr>
        <w:t>that</w:t>
      </w:r>
      <w:r w:rsidRPr="00C27805">
        <w:rPr>
          <w:rFonts w:eastAsia="Arial" w:cs="Arial"/>
          <w:spacing w:val="-9"/>
          <w:szCs w:val="22"/>
          <w:lang w:val="en-US"/>
        </w:rPr>
        <w:t xml:space="preserve"> </w:t>
      </w:r>
      <w:r w:rsidRPr="00C27805">
        <w:rPr>
          <w:rFonts w:eastAsia="Arial" w:cs="Arial"/>
          <w:szCs w:val="22"/>
          <w:lang w:val="en-US"/>
        </w:rPr>
        <w:t>Edinburgh</w:t>
      </w:r>
      <w:r w:rsidRPr="00C27805">
        <w:rPr>
          <w:rFonts w:eastAsia="Arial" w:cs="Arial"/>
          <w:spacing w:val="-11"/>
          <w:szCs w:val="22"/>
          <w:lang w:val="en-US"/>
        </w:rPr>
        <w:t xml:space="preserve"> </w:t>
      </w:r>
      <w:r w:rsidRPr="00C27805">
        <w:rPr>
          <w:rFonts w:eastAsia="Arial" w:cs="Arial"/>
          <w:szCs w:val="22"/>
          <w:lang w:val="en-US"/>
        </w:rPr>
        <w:t>Trams</w:t>
      </w:r>
      <w:r w:rsidRPr="00C27805">
        <w:rPr>
          <w:rFonts w:eastAsia="Arial" w:cs="Arial"/>
          <w:spacing w:val="-11"/>
          <w:szCs w:val="22"/>
          <w:lang w:val="en-US"/>
        </w:rPr>
        <w:t xml:space="preserve"> </w:t>
      </w:r>
      <w:r w:rsidRPr="00C27805">
        <w:rPr>
          <w:rFonts w:eastAsia="Arial" w:cs="Arial"/>
          <w:szCs w:val="22"/>
          <w:lang w:val="en-US"/>
        </w:rPr>
        <w:t>was</w:t>
      </w:r>
      <w:r w:rsidRPr="00C27805">
        <w:rPr>
          <w:rFonts w:eastAsia="Arial" w:cs="Arial"/>
          <w:spacing w:val="-9"/>
          <w:szCs w:val="22"/>
          <w:lang w:val="en-US"/>
        </w:rPr>
        <w:t xml:space="preserve"> </w:t>
      </w:r>
      <w:r w:rsidRPr="00C27805">
        <w:rPr>
          <w:rFonts w:eastAsia="Arial" w:cs="Arial"/>
          <w:szCs w:val="22"/>
          <w:lang w:val="en-US"/>
        </w:rPr>
        <w:t>Project Managing</w:t>
      </w:r>
      <w:r w:rsidRPr="00C27805">
        <w:rPr>
          <w:rFonts w:eastAsia="Arial" w:cs="Arial"/>
          <w:spacing w:val="-14"/>
          <w:szCs w:val="22"/>
          <w:lang w:val="en-US"/>
        </w:rPr>
        <w:t xml:space="preserve"> </w:t>
      </w:r>
      <w:r w:rsidRPr="00C27805">
        <w:rPr>
          <w:rFonts w:eastAsia="Arial" w:cs="Arial"/>
          <w:szCs w:val="22"/>
          <w:lang w:val="en-US"/>
        </w:rPr>
        <w:t>the</w:t>
      </w:r>
      <w:r w:rsidRPr="00C27805">
        <w:rPr>
          <w:rFonts w:eastAsia="Arial" w:cs="Arial"/>
          <w:spacing w:val="-13"/>
          <w:szCs w:val="22"/>
          <w:lang w:val="en-US"/>
        </w:rPr>
        <w:t xml:space="preserve"> </w:t>
      </w:r>
      <w:r w:rsidRPr="00C27805">
        <w:rPr>
          <w:rFonts w:eastAsia="Arial" w:cs="Arial"/>
          <w:szCs w:val="22"/>
          <w:lang w:val="en-US"/>
        </w:rPr>
        <w:t>activities.</w:t>
      </w:r>
      <w:r w:rsidRPr="00C27805">
        <w:rPr>
          <w:rFonts w:eastAsia="Arial" w:cs="Arial"/>
          <w:spacing w:val="-14"/>
          <w:szCs w:val="22"/>
          <w:lang w:val="en-US"/>
        </w:rPr>
        <w:t xml:space="preserve"> </w:t>
      </w:r>
      <w:r w:rsidRPr="00C27805">
        <w:rPr>
          <w:rFonts w:eastAsia="Arial" w:cs="Arial"/>
          <w:szCs w:val="22"/>
          <w:lang w:val="en-US"/>
        </w:rPr>
        <w:t>The</w:t>
      </w:r>
      <w:r w:rsidRPr="00C27805">
        <w:rPr>
          <w:rFonts w:eastAsia="Arial" w:cs="Arial"/>
          <w:spacing w:val="-14"/>
          <w:szCs w:val="22"/>
          <w:lang w:val="en-US"/>
        </w:rPr>
        <w:t xml:space="preserve"> </w:t>
      </w:r>
      <w:r w:rsidRPr="00C27805">
        <w:rPr>
          <w:rFonts w:eastAsia="Arial" w:cs="Arial"/>
          <w:szCs w:val="22"/>
          <w:lang w:val="en-US"/>
        </w:rPr>
        <w:t>main</w:t>
      </w:r>
      <w:r w:rsidRPr="00C27805">
        <w:rPr>
          <w:rFonts w:eastAsia="Arial" w:cs="Arial"/>
          <w:spacing w:val="-14"/>
          <w:szCs w:val="22"/>
          <w:lang w:val="en-US"/>
        </w:rPr>
        <w:t xml:space="preserve"> </w:t>
      </w:r>
      <w:r w:rsidRPr="00C27805">
        <w:rPr>
          <w:rFonts w:eastAsia="Arial" w:cs="Arial"/>
          <w:szCs w:val="22"/>
          <w:lang w:val="en-US"/>
        </w:rPr>
        <w:t>benefits</w:t>
      </w:r>
      <w:r w:rsidRPr="00C27805">
        <w:rPr>
          <w:rFonts w:eastAsia="Arial" w:cs="Arial"/>
          <w:spacing w:val="-12"/>
          <w:szCs w:val="22"/>
          <w:lang w:val="en-US"/>
        </w:rPr>
        <w:t xml:space="preserve"> </w:t>
      </w:r>
      <w:r w:rsidRPr="00C27805">
        <w:rPr>
          <w:rFonts w:eastAsia="Arial" w:cs="Arial"/>
          <w:szCs w:val="22"/>
          <w:lang w:val="en-US"/>
        </w:rPr>
        <w:t>were</w:t>
      </w:r>
      <w:r w:rsidRPr="00C27805">
        <w:rPr>
          <w:rFonts w:eastAsia="Arial" w:cs="Arial"/>
          <w:spacing w:val="-14"/>
          <w:szCs w:val="22"/>
          <w:lang w:val="en-US"/>
        </w:rPr>
        <w:t xml:space="preserve"> </w:t>
      </w:r>
      <w:r w:rsidRPr="00C27805">
        <w:rPr>
          <w:rFonts w:eastAsia="Arial" w:cs="Arial"/>
          <w:szCs w:val="22"/>
          <w:lang w:val="en-US"/>
        </w:rPr>
        <w:t>financial</w:t>
      </w:r>
      <w:r w:rsidRPr="00C27805">
        <w:rPr>
          <w:rFonts w:eastAsia="Arial" w:cs="Arial"/>
          <w:spacing w:val="-13"/>
          <w:szCs w:val="22"/>
          <w:lang w:val="en-US"/>
        </w:rPr>
        <w:t xml:space="preserve"> </w:t>
      </w:r>
      <w:r w:rsidRPr="00C27805">
        <w:rPr>
          <w:rFonts w:eastAsia="Arial" w:cs="Arial"/>
          <w:szCs w:val="22"/>
          <w:lang w:val="en-US"/>
        </w:rPr>
        <w:t>but</w:t>
      </w:r>
      <w:r w:rsidRPr="00C27805">
        <w:rPr>
          <w:rFonts w:eastAsia="Arial" w:cs="Arial"/>
          <w:spacing w:val="-13"/>
          <w:szCs w:val="22"/>
          <w:lang w:val="en-US"/>
        </w:rPr>
        <w:t xml:space="preserve"> </w:t>
      </w:r>
      <w:r w:rsidRPr="00C27805">
        <w:rPr>
          <w:rFonts w:eastAsia="Arial" w:cs="Arial"/>
          <w:szCs w:val="22"/>
          <w:lang w:val="en-US"/>
        </w:rPr>
        <w:t>also</w:t>
      </w:r>
      <w:r w:rsidRPr="00C27805">
        <w:rPr>
          <w:rFonts w:eastAsia="Arial" w:cs="Arial"/>
          <w:spacing w:val="-14"/>
          <w:szCs w:val="22"/>
          <w:lang w:val="en-US"/>
        </w:rPr>
        <w:t xml:space="preserve"> </w:t>
      </w:r>
      <w:r w:rsidRPr="00C27805">
        <w:rPr>
          <w:rFonts w:eastAsia="Arial" w:cs="Arial"/>
          <w:szCs w:val="22"/>
          <w:lang w:val="en-US"/>
        </w:rPr>
        <w:t>better</w:t>
      </w:r>
      <w:r w:rsidRPr="00C27805">
        <w:rPr>
          <w:rFonts w:eastAsia="Arial" w:cs="Arial"/>
          <w:spacing w:val="-13"/>
          <w:szCs w:val="22"/>
          <w:lang w:val="en-US"/>
        </w:rPr>
        <w:t xml:space="preserve"> </w:t>
      </w:r>
      <w:r w:rsidRPr="00C27805">
        <w:rPr>
          <w:rFonts w:eastAsia="Arial" w:cs="Arial"/>
          <w:szCs w:val="22"/>
          <w:lang w:val="en-US"/>
        </w:rPr>
        <w:t>control</w:t>
      </w:r>
      <w:r w:rsidRPr="00C27805">
        <w:rPr>
          <w:rFonts w:eastAsia="Arial" w:cs="Arial"/>
          <w:spacing w:val="-13"/>
          <w:szCs w:val="22"/>
          <w:lang w:val="en-US"/>
        </w:rPr>
        <w:t xml:space="preserve"> </w:t>
      </w:r>
      <w:r w:rsidRPr="00C27805">
        <w:rPr>
          <w:rFonts w:eastAsia="Arial" w:cs="Arial"/>
          <w:szCs w:val="22"/>
          <w:lang w:val="en-US"/>
        </w:rPr>
        <w:t>and</w:t>
      </w:r>
      <w:r w:rsidRPr="00C27805">
        <w:rPr>
          <w:rFonts w:eastAsia="Arial" w:cs="Arial"/>
          <w:spacing w:val="-14"/>
          <w:szCs w:val="22"/>
          <w:lang w:val="en-US"/>
        </w:rPr>
        <w:t xml:space="preserve"> </w:t>
      </w:r>
      <w:r w:rsidRPr="00C27805">
        <w:rPr>
          <w:rFonts w:eastAsia="Arial" w:cs="Arial"/>
          <w:szCs w:val="22"/>
          <w:lang w:val="en-US"/>
        </w:rPr>
        <w:t>coordination</w:t>
      </w:r>
      <w:r w:rsidRPr="00C27805">
        <w:rPr>
          <w:rFonts w:eastAsia="Arial" w:cs="Arial"/>
          <w:spacing w:val="-13"/>
          <w:szCs w:val="22"/>
          <w:lang w:val="en-US"/>
        </w:rPr>
        <w:t xml:space="preserve"> </w:t>
      </w:r>
      <w:r w:rsidRPr="00C27805">
        <w:rPr>
          <w:rFonts w:eastAsia="Arial" w:cs="Arial"/>
          <w:szCs w:val="22"/>
          <w:lang w:val="en-US"/>
        </w:rPr>
        <w:t>over</w:t>
      </w:r>
      <w:r w:rsidRPr="00C27805">
        <w:rPr>
          <w:rFonts w:eastAsia="Arial" w:cs="Arial"/>
          <w:spacing w:val="-14"/>
          <w:szCs w:val="22"/>
          <w:lang w:val="en-US"/>
        </w:rPr>
        <w:t xml:space="preserve"> </w:t>
      </w:r>
      <w:r w:rsidRPr="00C27805">
        <w:rPr>
          <w:rFonts w:eastAsia="Arial" w:cs="Arial"/>
          <w:szCs w:val="22"/>
          <w:lang w:val="en-US"/>
        </w:rPr>
        <w:t>the</w:t>
      </w:r>
      <w:r w:rsidRPr="00C27805">
        <w:rPr>
          <w:rFonts w:eastAsia="Arial" w:cs="Arial"/>
          <w:spacing w:val="-13"/>
          <w:szCs w:val="22"/>
          <w:lang w:val="en-US"/>
        </w:rPr>
        <w:t xml:space="preserve"> </w:t>
      </w:r>
      <w:r w:rsidRPr="00C27805">
        <w:rPr>
          <w:rFonts w:eastAsia="Arial" w:cs="Arial"/>
          <w:szCs w:val="22"/>
          <w:lang w:val="en-US"/>
        </w:rPr>
        <w:t>activities scheduled across the network. It is worth noting that the rail sealant locations that were included in the 2024 programme,</w:t>
      </w:r>
      <w:r w:rsidRPr="00C27805">
        <w:rPr>
          <w:rFonts w:eastAsia="Arial" w:cs="Arial"/>
          <w:spacing w:val="-7"/>
          <w:szCs w:val="22"/>
          <w:lang w:val="en-US"/>
        </w:rPr>
        <w:t xml:space="preserve"> </w:t>
      </w:r>
      <w:r w:rsidRPr="00C27805">
        <w:rPr>
          <w:rFonts w:eastAsia="Arial" w:cs="Arial"/>
          <w:szCs w:val="22"/>
          <w:lang w:val="en-US"/>
        </w:rPr>
        <w:t>were</w:t>
      </w:r>
      <w:r w:rsidRPr="00C27805">
        <w:rPr>
          <w:rFonts w:eastAsia="Arial" w:cs="Arial"/>
          <w:spacing w:val="-7"/>
          <w:szCs w:val="22"/>
          <w:lang w:val="en-US"/>
        </w:rPr>
        <w:t xml:space="preserve"> </w:t>
      </w:r>
      <w:r w:rsidRPr="00C27805">
        <w:rPr>
          <w:rFonts w:eastAsia="Arial" w:cs="Arial"/>
          <w:szCs w:val="22"/>
          <w:lang w:val="en-US"/>
        </w:rPr>
        <w:t>remote</w:t>
      </w:r>
      <w:r w:rsidRPr="00C27805">
        <w:rPr>
          <w:rFonts w:eastAsia="Arial" w:cs="Arial"/>
          <w:spacing w:val="-9"/>
          <w:szCs w:val="22"/>
          <w:lang w:val="en-US"/>
        </w:rPr>
        <w:t xml:space="preserve"> </w:t>
      </w:r>
      <w:r w:rsidRPr="00C27805">
        <w:rPr>
          <w:rFonts w:eastAsia="Arial" w:cs="Arial"/>
          <w:szCs w:val="22"/>
          <w:lang w:val="en-US"/>
        </w:rPr>
        <w:t>which</w:t>
      </w:r>
      <w:r w:rsidRPr="00C27805">
        <w:rPr>
          <w:rFonts w:eastAsia="Arial" w:cs="Arial"/>
          <w:spacing w:val="-7"/>
          <w:szCs w:val="22"/>
          <w:lang w:val="en-US"/>
        </w:rPr>
        <w:t xml:space="preserve"> </w:t>
      </w:r>
      <w:r w:rsidRPr="00C27805">
        <w:rPr>
          <w:rFonts w:eastAsia="Arial" w:cs="Arial"/>
          <w:szCs w:val="22"/>
          <w:lang w:val="en-US"/>
        </w:rPr>
        <w:t>was</w:t>
      </w:r>
      <w:r w:rsidRPr="00C27805">
        <w:rPr>
          <w:rFonts w:eastAsia="Arial" w:cs="Arial"/>
          <w:spacing w:val="-7"/>
          <w:szCs w:val="22"/>
          <w:lang w:val="en-US"/>
        </w:rPr>
        <w:t xml:space="preserve"> </w:t>
      </w:r>
      <w:r w:rsidRPr="00C27805">
        <w:rPr>
          <w:rFonts w:eastAsia="Arial" w:cs="Arial"/>
          <w:szCs w:val="22"/>
          <w:lang w:val="en-US"/>
        </w:rPr>
        <w:t>challenging</w:t>
      </w:r>
      <w:r w:rsidRPr="00C27805">
        <w:rPr>
          <w:rFonts w:eastAsia="Arial" w:cs="Arial"/>
          <w:spacing w:val="-7"/>
          <w:szCs w:val="22"/>
          <w:lang w:val="en-US"/>
        </w:rPr>
        <w:t xml:space="preserve"> </w:t>
      </w:r>
      <w:r w:rsidRPr="00C27805">
        <w:rPr>
          <w:rFonts w:eastAsia="Arial" w:cs="Arial"/>
          <w:szCs w:val="22"/>
          <w:lang w:val="en-US"/>
        </w:rPr>
        <w:t>and</w:t>
      </w:r>
      <w:r w:rsidRPr="00C27805">
        <w:rPr>
          <w:rFonts w:eastAsia="Arial" w:cs="Arial"/>
          <w:spacing w:val="-8"/>
          <w:szCs w:val="22"/>
          <w:lang w:val="en-US"/>
        </w:rPr>
        <w:t xml:space="preserve"> </w:t>
      </w:r>
      <w:r w:rsidRPr="00C27805">
        <w:rPr>
          <w:rFonts w:eastAsia="Arial" w:cs="Arial"/>
          <w:szCs w:val="22"/>
          <w:lang w:val="en-US"/>
        </w:rPr>
        <w:t>required</w:t>
      </w:r>
      <w:r w:rsidRPr="00C27805">
        <w:rPr>
          <w:rFonts w:eastAsia="Arial" w:cs="Arial"/>
          <w:spacing w:val="-10"/>
          <w:szCs w:val="22"/>
          <w:lang w:val="en-US"/>
        </w:rPr>
        <w:t xml:space="preserve"> </w:t>
      </w:r>
      <w:r w:rsidRPr="00C27805">
        <w:rPr>
          <w:rFonts w:eastAsia="Arial" w:cs="Arial"/>
          <w:szCs w:val="22"/>
          <w:lang w:val="en-US"/>
        </w:rPr>
        <w:t>specialised</w:t>
      </w:r>
      <w:r w:rsidRPr="00C27805">
        <w:rPr>
          <w:rFonts w:eastAsia="Arial" w:cs="Arial"/>
          <w:spacing w:val="-6"/>
          <w:szCs w:val="22"/>
          <w:lang w:val="en-US"/>
        </w:rPr>
        <w:t xml:space="preserve"> </w:t>
      </w:r>
      <w:r w:rsidRPr="00C27805">
        <w:rPr>
          <w:rFonts w:eastAsia="Arial" w:cs="Arial"/>
          <w:szCs w:val="22"/>
          <w:lang w:val="en-US"/>
        </w:rPr>
        <w:t>plant</w:t>
      </w:r>
      <w:r w:rsidRPr="00C27805">
        <w:rPr>
          <w:rFonts w:eastAsia="Arial" w:cs="Arial"/>
          <w:spacing w:val="-5"/>
          <w:szCs w:val="22"/>
          <w:lang w:val="en-US"/>
        </w:rPr>
        <w:t xml:space="preserve"> </w:t>
      </w:r>
      <w:r w:rsidRPr="00C27805">
        <w:rPr>
          <w:rFonts w:eastAsia="Arial" w:cs="Arial"/>
          <w:szCs w:val="22"/>
          <w:lang w:val="en-US"/>
        </w:rPr>
        <w:t>to</w:t>
      </w:r>
      <w:r w:rsidRPr="00C27805">
        <w:rPr>
          <w:rFonts w:eastAsia="Arial" w:cs="Arial"/>
          <w:spacing w:val="-5"/>
          <w:szCs w:val="22"/>
          <w:lang w:val="en-US"/>
        </w:rPr>
        <w:t xml:space="preserve"> </w:t>
      </w:r>
      <w:r w:rsidRPr="00C27805">
        <w:rPr>
          <w:rFonts w:eastAsia="Arial" w:cs="Arial"/>
          <w:szCs w:val="22"/>
          <w:lang w:val="en-US"/>
        </w:rPr>
        <w:t>allow</w:t>
      </w:r>
      <w:r w:rsidRPr="00C27805">
        <w:rPr>
          <w:rFonts w:eastAsia="Arial" w:cs="Arial"/>
          <w:spacing w:val="-5"/>
          <w:szCs w:val="22"/>
          <w:lang w:val="en-US"/>
        </w:rPr>
        <w:t xml:space="preserve"> </w:t>
      </w:r>
      <w:r w:rsidRPr="00C27805">
        <w:rPr>
          <w:rFonts w:eastAsia="Arial" w:cs="Arial"/>
          <w:szCs w:val="22"/>
          <w:lang w:val="en-US"/>
        </w:rPr>
        <w:t>access</w:t>
      </w:r>
      <w:r w:rsidRPr="00C27805">
        <w:rPr>
          <w:rFonts w:eastAsia="Arial" w:cs="Arial"/>
          <w:spacing w:val="-9"/>
          <w:szCs w:val="22"/>
          <w:lang w:val="en-US"/>
        </w:rPr>
        <w:t xml:space="preserve"> </w:t>
      </w:r>
      <w:r w:rsidRPr="00C27805">
        <w:rPr>
          <w:rFonts w:eastAsia="Arial" w:cs="Arial"/>
          <w:szCs w:val="22"/>
          <w:lang w:val="en-US"/>
        </w:rPr>
        <w:t>to</w:t>
      </w:r>
      <w:r w:rsidRPr="00C27805">
        <w:rPr>
          <w:rFonts w:eastAsia="Arial" w:cs="Arial"/>
          <w:spacing w:val="-7"/>
          <w:szCs w:val="22"/>
          <w:lang w:val="en-US"/>
        </w:rPr>
        <w:t xml:space="preserve"> </w:t>
      </w:r>
      <w:r w:rsidRPr="00C27805">
        <w:rPr>
          <w:rFonts w:eastAsia="Arial" w:cs="Arial"/>
          <w:szCs w:val="22"/>
          <w:lang w:val="en-US"/>
        </w:rPr>
        <w:t>the</w:t>
      </w:r>
      <w:r w:rsidRPr="00C27805">
        <w:rPr>
          <w:rFonts w:eastAsia="Arial" w:cs="Arial"/>
          <w:spacing w:val="-8"/>
          <w:szCs w:val="22"/>
          <w:lang w:val="en-US"/>
        </w:rPr>
        <w:t xml:space="preserve"> </w:t>
      </w:r>
      <w:r w:rsidRPr="00C27805">
        <w:rPr>
          <w:rFonts w:eastAsia="Arial" w:cs="Arial"/>
          <w:szCs w:val="22"/>
          <w:lang w:val="en-US"/>
        </w:rPr>
        <w:t>equipment.</w:t>
      </w:r>
    </w:p>
    <w:p w14:paraId="199D948E" w14:textId="2ACBB299" w:rsidR="00FD0B28" w:rsidRPr="00C27805" w:rsidRDefault="00FD0B28" w:rsidP="00FC284E">
      <w:pPr>
        <w:pStyle w:val="ListParagraph"/>
        <w:widowControl w:val="0"/>
        <w:numPr>
          <w:ilvl w:val="0"/>
          <w:numId w:val="55"/>
        </w:numPr>
        <w:tabs>
          <w:tab w:val="left" w:pos="812"/>
        </w:tabs>
        <w:autoSpaceDE w:val="0"/>
        <w:autoSpaceDN w:val="0"/>
        <w:jc w:val="both"/>
      </w:pPr>
      <w:r w:rsidRPr="00C27805">
        <w:t>Ticketing Equipment renewals. Early in the project it was identified that to achieve economies of scale and significantly</w:t>
      </w:r>
      <w:r w:rsidRPr="00C27805">
        <w:rPr>
          <w:spacing w:val="-7"/>
        </w:rPr>
        <w:t xml:space="preserve"> </w:t>
      </w:r>
      <w:r w:rsidRPr="00C27805">
        <w:t>improve</w:t>
      </w:r>
      <w:r w:rsidRPr="00C27805">
        <w:rPr>
          <w:spacing w:val="-8"/>
        </w:rPr>
        <w:t xml:space="preserve"> </w:t>
      </w:r>
      <w:r w:rsidRPr="00C27805">
        <w:t>the</w:t>
      </w:r>
      <w:r w:rsidRPr="00C27805">
        <w:rPr>
          <w:spacing w:val="-9"/>
        </w:rPr>
        <w:t xml:space="preserve"> </w:t>
      </w:r>
      <w:r w:rsidRPr="00C27805">
        <w:t>ticketing</w:t>
      </w:r>
      <w:r w:rsidRPr="00C27805">
        <w:rPr>
          <w:spacing w:val="-8"/>
        </w:rPr>
        <w:t xml:space="preserve"> </w:t>
      </w:r>
      <w:r w:rsidRPr="00C27805">
        <w:t>equipment</w:t>
      </w:r>
      <w:r w:rsidRPr="00C27805">
        <w:rPr>
          <w:spacing w:val="-9"/>
        </w:rPr>
        <w:t xml:space="preserve"> </w:t>
      </w:r>
      <w:r w:rsidRPr="00C27805">
        <w:t>and</w:t>
      </w:r>
      <w:r w:rsidRPr="00C27805">
        <w:rPr>
          <w:spacing w:val="-9"/>
        </w:rPr>
        <w:t xml:space="preserve"> </w:t>
      </w:r>
      <w:r w:rsidRPr="00C27805">
        <w:t>their</w:t>
      </w:r>
      <w:r w:rsidRPr="00C27805">
        <w:rPr>
          <w:spacing w:val="-8"/>
        </w:rPr>
        <w:t xml:space="preserve"> </w:t>
      </w:r>
      <w:r w:rsidRPr="00C27805">
        <w:t>offered</w:t>
      </w:r>
      <w:r w:rsidRPr="00C27805">
        <w:rPr>
          <w:spacing w:val="-9"/>
        </w:rPr>
        <w:t xml:space="preserve"> </w:t>
      </w:r>
      <w:r w:rsidRPr="00C27805">
        <w:t>functionalities,</w:t>
      </w:r>
      <w:r w:rsidRPr="00C27805">
        <w:rPr>
          <w:spacing w:val="-9"/>
        </w:rPr>
        <w:t xml:space="preserve"> </w:t>
      </w:r>
      <w:r w:rsidRPr="00C27805">
        <w:t>a</w:t>
      </w:r>
      <w:r w:rsidRPr="00C27805">
        <w:rPr>
          <w:spacing w:val="-10"/>
        </w:rPr>
        <w:t xml:space="preserve"> </w:t>
      </w:r>
      <w:r w:rsidRPr="00C27805">
        <w:t>decision</w:t>
      </w:r>
      <w:r w:rsidRPr="00C27805">
        <w:rPr>
          <w:spacing w:val="-9"/>
        </w:rPr>
        <w:t xml:space="preserve"> </w:t>
      </w:r>
      <w:r w:rsidRPr="00C27805">
        <w:t>was</w:t>
      </w:r>
      <w:r w:rsidRPr="00C27805">
        <w:rPr>
          <w:spacing w:val="-7"/>
        </w:rPr>
        <w:t xml:space="preserve"> </w:t>
      </w:r>
      <w:r w:rsidRPr="00C27805">
        <w:t>made</w:t>
      </w:r>
      <w:r w:rsidRPr="00C27805">
        <w:rPr>
          <w:spacing w:val="-7"/>
        </w:rPr>
        <w:t xml:space="preserve"> </w:t>
      </w:r>
      <w:r w:rsidRPr="00C27805">
        <w:t>to</w:t>
      </w:r>
      <w:r w:rsidRPr="00C27805">
        <w:rPr>
          <w:spacing w:val="-9"/>
        </w:rPr>
        <w:t xml:space="preserve"> </w:t>
      </w:r>
      <w:r w:rsidRPr="00C27805">
        <w:t>combine</w:t>
      </w:r>
      <w:r w:rsidRPr="00C27805">
        <w:rPr>
          <w:spacing w:val="-10"/>
        </w:rPr>
        <w:t xml:space="preserve"> </w:t>
      </w:r>
      <w:r w:rsidRPr="00C27805">
        <w:t>the existing Renewals budget and the Trams to Newhaven ticketing budget. This project is divided into four phases.</w:t>
      </w:r>
    </w:p>
    <w:p w14:paraId="4D58DDDB" w14:textId="77777777" w:rsidR="00FD0B28" w:rsidRPr="00C27805" w:rsidRDefault="00FD0B28" w:rsidP="00A5227C">
      <w:pPr>
        <w:pStyle w:val="ListParagraph"/>
        <w:widowControl w:val="0"/>
        <w:numPr>
          <w:ilvl w:val="1"/>
          <w:numId w:val="45"/>
        </w:numPr>
        <w:tabs>
          <w:tab w:val="left" w:pos="1180"/>
        </w:tabs>
        <w:autoSpaceDE w:val="0"/>
        <w:autoSpaceDN w:val="0"/>
        <w:ind w:left="1179" w:right="113" w:hanging="357"/>
      </w:pPr>
      <w:r w:rsidRPr="00C27805">
        <w:t>Phase 1 is the like for like replacement and enhancement of Platform Validators for the existing line and the development of a cloud based back office.</w:t>
      </w:r>
    </w:p>
    <w:p w14:paraId="65440554" w14:textId="77777777" w:rsidR="00FD0B28" w:rsidRPr="00C27805" w:rsidRDefault="00FD0B28" w:rsidP="00A5227C">
      <w:pPr>
        <w:pStyle w:val="ListParagraph"/>
        <w:widowControl w:val="0"/>
        <w:numPr>
          <w:ilvl w:val="1"/>
          <w:numId w:val="45"/>
        </w:numPr>
        <w:tabs>
          <w:tab w:val="left" w:pos="1180"/>
        </w:tabs>
        <w:autoSpaceDE w:val="0"/>
        <w:autoSpaceDN w:val="0"/>
        <w:ind w:right="115" w:hanging="360"/>
      </w:pPr>
      <w:r w:rsidRPr="00C27805">
        <w:t>Phase</w:t>
      </w:r>
      <w:r w:rsidRPr="00C27805">
        <w:rPr>
          <w:spacing w:val="19"/>
        </w:rPr>
        <w:t xml:space="preserve"> </w:t>
      </w:r>
      <w:r w:rsidRPr="00C27805">
        <w:t>2</w:t>
      </w:r>
      <w:r w:rsidRPr="00C27805">
        <w:rPr>
          <w:spacing w:val="17"/>
        </w:rPr>
        <w:t xml:space="preserve"> </w:t>
      </w:r>
      <w:r w:rsidRPr="00C27805">
        <w:t>is</w:t>
      </w:r>
      <w:r w:rsidRPr="00C27805">
        <w:rPr>
          <w:spacing w:val="19"/>
        </w:rPr>
        <w:t xml:space="preserve"> </w:t>
      </w:r>
      <w:r w:rsidRPr="00C27805">
        <w:t>the</w:t>
      </w:r>
      <w:r w:rsidRPr="00C27805">
        <w:rPr>
          <w:spacing w:val="17"/>
        </w:rPr>
        <w:t xml:space="preserve"> </w:t>
      </w:r>
      <w:r w:rsidRPr="00C27805">
        <w:t>like</w:t>
      </w:r>
      <w:r w:rsidRPr="00C27805">
        <w:rPr>
          <w:spacing w:val="17"/>
        </w:rPr>
        <w:t xml:space="preserve"> </w:t>
      </w:r>
      <w:r w:rsidRPr="00C27805">
        <w:t>for</w:t>
      </w:r>
      <w:r w:rsidRPr="00C27805">
        <w:rPr>
          <w:spacing w:val="22"/>
        </w:rPr>
        <w:t xml:space="preserve"> </w:t>
      </w:r>
      <w:r w:rsidRPr="00C27805">
        <w:t>like</w:t>
      </w:r>
      <w:r w:rsidRPr="00C27805">
        <w:rPr>
          <w:spacing w:val="19"/>
        </w:rPr>
        <w:t xml:space="preserve"> </w:t>
      </w:r>
      <w:r w:rsidRPr="00C27805">
        <w:t>replacement</w:t>
      </w:r>
      <w:r w:rsidRPr="00C27805">
        <w:rPr>
          <w:spacing w:val="17"/>
        </w:rPr>
        <w:t xml:space="preserve"> </w:t>
      </w:r>
      <w:r w:rsidRPr="00C27805">
        <w:t>and</w:t>
      </w:r>
      <w:r w:rsidRPr="00C27805">
        <w:rPr>
          <w:spacing w:val="17"/>
        </w:rPr>
        <w:t xml:space="preserve"> </w:t>
      </w:r>
      <w:r w:rsidRPr="00C27805">
        <w:t>enhancement</w:t>
      </w:r>
      <w:r w:rsidRPr="00C27805">
        <w:rPr>
          <w:spacing w:val="21"/>
        </w:rPr>
        <w:t xml:space="preserve"> </w:t>
      </w:r>
      <w:r w:rsidRPr="00C27805">
        <w:t>of</w:t>
      </w:r>
      <w:r w:rsidRPr="00C27805">
        <w:rPr>
          <w:spacing w:val="19"/>
        </w:rPr>
        <w:t xml:space="preserve"> </w:t>
      </w:r>
      <w:r w:rsidRPr="00C27805">
        <w:t>the</w:t>
      </w:r>
      <w:r w:rsidRPr="00C27805">
        <w:rPr>
          <w:spacing w:val="17"/>
        </w:rPr>
        <w:t xml:space="preserve"> </w:t>
      </w:r>
      <w:r w:rsidRPr="00C27805">
        <w:t>Handheld</w:t>
      </w:r>
      <w:r w:rsidRPr="00C27805">
        <w:rPr>
          <w:spacing w:val="19"/>
        </w:rPr>
        <w:t xml:space="preserve"> </w:t>
      </w:r>
      <w:r w:rsidRPr="00C27805">
        <w:t>devices</w:t>
      </w:r>
      <w:r w:rsidRPr="00C27805">
        <w:rPr>
          <w:spacing w:val="21"/>
        </w:rPr>
        <w:t xml:space="preserve"> </w:t>
      </w:r>
      <w:r w:rsidRPr="00C27805">
        <w:t>used</w:t>
      </w:r>
      <w:r w:rsidRPr="00C27805">
        <w:rPr>
          <w:spacing w:val="17"/>
        </w:rPr>
        <w:t xml:space="preserve"> </w:t>
      </w:r>
      <w:r w:rsidRPr="00C27805">
        <w:t>by</w:t>
      </w:r>
      <w:r w:rsidRPr="00C27805">
        <w:rPr>
          <w:spacing w:val="21"/>
        </w:rPr>
        <w:t xml:space="preserve"> </w:t>
      </w:r>
      <w:r w:rsidRPr="00C27805">
        <w:t>the</w:t>
      </w:r>
      <w:r w:rsidRPr="00C27805">
        <w:rPr>
          <w:spacing w:val="17"/>
        </w:rPr>
        <w:t xml:space="preserve"> </w:t>
      </w:r>
      <w:r w:rsidRPr="00C27805">
        <w:t>Ticketing Services assistants.</w:t>
      </w:r>
    </w:p>
    <w:p w14:paraId="7D8D617F" w14:textId="77777777" w:rsidR="00FD0B28" w:rsidRPr="00C27805" w:rsidRDefault="00FD0B28" w:rsidP="00A5227C">
      <w:pPr>
        <w:pStyle w:val="ListParagraph"/>
        <w:widowControl w:val="0"/>
        <w:numPr>
          <w:ilvl w:val="1"/>
          <w:numId w:val="45"/>
        </w:numPr>
        <w:tabs>
          <w:tab w:val="left" w:pos="1181"/>
        </w:tabs>
        <w:autoSpaceDE w:val="0"/>
        <w:autoSpaceDN w:val="0"/>
        <w:spacing w:line="229" w:lineRule="exact"/>
        <w:ind w:left="1181"/>
      </w:pPr>
      <w:r w:rsidRPr="00C27805">
        <w:t>Phase</w:t>
      </w:r>
      <w:r w:rsidRPr="00C27805">
        <w:rPr>
          <w:spacing w:val="-5"/>
        </w:rPr>
        <w:t xml:space="preserve"> </w:t>
      </w:r>
      <w:r w:rsidRPr="00C27805">
        <w:t>3</w:t>
      </w:r>
      <w:r w:rsidRPr="00C27805">
        <w:rPr>
          <w:spacing w:val="-5"/>
        </w:rPr>
        <w:t xml:space="preserve"> </w:t>
      </w:r>
      <w:r w:rsidRPr="00C27805">
        <w:t>is</w:t>
      </w:r>
      <w:r w:rsidRPr="00C27805">
        <w:rPr>
          <w:spacing w:val="-5"/>
        </w:rPr>
        <w:t xml:space="preserve"> </w:t>
      </w:r>
      <w:r w:rsidRPr="00C27805">
        <w:t>the</w:t>
      </w:r>
      <w:r w:rsidRPr="00C27805">
        <w:rPr>
          <w:spacing w:val="-2"/>
        </w:rPr>
        <w:t xml:space="preserve"> </w:t>
      </w:r>
      <w:r w:rsidRPr="00C27805">
        <w:t>installation</w:t>
      </w:r>
      <w:r w:rsidRPr="00C27805">
        <w:rPr>
          <w:spacing w:val="-3"/>
        </w:rPr>
        <w:t xml:space="preserve"> </w:t>
      </w:r>
      <w:r w:rsidRPr="00C27805">
        <w:t>of</w:t>
      </w:r>
      <w:r w:rsidRPr="00C27805">
        <w:rPr>
          <w:spacing w:val="-6"/>
        </w:rPr>
        <w:t xml:space="preserve"> </w:t>
      </w:r>
      <w:r w:rsidRPr="00C27805">
        <w:t>all</w:t>
      </w:r>
      <w:r w:rsidRPr="00C27805">
        <w:rPr>
          <w:spacing w:val="-6"/>
        </w:rPr>
        <w:t xml:space="preserve"> </w:t>
      </w:r>
      <w:r w:rsidRPr="00C27805">
        <w:t>ticketing</w:t>
      </w:r>
      <w:r w:rsidRPr="00C27805">
        <w:rPr>
          <w:spacing w:val="-5"/>
        </w:rPr>
        <w:t xml:space="preserve"> </w:t>
      </w:r>
      <w:r w:rsidRPr="00C27805">
        <w:t>equipment</w:t>
      </w:r>
      <w:r w:rsidRPr="00C27805">
        <w:rPr>
          <w:spacing w:val="-5"/>
        </w:rPr>
        <w:t xml:space="preserve"> </w:t>
      </w:r>
      <w:r w:rsidRPr="00C27805">
        <w:t>on</w:t>
      </w:r>
      <w:r w:rsidRPr="00C27805">
        <w:rPr>
          <w:spacing w:val="-4"/>
        </w:rPr>
        <w:t xml:space="preserve"> </w:t>
      </w:r>
      <w:r w:rsidRPr="00C27805">
        <w:t>the</w:t>
      </w:r>
      <w:r w:rsidRPr="00C27805">
        <w:rPr>
          <w:spacing w:val="-5"/>
        </w:rPr>
        <w:t xml:space="preserve"> </w:t>
      </w:r>
      <w:r w:rsidRPr="00C27805">
        <w:t>8</w:t>
      </w:r>
      <w:r w:rsidRPr="00C27805">
        <w:rPr>
          <w:spacing w:val="-5"/>
        </w:rPr>
        <w:t xml:space="preserve"> </w:t>
      </w:r>
      <w:r w:rsidRPr="00C27805">
        <w:t>Trams</w:t>
      </w:r>
      <w:r w:rsidRPr="00C27805">
        <w:rPr>
          <w:spacing w:val="-5"/>
        </w:rPr>
        <w:t xml:space="preserve"> </w:t>
      </w:r>
      <w:r w:rsidRPr="00C27805">
        <w:t>to</w:t>
      </w:r>
      <w:r w:rsidRPr="00C27805">
        <w:rPr>
          <w:spacing w:val="-2"/>
        </w:rPr>
        <w:t xml:space="preserve"> </w:t>
      </w:r>
      <w:r w:rsidRPr="00C27805">
        <w:t>Newhaven</w:t>
      </w:r>
      <w:r w:rsidRPr="00C27805">
        <w:rPr>
          <w:spacing w:val="-4"/>
        </w:rPr>
        <w:t xml:space="preserve"> </w:t>
      </w:r>
      <w:r w:rsidRPr="00C27805">
        <w:rPr>
          <w:spacing w:val="-2"/>
        </w:rPr>
        <w:t>tram stops.</w:t>
      </w:r>
    </w:p>
    <w:p w14:paraId="33E23A40" w14:textId="77777777" w:rsidR="00FD0B28" w:rsidRPr="00C27805" w:rsidRDefault="00FD0B28" w:rsidP="00A5227C">
      <w:pPr>
        <w:widowControl w:val="0"/>
        <w:numPr>
          <w:ilvl w:val="1"/>
          <w:numId w:val="31"/>
        </w:numPr>
        <w:tabs>
          <w:tab w:val="left" w:pos="1181"/>
        </w:tabs>
        <w:kinsoku w:val="0"/>
        <w:overflowPunct w:val="0"/>
        <w:autoSpaceDE w:val="0"/>
        <w:autoSpaceDN w:val="0"/>
        <w:adjustRightInd w:val="0"/>
        <w:jc w:val="both"/>
        <w:rPr>
          <w:rFonts w:cs="Arial"/>
          <w:lang w:eastAsia="en-GB"/>
        </w:rPr>
      </w:pPr>
      <w:r w:rsidRPr="00C27805">
        <w:t>Phase</w:t>
      </w:r>
      <w:r w:rsidRPr="00C27805">
        <w:rPr>
          <w:spacing w:val="-2"/>
        </w:rPr>
        <w:t xml:space="preserve"> </w:t>
      </w:r>
      <w:r w:rsidRPr="00C27805">
        <w:t>4</w:t>
      </w:r>
      <w:r w:rsidRPr="00C27805">
        <w:rPr>
          <w:spacing w:val="-3"/>
        </w:rPr>
        <w:t xml:space="preserve"> </w:t>
      </w:r>
      <w:r w:rsidRPr="00C27805">
        <w:t>is</w:t>
      </w:r>
      <w:r w:rsidRPr="00C27805">
        <w:rPr>
          <w:spacing w:val="-3"/>
        </w:rPr>
        <w:t xml:space="preserve"> </w:t>
      </w:r>
      <w:r w:rsidRPr="00C27805">
        <w:t>the</w:t>
      </w:r>
      <w:r w:rsidRPr="00C27805">
        <w:rPr>
          <w:spacing w:val="-3"/>
        </w:rPr>
        <w:t xml:space="preserve"> </w:t>
      </w:r>
      <w:r w:rsidRPr="00C27805">
        <w:t>introduction</w:t>
      </w:r>
      <w:r w:rsidRPr="00C27805">
        <w:rPr>
          <w:spacing w:val="-1"/>
        </w:rPr>
        <w:t xml:space="preserve"> </w:t>
      </w:r>
      <w:r w:rsidRPr="00C27805">
        <w:t>of</w:t>
      </w:r>
      <w:r w:rsidRPr="00C27805">
        <w:rPr>
          <w:spacing w:val="-3"/>
        </w:rPr>
        <w:t xml:space="preserve"> </w:t>
      </w:r>
      <w:r w:rsidRPr="00C27805">
        <w:t>the</w:t>
      </w:r>
      <w:r w:rsidRPr="00C27805">
        <w:rPr>
          <w:spacing w:val="-1"/>
        </w:rPr>
        <w:t xml:space="preserve"> </w:t>
      </w:r>
      <w:r w:rsidRPr="00C27805">
        <w:t>‘Account</w:t>
      </w:r>
      <w:r w:rsidRPr="00C27805">
        <w:rPr>
          <w:spacing w:val="-1"/>
        </w:rPr>
        <w:t xml:space="preserve"> </w:t>
      </w:r>
      <w:r w:rsidRPr="00C27805">
        <w:t>Based</w:t>
      </w:r>
      <w:r w:rsidRPr="00C27805">
        <w:rPr>
          <w:spacing w:val="-1"/>
        </w:rPr>
        <w:t xml:space="preserve"> </w:t>
      </w:r>
      <w:r w:rsidRPr="00C27805">
        <w:t>Ticketing’</w:t>
      </w:r>
      <w:r w:rsidRPr="00C27805">
        <w:rPr>
          <w:spacing w:val="-3"/>
        </w:rPr>
        <w:t xml:space="preserve"> </w:t>
      </w:r>
      <w:r w:rsidRPr="00C27805">
        <w:t>(ABT)</w:t>
      </w:r>
      <w:r w:rsidRPr="00C27805">
        <w:rPr>
          <w:spacing w:val="-3"/>
        </w:rPr>
        <w:t xml:space="preserve"> </w:t>
      </w:r>
      <w:r w:rsidRPr="00C27805">
        <w:t>system.</w:t>
      </w:r>
      <w:r w:rsidRPr="00C27805">
        <w:rPr>
          <w:spacing w:val="-4"/>
        </w:rPr>
        <w:t xml:space="preserve"> </w:t>
      </w:r>
      <w:r w:rsidRPr="00C27805">
        <w:t>This</w:t>
      </w:r>
      <w:r w:rsidRPr="00C27805">
        <w:rPr>
          <w:spacing w:val="-2"/>
        </w:rPr>
        <w:t xml:space="preserve"> </w:t>
      </w:r>
      <w:r w:rsidRPr="00C27805">
        <w:t>is</w:t>
      </w:r>
      <w:r w:rsidRPr="00C27805">
        <w:rPr>
          <w:spacing w:val="-1"/>
        </w:rPr>
        <w:t xml:space="preserve"> </w:t>
      </w:r>
      <w:r w:rsidRPr="00C27805">
        <w:t>an</w:t>
      </w:r>
      <w:r w:rsidRPr="00C27805">
        <w:rPr>
          <w:spacing w:val="-3"/>
        </w:rPr>
        <w:t xml:space="preserve"> </w:t>
      </w:r>
      <w:r w:rsidRPr="00C27805">
        <w:t>integrated</w:t>
      </w:r>
      <w:r w:rsidRPr="00C27805">
        <w:rPr>
          <w:spacing w:val="-4"/>
        </w:rPr>
        <w:t xml:space="preserve"> </w:t>
      </w:r>
      <w:r w:rsidRPr="00C27805">
        <w:t>fare</w:t>
      </w:r>
      <w:r w:rsidRPr="00C27805">
        <w:rPr>
          <w:spacing w:val="-4"/>
        </w:rPr>
        <w:t xml:space="preserve"> </w:t>
      </w:r>
      <w:r w:rsidRPr="00C27805">
        <w:t xml:space="preserve">capping system between buses and trams where customers can use contactless payments (tapping on and off with their cards) on the Platform Validators. This system will assist with integration between both modes of </w:t>
      </w:r>
      <w:r w:rsidRPr="00C27805">
        <w:rPr>
          <w:spacing w:val="-2"/>
        </w:rPr>
        <w:t>transport.</w:t>
      </w:r>
    </w:p>
    <w:p w14:paraId="08E17F7F" w14:textId="77777777" w:rsidR="00FD0B28" w:rsidRPr="001A0C8D" w:rsidRDefault="00FD0B28" w:rsidP="00FD0B28">
      <w:pPr>
        <w:widowControl w:val="0"/>
        <w:tabs>
          <w:tab w:val="left" w:pos="1181"/>
        </w:tabs>
        <w:kinsoku w:val="0"/>
        <w:overflowPunct w:val="0"/>
        <w:autoSpaceDE w:val="0"/>
        <w:autoSpaceDN w:val="0"/>
        <w:adjustRightInd w:val="0"/>
        <w:jc w:val="both"/>
        <w:rPr>
          <w:rFonts w:cs="Arial"/>
          <w:sz w:val="12"/>
          <w:szCs w:val="12"/>
          <w:lang w:eastAsia="en-GB"/>
        </w:rPr>
      </w:pPr>
    </w:p>
    <w:p w14:paraId="4DE4E13C" w14:textId="77777777" w:rsidR="00FD0B28" w:rsidRDefault="00FD0B28" w:rsidP="00FD0B28">
      <w:pPr>
        <w:widowControl w:val="0"/>
        <w:kinsoku w:val="0"/>
        <w:overflowPunct w:val="0"/>
        <w:autoSpaceDE w:val="0"/>
        <w:autoSpaceDN w:val="0"/>
        <w:adjustRightInd w:val="0"/>
        <w:jc w:val="both"/>
        <w:rPr>
          <w:rFonts w:cs="Arial"/>
          <w:lang w:eastAsia="en-GB"/>
        </w:rPr>
      </w:pPr>
      <w:r w:rsidRPr="00C27805">
        <w:rPr>
          <w:rFonts w:cs="Arial"/>
          <w:lang w:eastAsia="en-GB"/>
        </w:rPr>
        <w:t>The</w:t>
      </w:r>
      <w:r w:rsidRPr="00C27805">
        <w:rPr>
          <w:rFonts w:cs="Arial"/>
          <w:spacing w:val="-1"/>
          <w:lang w:eastAsia="en-GB"/>
        </w:rPr>
        <w:t xml:space="preserve"> </w:t>
      </w:r>
      <w:r w:rsidRPr="00C27805">
        <w:rPr>
          <w:rFonts w:cs="Arial"/>
          <w:lang w:eastAsia="en-GB"/>
        </w:rPr>
        <w:t>Platform Validators were installed in April 2022 and the handheld devices were introduced in April</w:t>
      </w:r>
      <w:r w:rsidRPr="00C27805">
        <w:rPr>
          <w:rFonts w:cs="Arial"/>
          <w:spacing w:val="-1"/>
          <w:lang w:eastAsia="en-GB"/>
        </w:rPr>
        <w:t xml:space="preserve"> </w:t>
      </w:r>
      <w:r w:rsidRPr="00C27805">
        <w:rPr>
          <w:rFonts w:cs="Arial"/>
          <w:lang w:eastAsia="en-GB"/>
        </w:rPr>
        <w:t>2023. Phase 3 was</w:t>
      </w:r>
      <w:r w:rsidRPr="00C27805">
        <w:rPr>
          <w:rFonts w:cs="Arial"/>
          <w:spacing w:val="-9"/>
          <w:lang w:eastAsia="en-GB"/>
        </w:rPr>
        <w:t xml:space="preserve"> </w:t>
      </w:r>
      <w:r w:rsidRPr="00C27805">
        <w:rPr>
          <w:rFonts w:cs="Arial"/>
          <w:lang w:eastAsia="en-GB"/>
        </w:rPr>
        <w:t>successfully</w:t>
      </w:r>
      <w:r w:rsidRPr="00C27805">
        <w:rPr>
          <w:rFonts w:cs="Arial"/>
          <w:spacing w:val="-9"/>
          <w:lang w:eastAsia="en-GB"/>
        </w:rPr>
        <w:t xml:space="preserve"> </w:t>
      </w:r>
      <w:r w:rsidRPr="00C27805">
        <w:rPr>
          <w:rFonts w:cs="Arial"/>
          <w:lang w:eastAsia="en-GB"/>
        </w:rPr>
        <w:t>completed</w:t>
      </w:r>
      <w:r w:rsidRPr="00C27805">
        <w:rPr>
          <w:rFonts w:cs="Arial"/>
          <w:spacing w:val="-9"/>
          <w:lang w:eastAsia="en-GB"/>
        </w:rPr>
        <w:t xml:space="preserve"> </w:t>
      </w:r>
      <w:r w:rsidRPr="00C27805">
        <w:rPr>
          <w:rFonts w:cs="Arial"/>
          <w:lang w:eastAsia="en-GB"/>
        </w:rPr>
        <w:t>in</w:t>
      </w:r>
      <w:r w:rsidRPr="00C27805">
        <w:rPr>
          <w:rFonts w:cs="Arial"/>
          <w:spacing w:val="-10"/>
          <w:lang w:eastAsia="en-GB"/>
        </w:rPr>
        <w:t xml:space="preserve"> </w:t>
      </w:r>
      <w:r w:rsidRPr="00C27805">
        <w:rPr>
          <w:rFonts w:cs="Arial"/>
          <w:lang w:eastAsia="en-GB"/>
        </w:rPr>
        <w:t>Q2</w:t>
      </w:r>
      <w:r w:rsidRPr="00C27805">
        <w:rPr>
          <w:rFonts w:cs="Arial"/>
          <w:spacing w:val="-10"/>
          <w:lang w:eastAsia="en-GB"/>
        </w:rPr>
        <w:t xml:space="preserve"> </w:t>
      </w:r>
      <w:r w:rsidRPr="00C27805">
        <w:rPr>
          <w:rFonts w:cs="Arial"/>
          <w:lang w:eastAsia="en-GB"/>
        </w:rPr>
        <w:t>2023</w:t>
      </w:r>
      <w:r w:rsidRPr="00C27805">
        <w:rPr>
          <w:rFonts w:cs="Arial"/>
          <w:spacing w:val="-8"/>
          <w:lang w:eastAsia="en-GB"/>
        </w:rPr>
        <w:t xml:space="preserve"> </w:t>
      </w:r>
      <w:r w:rsidRPr="00C27805">
        <w:rPr>
          <w:rFonts w:cs="Arial"/>
          <w:lang w:eastAsia="en-GB"/>
        </w:rPr>
        <w:t>prior</w:t>
      </w:r>
      <w:r w:rsidRPr="00C27805">
        <w:rPr>
          <w:rFonts w:cs="Arial"/>
          <w:spacing w:val="-9"/>
          <w:lang w:eastAsia="en-GB"/>
        </w:rPr>
        <w:t xml:space="preserve"> </w:t>
      </w:r>
      <w:r w:rsidRPr="00C27805">
        <w:rPr>
          <w:rFonts w:cs="Arial"/>
          <w:lang w:eastAsia="en-GB"/>
        </w:rPr>
        <w:t>to</w:t>
      </w:r>
      <w:r w:rsidRPr="00C27805">
        <w:rPr>
          <w:rFonts w:cs="Arial"/>
          <w:spacing w:val="-10"/>
          <w:lang w:eastAsia="en-GB"/>
        </w:rPr>
        <w:t xml:space="preserve"> </w:t>
      </w:r>
      <w:r w:rsidRPr="00C27805">
        <w:rPr>
          <w:rFonts w:cs="Arial"/>
          <w:lang w:eastAsia="en-GB"/>
        </w:rPr>
        <w:t>Trams</w:t>
      </w:r>
      <w:r w:rsidRPr="00C27805">
        <w:rPr>
          <w:rFonts w:cs="Arial"/>
          <w:spacing w:val="-9"/>
          <w:lang w:eastAsia="en-GB"/>
        </w:rPr>
        <w:t xml:space="preserve"> </w:t>
      </w:r>
      <w:r w:rsidRPr="00C27805">
        <w:rPr>
          <w:rFonts w:cs="Arial"/>
          <w:lang w:eastAsia="en-GB"/>
        </w:rPr>
        <w:t>to</w:t>
      </w:r>
      <w:r w:rsidRPr="00C27805">
        <w:rPr>
          <w:rFonts w:cs="Arial"/>
          <w:spacing w:val="-10"/>
          <w:lang w:eastAsia="en-GB"/>
        </w:rPr>
        <w:t xml:space="preserve"> </w:t>
      </w:r>
      <w:r w:rsidRPr="00C27805">
        <w:rPr>
          <w:rFonts w:cs="Arial"/>
          <w:lang w:eastAsia="en-GB"/>
        </w:rPr>
        <w:t>Newhaven</w:t>
      </w:r>
      <w:r w:rsidRPr="00C27805">
        <w:rPr>
          <w:rFonts w:cs="Arial"/>
          <w:spacing w:val="-11"/>
          <w:lang w:eastAsia="en-GB"/>
        </w:rPr>
        <w:t xml:space="preserve"> </w:t>
      </w:r>
      <w:r w:rsidRPr="00C27805">
        <w:rPr>
          <w:rFonts w:cs="Arial"/>
          <w:lang w:eastAsia="en-GB"/>
        </w:rPr>
        <w:t>going</w:t>
      </w:r>
      <w:r w:rsidRPr="00C27805">
        <w:rPr>
          <w:rFonts w:cs="Arial"/>
          <w:spacing w:val="-8"/>
          <w:lang w:eastAsia="en-GB"/>
        </w:rPr>
        <w:t xml:space="preserve"> </w:t>
      </w:r>
      <w:r w:rsidRPr="00C27805">
        <w:rPr>
          <w:rFonts w:cs="Arial"/>
          <w:lang w:eastAsia="en-GB"/>
        </w:rPr>
        <w:t>live.</w:t>
      </w:r>
      <w:r w:rsidRPr="00C27805">
        <w:rPr>
          <w:rFonts w:cs="Arial"/>
          <w:spacing w:val="-11"/>
          <w:lang w:eastAsia="en-GB"/>
        </w:rPr>
        <w:t xml:space="preserve"> </w:t>
      </w:r>
      <w:r w:rsidRPr="00C27805">
        <w:rPr>
          <w:rFonts w:cs="Arial"/>
          <w:lang w:eastAsia="en-GB"/>
        </w:rPr>
        <w:t>The</w:t>
      </w:r>
      <w:r w:rsidRPr="00C27805">
        <w:rPr>
          <w:rFonts w:cs="Arial"/>
          <w:spacing w:val="-8"/>
          <w:lang w:eastAsia="en-GB"/>
        </w:rPr>
        <w:t xml:space="preserve"> </w:t>
      </w:r>
      <w:r w:rsidRPr="00C27805">
        <w:rPr>
          <w:rFonts w:cs="Arial"/>
          <w:lang w:eastAsia="en-GB"/>
        </w:rPr>
        <w:t>focus</w:t>
      </w:r>
      <w:r w:rsidRPr="00C27805">
        <w:rPr>
          <w:rFonts w:cs="Arial"/>
          <w:spacing w:val="-9"/>
          <w:lang w:eastAsia="en-GB"/>
        </w:rPr>
        <w:t xml:space="preserve"> </w:t>
      </w:r>
      <w:r w:rsidRPr="00C27805">
        <w:rPr>
          <w:rFonts w:cs="Arial"/>
          <w:lang w:eastAsia="en-GB"/>
        </w:rPr>
        <w:t>now</w:t>
      </w:r>
      <w:r w:rsidRPr="00C27805">
        <w:rPr>
          <w:rFonts w:cs="Arial"/>
          <w:spacing w:val="-7"/>
          <w:lang w:eastAsia="en-GB"/>
        </w:rPr>
        <w:t xml:space="preserve"> </w:t>
      </w:r>
      <w:r w:rsidRPr="00C27805">
        <w:rPr>
          <w:rFonts w:cs="Arial"/>
          <w:lang w:eastAsia="en-GB"/>
        </w:rPr>
        <w:t>is</w:t>
      </w:r>
      <w:r w:rsidRPr="00C27805">
        <w:rPr>
          <w:rFonts w:cs="Arial"/>
          <w:spacing w:val="-9"/>
          <w:lang w:eastAsia="en-GB"/>
        </w:rPr>
        <w:t xml:space="preserve"> </w:t>
      </w:r>
      <w:r w:rsidRPr="00C27805">
        <w:rPr>
          <w:rFonts w:cs="Arial"/>
          <w:lang w:eastAsia="en-GB"/>
        </w:rPr>
        <w:t>on</w:t>
      </w:r>
      <w:r w:rsidRPr="00C27805">
        <w:rPr>
          <w:rFonts w:cs="Arial"/>
          <w:spacing w:val="-11"/>
          <w:lang w:eastAsia="en-GB"/>
        </w:rPr>
        <w:t xml:space="preserve"> </w:t>
      </w:r>
      <w:r w:rsidRPr="00C27805">
        <w:rPr>
          <w:rFonts w:cs="Arial"/>
          <w:lang w:eastAsia="en-GB"/>
        </w:rPr>
        <w:t>Phase</w:t>
      </w:r>
      <w:r w:rsidRPr="00C27805">
        <w:rPr>
          <w:rFonts w:cs="Arial"/>
          <w:spacing w:val="-8"/>
          <w:lang w:eastAsia="en-GB"/>
        </w:rPr>
        <w:t xml:space="preserve"> </w:t>
      </w:r>
      <w:r w:rsidRPr="00C27805">
        <w:rPr>
          <w:rFonts w:cs="Arial"/>
          <w:lang w:eastAsia="en-GB"/>
        </w:rPr>
        <w:t>4,</w:t>
      </w:r>
      <w:r w:rsidRPr="00C27805">
        <w:rPr>
          <w:rFonts w:cs="Arial"/>
          <w:spacing w:val="-11"/>
          <w:lang w:eastAsia="en-GB"/>
        </w:rPr>
        <w:t xml:space="preserve"> </w:t>
      </w:r>
      <w:r w:rsidRPr="00C27805">
        <w:rPr>
          <w:rFonts w:cs="Arial"/>
          <w:lang w:eastAsia="en-GB"/>
        </w:rPr>
        <w:t>which commenced in Q2 2023, FATs and SATs were completed in 2024 and completion is scheduled for Q2 2025. This is quite a complex project as the Edinburgh Trams ABT will be integrated with the existing Lothian Buses ABT system, therefore all the back-office changes</w:t>
      </w:r>
      <w:r w:rsidRPr="00C27805">
        <w:rPr>
          <w:rFonts w:cs="Arial"/>
          <w:spacing w:val="-4"/>
          <w:lang w:eastAsia="en-GB"/>
        </w:rPr>
        <w:t xml:space="preserve"> </w:t>
      </w:r>
      <w:r w:rsidRPr="00C27805">
        <w:rPr>
          <w:rFonts w:cs="Arial"/>
          <w:lang w:eastAsia="en-GB"/>
        </w:rPr>
        <w:t>are</w:t>
      </w:r>
      <w:r w:rsidRPr="00C27805">
        <w:rPr>
          <w:rFonts w:cs="Arial"/>
          <w:spacing w:val="-5"/>
          <w:lang w:eastAsia="en-GB"/>
        </w:rPr>
        <w:t xml:space="preserve"> </w:t>
      </w:r>
      <w:r w:rsidRPr="00C27805">
        <w:rPr>
          <w:rFonts w:cs="Arial"/>
          <w:lang w:eastAsia="en-GB"/>
        </w:rPr>
        <w:t>being</w:t>
      </w:r>
      <w:r w:rsidRPr="00C27805">
        <w:rPr>
          <w:rFonts w:cs="Arial"/>
          <w:spacing w:val="-5"/>
          <w:lang w:eastAsia="en-GB"/>
        </w:rPr>
        <w:t xml:space="preserve"> </w:t>
      </w:r>
      <w:r w:rsidRPr="00C27805">
        <w:rPr>
          <w:rFonts w:cs="Arial"/>
          <w:lang w:eastAsia="en-GB"/>
        </w:rPr>
        <w:t>completed</w:t>
      </w:r>
      <w:r w:rsidRPr="00C27805">
        <w:rPr>
          <w:rFonts w:cs="Arial"/>
          <w:spacing w:val="-5"/>
          <w:lang w:eastAsia="en-GB"/>
        </w:rPr>
        <w:t xml:space="preserve"> </w:t>
      </w:r>
      <w:r w:rsidRPr="00C27805">
        <w:rPr>
          <w:rFonts w:cs="Arial"/>
          <w:lang w:eastAsia="en-GB"/>
        </w:rPr>
        <w:t>in</w:t>
      </w:r>
      <w:r w:rsidRPr="00C27805">
        <w:rPr>
          <w:rFonts w:cs="Arial"/>
          <w:spacing w:val="-5"/>
          <w:lang w:eastAsia="en-GB"/>
        </w:rPr>
        <w:t xml:space="preserve"> </w:t>
      </w:r>
      <w:r w:rsidRPr="00C27805">
        <w:rPr>
          <w:rFonts w:cs="Arial"/>
          <w:lang w:eastAsia="en-GB"/>
        </w:rPr>
        <w:t>a</w:t>
      </w:r>
      <w:r w:rsidRPr="00C27805">
        <w:rPr>
          <w:rFonts w:cs="Arial"/>
          <w:spacing w:val="-5"/>
          <w:lang w:eastAsia="en-GB"/>
        </w:rPr>
        <w:t xml:space="preserve"> </w:t>
      </w:r>
      <w:r w:rsidRPr="00C27805">
        <w:rPr>
          <w:rFonts w:cs="Arial"/>
          <w:lang w:eastAsia="en-GB"/>
        </w:rPr>
        <w:t>phased</w:t>
      </w:r>
      <w:r w:rsidRPr="00C27805">
        <w:rPr>
          <w:rFonts w:cs="Arial"/>
          <w:spacing w:val="-5"/>
          <w:lang w:eastAsia="en-GB"/>
        </w:rPr>
        <w:t xml:space="preserve"> </w:t>
      </w:r>
      <w:r w:rsidRPr="00C27805">
        <w:rPr>
          <w:rFonts w:cs="Arial"/>
          <w:lang w:eastAsia="en-GB"/>
        </w:rPr>
        <w:t>and</w:t>
      </w:r>
      <w:r w:rsidRPr="00C27805">
        <w:rPr>
          <w:rFonts w:cs="Arial"/>
          <w:spacing w:val="-5"/>
          <w:lang w:eastAsia="en-GB"/>
        </w:rPr>
        <w:t xml:space="preserve"> </w:t>
      </w:r>
      <w:r w:rsidRPr="00C27805">
        <w:rPr>
          <w:rFonts w:cs="Arial"/>
          <w:lang w:eastAsia="en-GB"/>
        </w:rPr>
        <w:t>controlled</w:t>
      </w:r>
      <w:r w:rsidRPr="00C27805">
        <w:rPr>
          <w:rFonts w:cs="Arial"/>
          <w:spacing w:val="-5"/>
          <w:lang w:eastAsia="en-GB"/>
        </w:rPr>
        <w:t xml:space="preserve"> </w:t>
      </w:r>
      <w:r w:rsidRPr="00C27805">
        <w:rPr>
          <w:rFonts w:cs="Arial"/>
          <w:lang w:eastAsia="en-GB"/>
        </w:rPr>
        <w:t>manner</w:t>
      </w:r>
      <w:r w:rsidRPr="00C27805">
        <w:rPr>
          <w:rFonts w:cs="Arial"/>
          <w:spacing w:val="-4"/>
          <w:lang w:eastAsia="en-GB"/>
        </w:rPr>
        <w:t xml:space="preserve"> </w:t>
      </w:r>
      <w:r w:rsidRPr="00C27805">
        <w:rPr>
          <w:rFonts w:cs="Arial"/>
          <w:lang w:eastAsia="en-GB"/>
        </w:rPr>
        <w:t>to</w:t>
      </w:r>
      <w:r w:rsidRPr="00C27805">
        <w:rPr>
          <w:rFonts w:cs="Arial"/>
          <w:spacing w:val="-5"/>
          <w:lang w:eastAsia="en-GB"/>
        </w:rPr>
        <w:t xml:space="preserve"> </w:t>
      </w:r>
      <w:r w:rsidRPr="00C27805">
        <w:rPr>
          <w:rFonts w:cs="Arial"/>
          <w:lang w:eastAsia="en-GB"/>
        </w:rPr>
        <w:t>ensure</w:t>
      </w:r>
      <w:r w:rsidRPr="00C27805">
        <w:rPr>
          <w:rFonts w:cs="Arial"/>
          <w:spacing w:val="-5"/>
          <w:lang w:eastAsia="en-GB"/>
        </w:rPr>
        <w:t xml:space="preserve"> </w:t>
      </w:r>
      <w:r w:rsidRPr="00C27805">
        <w:rPr>
          <w:rFonts w:cs="Arial"/>
          <w:lang w:eastAsia="en-GB"/>
        </w:rPr>
        <w:t>minimum</w:t>
      </w:r>
      <w:r w:rsidRPr="00C27805">
        <w:rPr>
          <w:rFonts w:cs="Arial"/>
          <w:spacing w:val="-5"/>
          <w:lang w:eastAsia="en-GB"/>
        </w:rPr>
        <w:t xml:space="preserve"> </w:t>
      </w:r>
      <w:r w:rsidRPr="00C27805">
        <w:rPr>
          <w:rFonts w:cs="Arial"/>
          <w:lang w:eastAsia="en-GB"/>
        </w:rPr>
        <w:t>disruption</w:t>
      </w:r>
      <w:r w:rsidRPr="00C27805">
        <w:rPr>
          <w:rFonts w:cs="Arial"/>
          <w:spacing w:val="-5"/>
          <w:lang w:eastAsia="en-GB"/>
        </w:rPr>
        <w:t xml:space="preserve"> </w:t>
      </w:r>
      <w:r w:rsidRPr="00C27805">
        <w:rPr>
          <w:rFonts w:cs="Arial"/>
          <w:lang w:eastAsia="en-GB"/>
        </w:rPr>
        <w:t>for</w:t>
      </w:r>
      <w:r w:rsidRPr="00C27805">
        <w:rPr>
          <w:rFonts w:cs="Arial"/>
          <w:spacing w:val="-4"/>
          <w:lang w:eastAsia="en-GB"/>
        </w:rPr>
        <w:t xml:space="preserve"> both</w:t>
      </w:r>
      <w:r w:rsidRPr="00C27805">
        <w:rPr>
          <w:rFonts w:cs="Arial"/>
          <w:spacing w:val="-3"/>
          <w:lang w:eastAsia="en-GB"/>
        </w:rPr>
        <w:t xml:space="preserve"> </w:t>
      </w:r>
      <w:r w:rsidRPr="00C27805">
        <w:rPr>
          <w:rFonts w:cs="Arial"/>
          <w:lang w:eastAsia="en-GB"/>
        </w:rPr>
        <w:t>businesses and their customers.</w:t>
      </w:r>
    </w:p>
    <w:p w14:paraId="60A19A2E" w14:textId="77777777" w:rsidR="00FD0B28" w:rsidRPr="001A0C8D" w:rsidRDefault="00FD0B28" w:rsidP="00FD0B28">
      <w:pPr>
        <w:widowControl w:val="0"/>
        <w:kinsoku w:val="0"/>
        <w:overflowPunct w:val="0"/>
        <w:autoSpaceDE w:val="0"/>
        <w:autoSpaceDN w:val="0"/>
        <w:adjustRightInd w:val="0"/>
        <w:jc w:val="both"/>
        <w:rPr>
          <w:rFonts w:cs="Arial"/>
          <w:sz w:val="12"/>
          <w:szCs w:val="12"/>
          <w:lang w:eastAsia="en-GB"/>
        </w:rPr>
      </w:pPr>
    </w:p>
    <w:p w14:paraId="32A4B951" w14:textId="77777777" w:rsidR="00FD0B28" w:rsidRDefault="00FD0B28" w:rsidP="00FD0B28">
      <w:pPr>
        <w:widowControl w:val="0"/>
        <w:autoSpaceDE w:val="0"/>
        <w:autoSpaceDN w:val="0"/>
        <w:rPr>
          <w:rFonts w:eastAsia="Arial" w:cs="Arial"/>
          <w:lang w:val="en-US"/>
        </w:rPr>
      </w:pPr>
    </w:p>
    <w:p w14:paraId="746633C3" w14:textId="77777777" w:rsidR="00FD0B28" w:rsidRDefault="00FD0B28" w:rsidP="00FD0B28">
      <w:pPr>
        <w:widowControl w:val="0"/>
        <w:autoSpaceDE w:val="0"/>
        <w:autoSpaceDN w:val="0"/>
        <w:rPr>
          <w:rFonts w:eastAsia="Arial" w:cs="Arial"/>
          <w:lang w:val="en-US"/>
        </w:rPr>
      </w:pPr>
    </w:p>
    <w:p w14:paraId="0FDCA9CB" w14:textId="77777777" w:rsidR="00FD0B28" w:rsidRDefault="00FD0B28" w:rsidP="00FD0B28">
      <w:pPr>
        <w:widowControl w:val="0"/>
        <w:autoSpaceDE w:val="0"/>
        <w:autoSpaceDN w:val="0"/>
        <w:rPr>
          <w:rFonts w:eastAsia="Arial" w:cs="Arial"/>
          <w:lang w:val="en-US"/>
        </w:rPr>
      </w:pPr>
    </w:p>
    <w:p w14:paraId="1F6A7E3B" w14:textId="77777777" w:rsidR="00FD0B28" w:rsidRDefault="00FD0B28" w:rsidP="00FD0B28">
      <w:pPr>
        <w:widowControl w:val="0"/>
        <w:autoSpaceDE w:val="0"/>
        <w:autoSpaceDN w:val="0"/>
        <w:rPr>
          <w:rFonts w:eastAsia="Arial" w:cs="Arial"/>
          <w:lang w:val="en-US"/>
        </w:rPr>
      </w:pPr>
    </w:p>
    <w:p w14:paraId="53795AB9" w14:textId="77777777" w:rsidR="00FD0B28" w:rsidRDefault="00FD0B28" w:rsidP="00FD0B28">
      <w:pPr>
        <w:widowControl w:val="0"/>
        <w:autoSpaceDE w:val="0"/>
        <w:autoSpaceDN w:val="0"/>
        <w:rPr>
          <w:rFonts w:eastAsia="Arial" w:cs="Arial"/>
          <w:lang w:val="en-US"/>
        </w:rPr>
      </w:pPr>
    </w:p>
    <w:p w14:paraId="719A5B5F" w14:textId="77777777" w:rsidR="00FD0B28" w:rsidRDefault="00FD0B28" w:rsidP="00FD0B28">
      <w:pPr>
        <w:widowControl w:val="0"/>
        <w:autoSpaceDE w:val="0"/>
        <w:autoSpaceDN w:val="0"/>
        <w:rPr>
          <w:rFonts w:eastAsia="Arial" w:cs="Arial"/>
          <w:lang w:val="en-US"/>
        </w:rPr>
      </w:pPr>
    </w:p>
    <w:p w14:paraId="49B0487E" w14:textId="77777777" w:rsidR="00FD0B28" w:rsidRPr="00820267" w:rsidRDefault="00FD0B28" w:rsidP="00FD0B28">
      <w:pPr>
        <w:jc w:val="center"/>
        <w:outlineLvl w:val="0"/>
        <w:rPr>
          <w:b/>
        </w:rPr>
      </w:pPr>
      <w:r w:rsidRPr="00820267">
        <w:rPr>
          <w:b/>
        </w:rPr>
        <w:lastRenderedPageBreak/>
        <w:t>TRANSPORT FOR EDINBURGH LIMITED</w:t>
      </w:r>
    </w:p>
    <w:p w14:paraId="0AD9E2B8" w14:textId="77777777" w:rsidR="00FD0B28" w:rsidRPr="00820267" w:rsidRDefault="00FD0B28" w:rsidP="00FD0B28">
      <w:pPr>
        <w:rPr>
          <w:b/>
        </w:rPr>
      </w:pPr>
    </w:p>
    <w:p w14:paraId="63DB5142" w14:textId="77777777" w:rsidR="00FD0B28" w:rsidRPr="00820267" w:rsidRDefault="00FD0B28" w:rsidP="00FD0B28">
      <w:pPr>
        <w:jc w:val="center"/>
        <w:rPr>
          <w:b/>
        </w:rPr>
      </w:pPr>
      <w:r w:rsidRPr="00820267">
        <w:rPr>
          <w:b/>
        </w:rPr>
        <w:t>Strategic Report (continued)</w:t>
      </w:r>
    </w:p>
    <w:p w14:paraId="6FC93574" w14:textId="77777777" w:rsidR="00FD0B28" w:rsidRPr="00820267" w:rsidRDefault="00FD0B28" w:rsidP="00FD0B28">
      <w:pPr>
        <w:jc w:val="center"/>
        <w:rPr>
          <w:b/>
        </w:rPr>
      </w:pPr>
    </w:p>
    <w:p w14:paraId="1514933C" w14:textId="77777777" w:rsidR="00FD0B28" w:rsidRPr="00820267" w:rsidRDefault="00FD0B28" w:rsidP="00FD0B28">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51613472" w14:textId="77777777" w:rsidR="00FD0B28" w:rsidRDefault="00FD0B28" w:rsidP="00FD0B28">
      <w:pPr>
        <w:widowControl w:val="0"/>
        <w:autoSpaceDE w:val="0"/>
        <w:autoSpaceDN w:val="0"/>
        <w:rPr>
          <w:rFonts w:eastAsia="Arial" w:cs="Arial"/>
          <w:lang w:val="en-US"/>
        </w:rPr>
      </w:pPr>
    </w:p>
    <w:p w14:paraId="1925D67A" w14:textId="77777777" w:rsidR="00FA00AE" w:rsidRPr="00D1509B" w:rsidRDefault="00FA00AE" w:rsidP="00FA00AE">
      <w:pPr>
        <w:jc w:val="both"/>
        <w:rPr>
          <w:rFonts w:cs="Arial"/>
          <w:b/>
        </w:rPr>
      </w:pPr>
      <w:r w:rsidRPr="00D1509B">
        <w:rPr>
          <w:rFonts w:cs="Arial"/>
          <w:b/>
        </w:rPr>
        <w:t>Tram Asset Management (continued)</w:t>
      </w:r>
    </w:p>
    <w:p w14:paraId="5BA1D0B9" w14:textId="77777777" w:rsidR="00FA00AE" w:rsidRDefault="00FA00AE" w:rsidP="00FD0B28">
      <w:pPr>
        <w:widowControl w:val="0"/>
        <w:autoSpaceDE w:val="0"/>
        <w:autoSpaceDN w:val="0"/>
        <w:rPr>
          <w:rFonts w:eastAsia="Arial" w:cs="Arial"/>
          <w:lang w:val="en-US"/>
        </w:rPr>
      </w:pPr>
    </w:p>
    <w:p w14:paraId="69D13135" w14:textId="77777777" w:rsidR="00FD0B28" w:rsidRPr="00C27805" w:rsidRDefault="00FD0B28" w:rsidP="00FD0B28">
      <w:pPr>
        <w:widowControl w:val="0"/>
        <w:autoSpaceDE w:val="0"/>
        <w:autoSpaceDN w:val="0"/>
        <w:rPr>
          <w:rFonts w:eastAsia="Arial" w:cs="Arial"/>
          <w:lang w:val="en-US"/>
        </w:rPr>
      </w:pPr>
      <w:r w:rsidRPr="00C27805">
        <w:rPr>
          <w:rFonts w:eastAsia="Arial" w:cs="Arial"/>
          <w:lang w:val="en-US"/>
        </w:rPr>
        <w:t>During</w:t>
      </w:r>
      <w:r w:rsidRPr="00C27805">
        <w:rPr>
          <w:rFonts w:eastAsia="Arial" w:cs="Arial"/>
          <w:spacing w:val="-14"/>
          <w:lang w:val="en-US"/>
        </w:rPr>
        <w:t xml:space="preserve"> </w:t>
      </w:r>
      <w:r w:rsidRPr="00C27805">
        <w:rPr>
          <w:rFonts w:eastAsia="Arial" w:cs="Arial"/>
          <w:lang w:val="en-US"/>
        </w:rPr>
        <w:t>2024,</w:t>
      </w:r>
      <w:r w:rsidRPr="00C27805">
        <w:rPr>
          <w:rFonts w:eastAsia="Arial" w:cs="Arial"/>
          <w:spacing w:val="-16"/>
          <w:lang w:val="en-US"/>
        </w:rPr>
        <w:t xml:space="preserve"> </w:t>
      </w:r>
      <w:r w:rsidRPr="00C27805">
        <w:rPr>
          <w:rFonts w:eastAsia="Arial" w:cs="Arial"/>
          <w:lang w:val="en-US"/>
        </w:rPr>
        <w:t>the</w:t>
      </w:r>
      <w:r w:rsidRPr="00C27805">
        <w:rPr>
          <w:rFonts w:eastAsia="Arial" w:cs="Arial"/>
          <w:spacing w:val="-16"/>
          <w:lang w:val="en-US"/>
        </w:rPr>
        <w:t xml:space="preserve"> </w:t>
      </w:r>
      <w:r w:rsidRPr="00C27805">
        <w:rPr>
          <w:rFonts w:eastAsia="Arial" w:cs="Arial"/>
          <w:lang w:val="en-US"/>
        </w:rPr>
        <w:t>replacement</w:t>
      </w:r>
      <w:r w:rsidRPr="00C27805">
        <w:rPr>
          <w:rFonts w:eastAsia="Arial" w:cs="Arial"/>
          <w:spacing w:val="-14"/>
          <w:lang w:val="en-US"/>
        </w:rPr>
        <w:t xml:space="preserve"> </w:t>
      </w:r>
      <w:r w:rsidRPr="00C27805">
        <w:rPr>
          <w:rFonts w:eastAsia="Arial" w:cs="Arial"/>
          <w:lang w:val="en-US"/>
        </w:rPr>
        <w:t>of</w:t>
      </w:r>
      <w:r w:rsidRPr="00C27805">
        <w:rPr>
          <w:rFonts w:eastAsia="Arial" w:cs="Arial"/>
          <w:spacing w:val="-16"/>
          <w:lang w:val="en-US"/>
        </w:rPr>
        <w:t xml:space="preserve"> </w:t>
      </w:r>
      <w:r w:rsidRPr="00C27805">
        <w:rPr>
          <w:rFonts w:eastAsia="Arial" w:cs="Arial"/>
          <w:lang w:val="en-US"/>
        </w:rPr>
        <w:t>the</w:t>
      </w:r>
      <w:r w:rsidRPr="00C27805">
        <w:rPr>
          <w:rFonts w:eastAsia="Arial" w:cs="Arial"/>
          <w:spacing w:val="-14"/>
          <w:lang w:val="en-US"/>
        </w:rPr>
        <w:t xml:space="preserve"> </w:t>
      </w:r>
      <w:r w:rsidRPr="00C27805">
        <w:rPr>
          <w:rFonts w:eastAsia="Arial" w:cs="Arial"/>
          <w:lang w:val="en-US"/>
        </w:rPr>
        <w:t>PCs</w:t>
      </w:r>
      <w:r w:rsidRPr="00C27805">
        <w:rPr>
          <w:rFonts w:eastAsia="Arial" w:cs="Arial"/>
          <w:spacing w:val="-14"/>
          <w:lang w:val="en-US"/>
        </w:rPr>
        <w:t xml:space="preserve"> </w:t>
      </w:r>
      <w:r w:rsidRPr="00C27805">
        <w:rPr>
          <w:rFonts w:eastAsia="Arial" w:cs="Arial"/>
          <w:lang w:val="en-US"/>
        </w:rPr>
        <w:t>of</w:t>
      </w:r>
      <w:r w:rsidRPr="00C27805">
        <w:rPr>
          <w:rFonts w:eastAsia="Arial" w:cs="Arial"/>
          <w:spacing w:val="-16"/>
          <w:lang w:val="en-US"/>
        </w:rPr>
        <w:t xml:space="preserve"> </w:t>
      </w:r>
      <w:r w:rsidRPr="00C27805">
        <w:rPr>
          <w:rFonts w:eastAsia="Arial" w:cs="Arial"/>
          <w:lang w:val="en-US"/>
        </w:rPr>
        <w:t>the</w:t>
      </w:r>
      <w:r w:rsidRPr="00C27805">
        <w:rPr>
          <w:rFonts w:eastAsia="Arial" w:cs="Arial"/>
          <w:spacing w:val="-14"/>
          <w:lang w:val="en-US"/>
        </w:rPr>
        <w:t xml:space="preserve"> </w:t>
      </w:r>
      <w:r w:rsidRPr="00C27805">
        <w:rPr>
          <w:rFonts w:eastAsia="Arial" w:cs="Arial"/>
          <w:lang w:val="en-US"/>
        </w:rPr>
        <w:t>Ticket</w:t>
      </w:r>
      <w:r w:rsidRPr="00C27805">
        <w:rPr>
          <w:rFonts w:eastAsia="Arial" w:cs="Arial"/>
          <w:spacing w:val="-14"/>
          <w:lang w:val="en-US"/>
        </w:rPr>
        <w:t xml:space="preserve"> </w:t>
      </w:r>
      <w:r w:rsidRPr="00C27805">
        <w:rPr>
          <w:rFonts w:eastAsia="Arial" w:cs="Arial"/>
          <w:lang w:val="en-US"/>
        </w:rPr>
        <w:t>Vending</w:t>
      </w:r>
      <w:r w:rsidRPr="00C27805">
        <w:rPr>
          <w:rFonts w:eastAsia="Arial" w:cs="Arial"/>
          <w:spacing w:val="-14"/>
          <w:lang w:val="en-US"/>
        </w:rPr>
        <w:t xml:space="preserve"> </w:t>
      </w:r>
      <w:r w:rsidRPr="00C27805">
        <w:rPr>
          <w:rFonts w:eastAsia="Arial" w:cs="Arial"/>
          <w:lang w:val="en-US"/>
        </w:rPr>
        <w:t>Machines</w:t>
      </w:r>
      <w:r w:rsidRPr="00C27805">
        <w:rPr>
          <w:rFonts w:eastAsia="Arial" w:cs="Arial"/>
          <w:spacing w:val="-14"/>
          <w:lang w:val="en-US"/>
        </w:rPr>
        <w:t xml:space="preserve"> </w:t>
      </w:r>
      <w:r w:rsidRPr="00C27805">
        <w:rPr>
          <w:rFonts w:eastAsia="Arial" w:cs="Arial"/>
          <w:lang w:val="en-US"/>
        </w:rPr>
        <w:t>(TVMs)</w:t>
      </w:r>
      <w:r w:rsidRPr="00C27805">
        <w:rPr>
          <w:rFonts w:eastAsia="Arial" w:cs="Arial"/>
          <w:spacing w:val="-14"/>
          <w:lang w:val="en-US"/>
        </w:rPr>
        <w:t xml:space="preserve"> </w:t>
      </w:r>
      <w:r w:rsidRPr="00C27805">
        <w:rPr>
          <w:rFonts w:eastAsia="Arial" w:cs="Arial"/>
          <w:lang w:val="en-US"/>
        </w:rPr>
        <w:t>was</w:t>
      </w:r>
      <w:r w:rsidRPr="00C27805">
        <w:rPr>
          <w:rFonts w:eastAsia="Arial" w:cs="Arial"/>
          <w:spacing w:val="-14"/>
          <w:lang w:val="en-US"/>
        </w:rPr>
        <w:t xml:space="preserve"> </w:t>
      </w:r>
      <w:r w:rsidRPr="00C27805">
        <w:rPr>
          <w:rFonts w:eastAsia="Arial" w:cs="Arial"/>
          <w:lang w:val="en-US"/>
        </w:rPr>
        <w:t>also</w:t>
      </w:r>
      <w:r w:rsidRPr="00C27805">
        <w:rPr>
          <w:rFonts w:eastAsia="Arial" w:cs="Arial"/>
          <w:spacing w:val="-14"/>
          <w:lang w:val="en-US"/>
        </w:rPr>
        <w:t xml:space="preserve"> </w:t>
      </w:r>
      <w:r w:rsidRPr="00C27805">
        <w:rPr>
          <w:rFonts w:eastAsia="Arial" w:cs="Arial"/>
          <w:lang w:val="en-US"/>
        </w:rPr>
        <w:t>completed</w:t>
      </w:r>
      <w:r w:rsidRPr="00C27805">
        <w:rPr>
          <w:rFonts w:eastAsia="Arial" w:cs="Arial"/>
          <w:spacing w:val="-14"/>
          <w:lang w:val="en-US"/>
        </w:rPr>
        <w:t xml:space="preserve"> </w:t>
      </w:r>
      <w:r w:rsidRPr="00C27805">
        <w:rPr>
          <w:rFonts w:eastAsia="Arial" w:cs="Arial"/>
          <w:lang w:val="en-US"/>
        </w:rPr>
        <w:t>due</w:t>
      </w:r>
      <w:r w:rsidRPr="00C27805">
        <w:rPr>
          <w:rFonts w:eastAsia="Arial" w:cs="Arial"/>
          <w:spacing w:val="-14"/>
          <w:lang w:val="en-US"/>
        </w:rPr>
        <w:t xml:space="preserve"> </w:t>
      </w:r>
      <w:r w:rsidRPr="00C27805">
        <w:rPr>
          <w:rFonts w:eastAsia="Arial" w:cs="Arial"/>
          <w:lang w:val="en-US"/>
        </w:rPr>
        <w:t>to</w:t>
      </w:r>
      <w:r w:rsidRPr="00C27805">
        <w:rPr>
          <w:rFonts w:eastAsia="Arial" w:cs="Arial"/>
          <w:spacing w:val="-14"/>
          <w:lang w:val="en-US"/>
        </w:rPr>
        <w:t xml:space="preserve"> </w:t>
      </w:r>
      <w:r w:rsidRPr="00C27805">
        <w:rPr>
          <w:rFonts w:eastAsia="Arial" w:cs="Arial"/>
          <w:lang w:val="en-US"/>
        </w:rPr>
        <w:t>them</w:t>
      </w:r>
      <w:r w:rsidRPr="00C27805">
        <w:rPr>
          <w:rFonts w:eastAsia="Arial" w:cs="Arial"/>
          <w:spacing w:val="-15"/>
          <w:lang w:val="en-US"/>
        </w:rPr>
        <w:t xml:space="preserve"> </w:t>
      </w:r>
      <w:r w:rsidRPr="00C27805">
        <w:rPr>
          <w:rFonts w:eastAsia="Arial" w:cs="Arial"/>
          <w:lang w:val="en-US"/>
        </w:rPr>
        <w:t>reaching the end of their lifecycle.</w:t>
      </w:r>
    </w:p>
    <w:p w14:paraId="19599C97" w14:textId="77777777" w:rsidR="00FD0B28" w:rsidRPr="00C27805" w:rsidRDefault="00FD0B28" w:rsidP="00A5227C">
      <w:pPr>
        <w:widowControl w:val="0"/>
        <w:numPr>
          <w:ilvl w:val="0"/>
          <w:numId w:val="45"/>
        </w:numPr>
        <w:tabs>
          <w:tab w:val="left" w:pos="808"/>
        </w:tabs>
        <w:autoSpaceDE w:val="0"/>
        <w:autoSpaceDN w:val="0"/>
        <w:spacing w:line="235" w:lineRule="auto"/>
        <w:ind w:left="817" w:hanging="363"/>
        <w:jc w:val="both"/>
        <w:rPr>
          <w:rFonts w:eastAsia="Arial" w:cs="Arial"/>
          <w:szCs w:val="22"/>
          <w:lang w:val="en-US"/>
        </w:rPr>
      </w:pPr>
      <w:r w:rsidRPr="00C27805">
        <w:rPr>
          <w:rFonts w:eastAsia="Arial" w:cs="Arial"/>
          <w:szCs w:val="22"/>
          <w:lang w:val="en-US"/>
        </w:rPr>
        <w:t>Tram modification activities that started in 2022 were also completed in 2024 by CAF. CAF is currently focusing on resolving some minor snags. The tram modifications completed were:</w:t>
      </w:r>
    </w:p>
    <w:p w14:paraId="1DD91AA2" w14:textId="77777777" w:rsidR="00FD0B28" w:rsidRPr="00C27805" w:rsidRDefault="00FD0B28" w:rsidP="00A5227C">
      <w:pPr>
        <w:widowControl w:val="0"/>
        <w:numPr>
          <w:ilvl w:val="1"/>
          <w:numId w:val="45"/>
        </w:numPr>
        <w:tabs>
          <w:tab w:val="left" w:pos="1181"/>
        </w:tabs>
        <w:autoSpaceDE w:val="0"/>
        <w:autoSpaceDN w:val="0"/>
        <w:ind w:left="1211"/>
        <w:jc w:val="both"/>
        <w:rPr>
          <w:rFonts w:eastAsia="Arial" w:cs="Arial"/>
          <w:szCs w:val="22"/>
          <w:lang w:val="en-US"/>
        </w:rPr>
      </w:pPr>
      <w:r w:rsidRPr="00C27805">
        <w:rPr>
          <w:rFonts w:eastAsia="Arial" w:cs="Arial"/>
          <w:szCs w:val="22"/>
          <w:lang w:val="en-US"/>
        </w:rPr>
        <w:t>The</w:t>
      </w:r>
      <w:r w:rsidRPr="00C27805">
        <w:rPr>
          <w:rFonts w:eastAsia="Arial" w:cs="Arial"/>
          <w:spacing w:val="-8"/>
          <w:szCs w:val="22"/>
          <w:lang w:val="en-US"/>
        </w:rPr>
        <w:t xml:space="preserve"> </w:t>
      </w:r>
      <w:r w:rsidRPr="00C27805">
        <w:rPr>
          <w:rFonts w:eastAsia="Arial" w:cs="Arial"/>
          <w:szCs w:val="22"/>
          <w:lang w:val="en-US"/>
        </w:rPr>
        <w:t>replacement</w:t>
      </w:r>
      <w:r w:rsidRPr="00C27805">
        <w:rPr>
          <w:rFonts w:eastAsia="Arial" w:cs="Arial"/>
          <w:spacing w:val="-4"/>
          <w:szCs w:val="22"/>
          <w:lang w:val="en-US"/>
        </w:rPr>
        <w:t xml:space="preserve"> </w:t>
      </w:r>
      <w:r w:rsidRPr="00C27805">
        <w:rPr>
          <w:rFonts w:eastAsia="Arial" w:cs="Arial"/>
          <w:szCs w:val="22"/>
          <w:lang w:val="en-US"/>
        </w:rPr>
        <w:t>of</w:t>
      </w:r>
      <w:r w:rsidRPr="00C27805">
        <w:rPr>
          <w:rFonts w:eastAsia="Arial" w:cs="Arial"/>
          <w:spacing w:val="-7"/>
          <w:szCs w:val="22"/>
          <w:lang w:val="en-US"/>
        </w:rPr>
        <w:t xml:space="preserve"> </w:t>
      </w:r>
      <w:r w:rsidRPr="00C27805">
        <w:rPr>
          <w:rFonts w:eastAsia="Arial" w:cs="Arial"/>
          <w:szCs w:val="22"/>
          <w:lang w:val="en-US"/>
        </w:rPr>
        <w:t>the</w:t>
      </w:r>
      <w:r w:rsidRPr="00C27805">
        <w:rPr>
          <w:rFonts w:eastAsia="Arial" w:cs="Arial"/>
          <w:spacing w:val="-6"/>
          <w:szCs w:val="22"/>
          <w:lang w:val="en-US"/>
        </w:rPr>
        <w:t xml:space="preserve"> </w:t>
      </w:r>
      <w:r w:rsidRPr="00C27805">
        <w:rPr>
          <w:rFonts w:eastAsia="Arial" w:cs="Arial"/>
          <w:szCs w:val="22"/>
          <w:lang w:val="en-US"/>
        </w:rPr>
        <w:t>Passenger</w:t>
      </w:r>
      <w:r w:rsidRPr="00C27805">
        <w:rPr>
          <w:rFonts w:eastAsia="Arial" w:cs="Arial"/>
          <w:spacing w:val="-6"/>
          <w:szCs w:val="22"/>
          <w:lang w:val="en-US"/>
        </w:rPr>
        <w:t xml:space="preserve"> </w:t>
      </w:r>
      <w:r w:rsidRPr="00C27805">
        <w:rPr>
          <w:rFonts w:eastAsia="Arial" w:cs="Arial"/>
          <w:szCs w:val="22"/>
          <w:lang w:val="en-US"/>
        </w:rPr>
        <w:t>Information</w:t>
      </w:r>
      <w:r w:rsidRPr="00C27805">
        <w:rPr>
          <w:rFonts w:eastAsia="Arial" w:cs="Arial"/>
          <w:spacing w:val="-7"/>
          <w:szCs w:val="22"/>
          <w:lang w:val="en-US"/>
        </w:rPr>
        <w:t xml:space="preserve"> </w:t>
      </w:r>
      <w:r w:rsidRPr="00C27805">
        <w:rPr>
          <w:rFonts w:eastAsia="Arial" w:cs="Arial"/>
          <w:szCs w:val="22"/>
          <w:lang w:val="en-US"/>
        </w:rPr>
        <w:t>Displays</w:t>
      </w:r>
      <w:r w:rsidRPr="00C27805">
        <w:rPr>
          <w:rFonts w:eastAsia="Arial" w:cs="Arial"/>
          <w:spacing w:val="-7"/>
          <w:szCs w:val="22"/>
          <w:lang w:val="en-US"/>
        </w:rPr>
        <w:t xml:space="preserve"> </w:t>
      </w:r>
      <w:r w:rsidRPr="00C27805">
        <w:rPr>
          <w:rFonts w:eastAsia="Arial" w:cs="Arial"/>
          <w:szCs w:val="22"/>
          <w:lang w:val="en-US"/>
        </w:rPr>
        <w:t>(PISPASPA)</w:t>
      </w:r>
      <w:r w:rsidRPr="00C27805">
        <w:rPr>
          <w:rFonts w:eastAsia="Arial" w:cs="Arial"/>
          <w:spacing w:val="-7"/>
          <w:szCs w:val="22"/>
          <w:lang w:val="en-US"/>
        </w:rPr>
        <w:t xml:space="preserve"> </w:t>
      </w:r>
      <w:r w:rsidRPr="00C27805">
        <w:rPr>
          <w:rFonts w:eastAsia="Arial" w:cs="Arial"/>
          <w:szCs w:val="22"/>
          <w:lang w:val="en-US"/>
        </w:rPr>
        <w:t>and</w:t>
      </w:r>
      <w:r w:rsidRPr="00C27805">
        <w:rPr>
          <w:rFonts w:eastAsia="Arial" w:cs="Arial"/>
          <w:spacing w:val="-6"/>
          <w:szCs w:val="22"/>
          <w:lang w:val="en-US"/>
        </w:rPr>
        <w:t xml:space="preserve"> </w:t>
      </w:r>
      <w:r w:rsidRPr="00C27805">
        <w:rPr>
          <w:rFonts w:eastAsia="Arial" w:cs="Arial"/>
          <w:szCs w:val="22"/>
          <w:lang w:val="en-US"/>
        </w:rPr>
        <w:t>internal</w:t>
      </w:r>
      <w:r w:rsidRPr="00C27805">
        <w:rPr>
          <w:rFonts w:eastAsia="Arial" w:cs="Arial"/>
          <w:spacing w:val="-9"/>
          <w:szCs w:val="22"/>
          <w:lang w:val="en-US"/>
        </w:rPr>
        <w:t xml:space="preserve"> </w:t>
      </w:r>
      <w:r w:rsidRPr="00C27805">
        <w:rPr>
          <w:rFonts w:eastAsia="Arial" w:cs="Arial"/>
          <w:szCs w:val="22"/>
          <w:lang w:val="en-US"/>
        </w:rPr>
        <w:t>and</w:t>
      </w:r>
      <w:r w:rsidRPr="00C27805">
        <w:rPr>
          <w:rFonts w:eastAsia="Arial" w:cs="Arial"/>
          <w:spacing w:val="-8"/>
          <w:szCs w:val="22"/>
          <w:lang w:val="en-US"/>
        </w:rPr>
        <w:t xml:space="preserve"> </w:t>
      </w:r>
      <w:r w:rsidRPr="00C27805">
        <w:rPr>
          <w:rFonts w:eastAsia="Arial" w:cs="Arial"/>
          <w:szCs w:val="22"/>
          <w:lang w:val="en-US"/>
        </w:rPr>
        <w:t>external</w:t>
      </w:r>
      <w:r w:rsidRPr="00C27805">
        <w:rPr>
          <w:rFonts w:eastAsia="Arial" w:cs="Arial"/>
          <w:spacing w:val="-5"/>
          <w:szCs w:val="22"/>
          <w:lang w:val="en-US"/>
        </w:rPr>
        <w:t xml:space="preserve"> </w:t>
      </w:r>
      <w:r w:rsidRPr="00C27805">
        <w:rPr>
          <w:rFonts w:eastAsia="Arial" w:cs="Arial"/>
          <w:spacing w:val="-2"/>
          <w:szCs w:val="22"/>
          <w:lang w:val="en-US"/>
        </w:rPr>
        <w:t>CCTV.</w:t>
      </w:r>
    </w:p>
    <w:p w14:paraId="2CDF8129" w14:textId="77777777" w:rsidR="00FD0B28" w:rsidRPr="00C27805" w:rsidRDefault="00FD0B28" w:rsidP="00A5227C">
      <w:pPr>
        <w:widowControl w:val="0"/>
        <w:numPr>
          <w:ilvl w:val="1"/>
          <w:numId w:val="45"/>
        </w:numPr>
        <w:tabs>
          <w:tab w:val="left" w:pos="1180"/>
        </w:tabs>
        <w:autoSpaceDE w:val="0"/>
        <w:autoSpaceDN w:val="0"/>
        <w:ind w:left="1211"/>
        <w:jc w:val="both"/>
        <w:rPr>
          <w:rFonts w:eastAsia="Arial" w:cs="Arial"/>
          <w:szCs w:val="22"/>
          <w:lang w:val="en-US"/>
        </w:rPr>
      </w:pPr>
      <w:r w:rsidRPr="00C27805">
        <w:rPr>
          <w:rFonts w:eastAsia="Arial" w:cs="Arial"/>
          <w:szCs w:val="22"/>
          <w:lang w:val="en-US"/>
        </w:rPr>
        <w:t>The</w:t>
      </w:r>
      <w:r w:rsidRPr="00C27805">
        <w:rPr>
          <w:rFonts w:eastAsia="Arial" w:cs="Arial"/>
          <w:spacing w:val="78"/>
          <w:szCs w:val="22"/>
          <w:lang w:val="en-US"/>
        </w:rPr>
        <w:t xml:space="preserve"> </w:t>
      </w:r>
      <w:r w:rsidRPr="00C27805">
        <w:rPr>
          <w:rFonts w:eastAsia="Arial" w:cs="Arial"/>
          <w:szCs w:val="22"/>
          <w:lang w:val="en-US"/>
        </w:rPr>
        <w:t>installation</w:t>
      </w:r>
      <w:r w:rsidRPr="00C27805">
        <w:rPr>
          <w:rFonts w:eastAsia="Arial" w:cs="Arial"/>
          <w:spacing w:val="78"/>
          <w:szCs w:val="22"/>
          <w:lang w:val="en-US"/>
        </w:rPr>
        <w:t xml:space="preserve"> </w:t>
      </w:r>
      <w:r w:rsidRPr="00C27805">
        <w:rPr>
          <w:rFonts w:eastAsia="Arial" w:cs="Arial"/>
          <w:szCs w:val="22"/>
          <w:lang w:val="en-US"/>
        </w:rPr>
        <w:t>of</w:t>
      </w:r>
      <w:r w:rsidRPr="00C27805">
        <w:rPr>
          <w:rFonts w:eastAsia="Arial" w:cs="Arial"/>
          <w:spacing w:val="80"/>
          <w:szCs w:val="22"/>
          <w:lang w:val="en-US"/>
        </w:rPr>
        <w:t xml:space="preserve"> </w:t>
      </w:r>
      <w:r w:rsidRPr="00C27805">
        <w:rPr>
          <w:rFonts w:eastAsia="Arial" w:cs="Arial"/>
          <w:szCs w:val="22"/>
          <w:lang w:val="en-US"/>
        </w:rPr>
        <w:t>an</w:t>
      </w:r>
      <w:r w:rsidRPr="00C27805">
        <w:rPr>
          <w:rFonts w:eastAsia="Arial" w:cs="Arial"/>
          <w:spacing w:val="80"/>
          <w:szCs w:val="22"/>
          <w:lang w:val="en-US"/>
        </w:rPr>
        <w:t xml:space="preserve"> </w:t>
      </w:r>
      <w:r w:rsidRPr="00C27805">
        <w:rPr>
          <w:rFonts w:eastAsia="Arial" w:cs="Arial"/>
          <w:szCs w:val="22"/>
          <w:lang w:val="en-US"/>
        </w:rPr>
        <w:t>automated</w:t>
      </w:r>
      <w:r w:rsidRPr="00C27805">
        <w:rPr>
          <w:rFonts w:eastAsia="Arial" w:cs="Arial"/>
          <w:spacing w:val="80"/>
          <w:szCs w:val="22"/>
          <w:lang w:val="en-US"/>
        </w:rPr>
        <w:t xml:space="preserve"> </w:t>
      </w:r>
      <w:r w:rsidRPr="00C27805">
        <w:rPr>
          <w:rFonts w:eastAsia="Arial" w:cs="Arial"/>
          <w:szCs w:val="22"/>
          <w:lang w:val="en-US"/>
        </w:rPr>
        <w:t>braking</w:t>
      </w:r>
      <w:r w:rsidRPr="00C27805">
        <w:rPr>
          <w:rFonts w:eastAsia="Arial" w:cs="Arial"/>
          <w:spacing w:val="78"/>
          <w:szCs w:val="22"/>
          <w:lang w:val="en-US"/>
        </w:rPr>
        <w:t xml:space="preserve"> </w:t>
      </w:r>
      <w:r w:rsidRPr="00C27805">
        <w:rPr>
          <w:rFonts w:eastAsia="Arial" w:cs="Arial"/>
          <w:szCs w:val="22"/>
          <w:lang w:val="en-US"/>
        </w:rPr>
        <w:t>system</w:t>
      </w:r>
      <w:r w:rsidRPr="00C27805">
        <w:rPr>
          <w:rFonts w:eastAsia="Arial" w:cs="Arial"/>
          <w:spacing w:val="80"/>
          <w:szCs w:val="22"/>
          <w:lang w:val="en-US"/>
        </w:rPr>
        <w:t xml:space="preserve"> </w:t>
      </w:r>
      <w:r w:rsidRPr="00C27805">
        <w:rPr>
          <w:rFonts w:eastAsia="Arial" w:cs="Arial"/>
          <w:szCs w:val="22"/>
          <w:lang w:val="en-US"/>
        </w:rPr>
        <w:t>(Leadmind)</w:t>
      </w:r>
      <w:r w:rsidRPr="00C27805">
        <w:rPr>
          <w:rFonts w:eastAsia="Arial" w:cs="Arial"/>
          <w:spacing w:val="79"/>
          <w:szCs w:val="22"/>
          <w:lang w:val="en-US"/>
        </w:rPr>
        <w:t xml:space="preserve"> </w:t>
      </w:r>
      <w:r w:rsidRPr="00C27805">
        <w:rPr>
          <w:rFonts w:eastAsia="Arial" w:cs="Arial"/>
          <w:szCs w:val="22"/>
          <w:lang w:val="en-US"/>
        </w:rPr>
        <w:t>in</w:t>
      </w:r>
      <w:r w:rsidRPr="00C27805">
        <w:rPr>
          <w:rFonts w:eastAsia="Arial" w:cs="Arial"/>
          <w:spacing w:val="78"/>
          <w:szCs w:val="22"/>
          <w:lang w:val="en-US"/>
        </w:rPr>
        <w:t xml:space="preserve"> </w:t>
      </w:r>
      <w:r w:rsidRPr="00C27805">
        <w:rPr>
          <w:rFonts w:eastAsia="Arial" w:cs="Arial"/>
          <w:szCs w:val="22"/>
          <w:lang w:val="en-US"/>
        </w:rPr>
        <w:t>response</w:t>
      </w:r>
      <w:r w:rsidRPr="00C27805">
        <w:rPr>
          <w:rFonts w:eastAsia="Arial" w:cs="Arial"/>
          <w:spacing w:val="79"/>
          <w:szCs w:val="22"/>
          <w:lang w:val="en-US"/>
        </w:rPr>
        <w:t xml:space="preserve"> </w:t>
      </w:r>
      <w:r w:rsidRPr="00C27805">
        <w:rPr>
          <w:rFonts w:eastAsia="Arial" w:cs="Arial"/>
          <w:szCs w:val="22"/>
          <w:lang w:val="en-US"/>
        </w:rPr>
        <w:t>to</w:t>
      </w:r>
      <w:r w:rsidRPr="00C27805">
        <w:rPr>
          <w:rFonts w:eastAsia="Arial" w:cs="Arial"/>
          <w:spacing w:val="77"/>
          <w:szCs w:val="22"/>
          <w:lang w:val="en-US"/>
        </w:rPr>
        <w:t xml:space="preserve"> </w:t>
      </w:r>
      <w:r w:rsidRPr="00C27805">
        <w:rPr>
          <w:rFonts w:eastAsia="Arial" w:cs="Arial"/>
          <w:szCs w:val="22"/>
          <w:lang w:val="en-US"/>
        </w:rPr>
        <w:t>the</w:t>
      </w:r>
      <w:r w:rsidRPr="00C27805">
        <w:rPr>
          <w:rFonts w:eastAsia="Arial" w:cs="Arial"/>
          <w:spacing w:val="78"/>
          <w:szCs w:val="22"/>
          <w:lang w:val="en-US"/>
        </w:rPr>
        <w:t xml:space="preserve"> </w:t>
      </w:r>
      <w:r w:rsidRPr="00C27805">
        <w:rPr>
          <w:rFonts w:eastAsia="Arial" w:cs="Arial"/>
          <w:szCs w:val="22"/>
          <w:lang w:val="en-US"/>
        </w:rPr>
        <w:t>RAIB</w:t>
      </w:r>
      <w:r w:rsidRPr="00C27805">
        <w:rPr>
          <w:rFonts w:eastAsia="Arial" w:cs="Arial"/>
          <w:spacing w:val="78"/>
          <w:szCs w:val="22"/>
          <w:lang w:val="en-US"/>
        </w:rPr>
        <w:t xml:space="preserve"> </w:t>
      </w:r>
      <w:r w:rsidRPr="00C27805">
        <w:rPr>
          <w:rFonts w:eastAsia="Arial" w:cs="Arial"/>
          <w:szCs w:val="22"/>
          <w:lang w:val="en-US"/>
        </w:rPr>
        <w:t xml:space="preserve">Sandilands </w:t>
      </w:r>
      <w:r w:rsidRPr="00C27805">
        <w:rPr>
          <w:rFonts w:eastAsia="Arial" w:cs="Arial"/>
          <w:spacing w:val="-2"/>
          <w:szCs w:val="22"/>
          <w:lang w:val="en-US"/>
        </w:rPr>
        <w:t>recommendations.</w:t>
      </w:r>
    </w:p>
    <w:p w14:paraId="156AC03D" w14:textId="77777777" w:rsidR="00FD0B28" w:rsidRPr="00C27805" w:rsidRDefault="00FD0B28" w:rsidP="00A5227C">
      <w:pPr>
        <w:widowControl w:val="0"/>
        <w:numPr>
          <w:ilvl w:val="1"/>
          <w:numId w:val="45"/>
        </w:numPr>
        <w:tabs>
          <w:tab w:val="left" w:pos="1180"/>
        </w:tabs>
        <w:autoSpaceDE w:val="0"/>
        <w:autoSpaceDN w:val="0"/>
        <w:ind w:left="1211"/>
        <w:jc w:val="both"/>
        <w:rPr>
          <w:rFonts w:eastAsia="Arial" w:cs="Arial"/>
          <w:szCs w:val="22"/>
          <w:lang w:val="en-US"/>
        </w:rPr>
      </w:pPr>
      <w:r w:rsidRPr="00C27805">
        <w:rPr>
          <w:rFonts w:eastAsia="Arial" w:cs="Arial"/>
          <w:szCs w:val="22"/>
          <w:lang w:val="en-US"/>
        </w:rPr>
        <w:t>The installation of emergency exit lights in the single and double doors of the tram in response to the RAIB Sandilands recommendations.</w:t>
      </w:r>
    </w:p>
    <w:p w14:paraId="3B5D9C6F" w14:textId="77777777" w:rsidR="00FD0B28" w:rsidRPr="00C27805" w:rsidRDefault="00FD0B28" w:rsidP="00A5227C">
      <w:pPr>
        <w:widowControl w:val="0"/>
        <w:numPr>
          <w:ilvl w:val="0"/>
          <w:numId w:val="45"/>
        </w:numPr>
        <w:tabs>
          <w:tab w:val="left" w:pos="952"/>
        </w:tabs>
        <w:autoSpaceDE w:val="0"/>
        <w:autoSpaceDN w:val="0"/>
        <w:spacing w:line="235" w:lineRule="auto"/>
        <w:ind w:left="928"/>
        <w:rPr>
          <w:rFonts w:eastAsia="Arial" w:cs="Arial"/>
          <w:szCs w:val="22"/>
          <w:lang w:val="en-US"/>
        </w:rPr>
      </w:pPr>
      <w:r w:rsidRPr="00C27805">
        <w:rPr>
          <w:rFonts w:eastAsia="Arial" w:cs="Arial"/>
          <w:szCs w:val="22"/>
          <w:lang w:val="en-US"/>
        </w:rPr>
        <w:t>The replacement of the depot boiler and gas fire water heater were completed due to both assets reaching the end of their lifecycle.</w:t>
      </w:r>
    </w:p>
    <w:p w14:paraId="1147119D" w14:textId="77777777" w:rsidR="00FD0B28" w:rsidRPr="001A0C8D" w:rsidRDefault="00FD0B28" w:rsidP="00FD0B28">
      <w:pPr>
        <w:widowControl w:val="0"/>
        <w:kinsoku w:val="0"/>
        <w:overflowPunct w:val="0"/>
        <w:autoSpaceDE w:val="0"/>
        <w:autoSpaceDN w:val="0"/>
        <w:adjustRightInd w:val="0"/>
        <w:rPr>
          <w:rFonts w:cs="Arial"/>
          <w:sz w:val="12"/>
          <w:szCs w:val="12"/>
          <w:highlight w:val="yellow"/>
          <w:lang w:eastAsia="en-GB"/>
        </w:rPr>
      </w:pPr>
    </w:p>
    <w:p w14:paraId="6E7B6BDB" w14:textId="77777777" w:rsidR="00FD0B28" w:rsidRPr="001A0C8D" w:rsidRDefault="00FD0B28" w:rsidP="00FD0B28">
      <w:pPr>
        <w:widowControl w:val="0"/>
        <w:kinsoku w:val="0"/>
        <w:overflowPunct w:val="0"/>
        <w:autoSpaceDE w:val="0"/>
        <w:autoSpaceDN w:val="0"/>
        <w:adjustRightInd w:val="0"/>
        <w:jc w:val="both"/>
        <w:rPr>
          <w:rFonts w:cs="Arial"/>
          <w:lang w:eastAsia="en-GB"/>
        </w:rPr>
      </w:pPr>
      <w:r w:rsidRPr="001A0C8D">
        <w:rPr>
          <w:rFonts w:cs="Arial"/>
          <w:lang w:eastAsia="en-GB"/>
        </w:rPr>
        <w:t>In terms of internal projects, due to the increased number of staff due to</w:t>
      </w:r>
      <w:r w:rsidRPr="001A0C8D">
        <w:rPr>
          <w:rFonts w:cs="Arial"/>
          <w:spacing w:val="-11"/>
          <w:lang w:eastAsia="en-GB"/>
        </w:rPr>
        <w:t xml:space="preserve"> Trams to </w:t>
      </w:r>
      <w:r w:rsidRPr="001A0C8D">
        <w:rPr>
          <w:rFonts w:cs="Arial"/>
          <w:lang w:eastAsia="en-GB"/>
        </w:rPr>
        <w:t>Newhaven,</w:t>
      </w:r>
      <w:r w:rsidRPr="001A0C8D">
        <w:rPr>
          <w:rFonts w:cs="Arial"/>
          <w:spacing w:val="-8"/>
          <w:lang w:eastAsia="en-GB"/>
        </w:rPr>
        <w:t xml:space="preserve"> Edinburgh Trams </w:t>
      </w:r>
      <w:r w:rsidRPr="001A0C8D">
        <w:rPr>
          <w:rFonts w:cs="Arial"/>
          <w:lang w:eastAsia="en-GB"/>
        </w:rPr>
        <w:t>invested</w:t>
      </w:r>
      <w:r w:rsidRPr="001A0C8D">
        <w:rPr>
          <w:rFonts w:cs="Arial"/>
          <w:spacing w:val="-8"/>
          <w:lang w:eastAsia="en-GB"/>
        </w:rPr>
        <w:t xml:space="preserve"> </w:t>
      </w:r>
      <w:r w:rsidRPr="001A0C8D">
        <w:rPr>
          <w:rFonts w:cs="Arial"/>
          <w:lang w:eastAsia="en-GB"/>
        </w:rPr>
        <w:t>in</w:t>
      </w:r>
      <w:r w:rsidRPr="001A0C8D">
        <w:rPr>
          <w:rFonts w:cs="Arial"/>
          <w:spacing w:val="-10"/>
          <w:lang w:eastAsia="en-GB"/>
        </w:rPr>
        <w:t xml:space="preserve"> installing two meeting pods that can accommodate one person each. In 2023 Edinburgh Trams invested in </w:t>
      </w:r>
      <w:r w:rsidRPr="001A0C8D">
        <w:rPr>
          <w:rFonts w:cs="Arial"/>
          <w:lang w:eastAsia="en-GB"/>
        </w:rPr>
        <w:t>refurbishing</w:t>
      </w:r>
      <w:r w:rsidRPr="001A0C8D">
        <w:rPr>
          <w:rFonts w:cs="Arial"/>
          <w:spacing w:val="-9"/>
          <w:lang w:eastAsia="en-GB"/>
        </w:rPr>
        <w:t xml:space="preserve"> </w:t>
      </w:r>
      <w:r w:rsidRPr="001A0C8D">
        <w:rPr>
          <w:rFonts w:cs="Arial"/>
          <w:lang w:eastAsia="en-GB"/>
        </w:rPr>
        <w:t>the</w:t>
      </w:r>
      <w:r w:rsidRPr="001A0C8D">
        <w:rPr>
          <w:rFonts w:cs="Arial"/>
          <w:spacing w:val="-10"/>
          <w:lang w:eastAsia="en-GB"/>
        </w:rPr>
        <w:t xml:space="preserve"> First-Floor</w:t>
      </w:r>
      <w:r w:rsidRPr="001A0C8D">
        <w:rPr>
          <w:rFonts w:cs="Arial"/>
          <w:spacing w:val="-8"/>
          <w:lang w:eastAsia="en-GB"/>
        </w:rPr>
        <w:t xml:space="preserve"> </w:t>
      </w:r>
      <w:r w:rsidRPr="001A0C8D">
        <w:rPr>
          <w:rFonts w:cs="Arial"/>
          <w:lang w:eastAsia="en-GB"/>
        </w:rPr>
        <w:t>canteen and in 2024 the Ground Floor canteen was also refurbished.</w:t>
      </w:r>
      <w:r w:rsidRPr="001A0C8D">
        <w:rPr>
          <w:rFonts w:cs="Arial"/>
          <w:spacing w:val="-8"/>
          <w:lang w:eastAsia="en-GB"/>
        </w:rPr>
        <w:t xml:space="preserve"> Key changes were the increased seating capacity and capacity for staff to </w:t>
      </w:r>
      <w:r w:rsidRPr="001A0C8D">
        <w:rPr>
          <w:rFonts w:cs="Arial"/>
          <w:lang w:eastAsia="en-GB"/>
        </w:rPr>
        <w:t>prepare their meals and allow staff to take breaks comfortably.</w:t>
      </w:r>
    </w:p>
    <w:p w14:paraId="0FE596C4" w14:textId="77777777" w:rsidR="00FD0B28" w:rsidRPr="001A0C8D" w:rsidRDefault="00FD0B28" w:rsidP="00FD0B28">
      <w:pPr>
        <w:widowControl w:val="0"/>
        <w:kinsoku w:val="0"/>
        <w:overflowPunct w:val="0"/>
        <w:autoSpaceDE w:val="0"/>
        <w:autoSpaceDN w:val="0"/>
        <w:adjustRightInd w:val="0"/>
        <w:jc w:val="both"/>
        <w:rPr>
          <w:rFonts w:cs="Arial"/>
          <w:sz w:val="10"/>
          <w:szCs w:val="10"/>
          <w:lang w:eastAsia="en-GB"/>
        </w:rPr>
      </w:pPr>
    </w:p>
    <w:p w14:paraId="75D58763" w14:textId="77777777" w:rsidR="00FD0B28" w:rsidRDefault="00FD0B28" w:rsidP="00FD0B28">
      <w:pPr>
        <w:widowControl w:val="0"/>
        <w:kinsoku w:val="0"/>
        <w:overflowPunct w:val="0"/>
        <w:autoSpaceDE w:val="0"/>
        <w:autoSpaceDN w:val="0"/>
        <w:adjustRightInd w:val="0"/>
        <w:jc w:val="both"/>
        <w:rPr>
          <w:rFonts w:eastAsia="Arial" w:cs="Arial"/>
          <w:lang w:val="en-US"/>
        </w:rPr>
      </w:pPr>
      <w:r w:rsidRPr="001A0C8D">
        <w:rPr>
          <w:rFonts w:eastAsia="Arial" w:cs="Arial"/>
          <w:lang w:val="en-US"/>
        </w:rPr>
        <w:t>Another</w:t>
      </w:r>
      <w:r w:rsidRPr="001A0C8D">
        <w:rPr>
          <w:rFonts w:eastAsia="Arial" w:cs="Arial"/>
          <w:spacing w:val="-8"/>
          <w:lang w:val="en-US"/>
        </w:rPr>
        <w:t xml:space="preserve"> </w:t>
      </w:r>
      <w:r w:rsidRPr="001A0C8D">
        <w:rPr>
          <w:rFonts w:eastAsia="Arial" w:cs="Arial"/>
          <w:lang w:val="en-US"/>
        </w:rPr>
        <w:t>major</w:t>
      </w:r>
      <w:r w:rsidRPr="001A0C8D">
        <w:rPr>
          <w:rFonts w:eastAsia="Arial" w:cs="Arial"/>
          <w:spacing w:val="-8"/>
          <w:lang w:val="en-US"/>
        </w:rPr>
        <w:t xml:space="preserve"> </w:t>
      </w:r>
      <w:r w:rsidRPr="001A0C8D">
        <w:rPr>
          <w:rFonts w:eastAsia="Arial" w:cs="Arial"/>
          <w:lang w:val="en-US"/>
        </w:rPr>
        <w:t>project</w:t>
      </w:r>
      <w:r w:rsidRPr="001A0C8D">
        <w:rPr>
          <w:rFonts w:eastAsia="Arial" w:cs="Arial"/>
          <w:spacing w:val="-9"/>
          <w:lang w:val="en-US"/>
        </w:rPr>
        <w:t xml:space="preserve"> </w:t>
      </w:r>
      <w:r w:rsidRPr="001A0C8D">
        <w:rPr>
          <w:rFonts w:eastAsia="Arial" w:cs="Arial"/>
          <w:lang w:val="en-US"/>
        </w:rPr>
        <w:t>that</w:t>
      </w:r>
      <w:r w:rsidRPr="001A0C8D">
        <w:rPr>
          <w:rFonts w:eastAsia="Arial" w:cs="Arial"/>
          <w:spacing w:val="-5"/>
          <w:lang w:val="en-US"/>
        </w:rPr>
        <w:t xml:space="preserve"> </w:t>
      </w:r>
      <w:r w:rsidRPr="001A0C8D">
        <w:rPr>
          <w:rFonts w:eastAsia="Arial" w:cs="Arial"/>
          <w:lang w:val="en-US"/>
        </w:rPr>
        <w:t>was</w:t>
      </w:r>
      <w:r w:rsidRPr="001A0C8D">
        <w:rPr>
          <w:rFonts w:eastAsia="Arial" w:cs="Arial"/>
          <w:spacing w:val="-7"/>
          <w:lang w:val="en-US"/>
        </w:rPr>
        <w:t xml:space="preserve"> </w:t>
      </w:r>
      <w:r w:rsidRPr="001A0C8D">
        <w:rPr>
          <w:rFonts w:eastAsia="Arial" w:cs="Arial"/>
          <w:lang w:val="en-US"/>
        </w:rPr>
        <w:t>completed</w:t>
      </w:r>
      <w:r w:rsidRPr="001A0C8D">
        <w:rPr>
          <w:rFonts w:eastAsia="Arial" w:cs="Arial"/>
          <w:spacing w:val="-10"/>
          <w:lang w:val="en-US"/>
        </w:rPr>
        <w:t xml:space="preserve"> </w:t>
      </w:r>
      <w:r w:rsidRPr="001A0C8D">
        <w:rPr>
          <w:rFonts w:eastAsia="Arial" w:cs="Arial"/>
          <w:lang w:val="en-US"/>
        </w:rPr>
        <w:t>in</w:t>
      </w:r>
      <w:r w:rsidRPr="001A0C8D">
        <w:rPr>
          <w:rFonts w:eastAsia="Arial" w:cs="Arial"/>
          <w:spacing w:val="-9"/>
          <w:lang w:val="en-US"/>
        </w:rPr>
        <w:t xml:space="preserve"> </w:t>
      </w:r>
      <w:r w:rsidRPr="001A0C8D">
        <w:rPr>
          <w:rFonts w:eastAsia="Arial" w:cs="Arial"/>
          <w:lang w:val="en-US"/>
        </w:rPr>
        <w:t>2024</w:t>
      </w:r>
      <w:r w:rsidRPr="001A0C8D">
        <w:rPr>
          <w:rFonts w:eastAsia="Arial" w:cs="Arial"/>
          <w:spacing w:val="-9"/>
          <w:lang w:val="en-US"/>
        </w:rPr>
        <w:t xml:space="preserve"> </w:t>
      </w:r>
      <w:r w:rsidRPr="001A0C8D">
        <w:rPr>
          <w:rFonts w:eastAsia="Arial" w:cs="Arial"/>
          <w:lang w:val="en-US"/>
        </w:rPr>
        <w:t>was</w:t>
      </w:r>
      <w:r w:rsidRPr="001A0C8D">
        <w:rPr>
          <w:rFonts w:eastAsia="Arial" w:cs="Arial"/>
          <w:spacing w:val="-7"/>
          <w:lang w:val="en-US"/>
        </w:rPr>
        <w:t xml:space="preserve"> </w:t>
      </w:r>
      <w:r w:rsidRPr="001A0C8D">
        <w:rPr>
          <w:rFonts w:eastAsia="Arial" w:cs="Arial"/>
          <w:lang w:val="en-US"/>
        </w:rPr>
        <w:t>the</w:t>
      </w:r>
      <w:r w:rsidRPr="001A0C8D">
        <w:rPr>
          <w:rFonts w:eastAsia="Arial" w:cs="Arial"/>
          <w:spacing w:val="-9"/>
          <w:lang w:val="en-US"/>
        </w:rPr>
        <w:t xml:space="preserve"> </w:t>
      </w:r>
      <w:r w:rsidRPr="001A0C8D">
        <w:rPr>
          <w:rFonts w:eastAsia="Arial" w:cs="Arial"/>
          <w:lang w:val="en-US"/>
        </w:rPr>
        <w:t>installation</w:t>
      </w:r>
      <w:r w:rsidRPr="001A0C8D">
        <w:rPr>
          <w:rFonts w:eastAsia="Arial" w:cs="Arial"/>
          <w:spacing w:val="-7"/>
          <w:lang w:val="en-US"/>
        </w:rPr>
        <w:t xml:space="preserve"> </w:t>
      </w:r>
      <w:r w:rsidRPr="001A0C8D">
        <w:rPr>
          <w:rFonts w:eastAsia="Arial" w:cs="Arial"/>
          <w:lang w:val="en-US"/>
        </w:rPr>
        <w:t>of</w:t>
      </w:r>
      <w:r w:rsidRPr="001A0C8D">
        <w:rPr>
          <w:rFonts w:eastAsia="Arial" w:cs="Arial"/>
          <w:spacing w:val="-7"/>
          <w:lang w:val="en-US"/>
        </w:rPr>
        <w:t xml:space="preserve"> </w:t>
      </w:r>
      <w:r w:rsidRPr="001A0C8D">
        <w:rPr>
          <w:rFonts w:eastAsia="Arial" w:cs="Arial"/>
          <w:lang w:val="en-US"/>
        </w:rPr>
        <w:t>an</w:t>
      </w:r>
      <w:r w:rsidRPr="001A0C8D">
        <w:rPr>
          <w:rFonts w:eastAsia="Arial" w:cs="Arial"/>
          <w:spacing w:val="-9"/>
          <w:lang w:val="en-US"/>
        </w:rPr>
        <w:t xml:space="preserve"> </w:t>
      </w:r>
      <w:r w:rsidRPr="001A0C8D">
        <w:rPr>
          <w:rFonts w:eastAsia="Arial" w:cs="Arial"/>
          <w:lang w:val="en-US"/>
        </w:rPr>
        <w:t>aluminium</w:t>
      </w:r>
      <w:r w:rsidRPr="001A0C8D">
        <w:rPr>
          <w:rFonts w:eastAsia="Arial" w:cs="Arial"/>
          <w:spacing w:val="-7"/>
          <w:lang w:val="en-US"/>
        </w:rPr>
        <w:t xml:space="preserve"> </w:t>
      </w:r>
      <w:r w:rsidRPr="001A0C8D">
        <w:rPr>
          <w:rFonts w:eastAsia="Arial" w:cs="Arial"/>
          <w:lang w:val="en-US"/>
        </w:rPr>
        <w:t>over</w:t>
      </w:r>
      <w:r w:rsidRPr="001A0C8D">
        <w:rPr>
          <w:rFonts w:eastAsia="Arial" w:cs="Arial"/>
          <w:spacing w:val="-8"/>
          <w:lang w:val="en-US"/>
        </w:rPr>
        <w:t xml:space="preserve"> </w:t>
      </w:r>
      <w:r w:rsidRPr="001A0C8D">
        <w:rPr>
          <w:rFonts w:eastAsia="Arial" w:cs="Arial"/>
          <w:lang w:val="en-US"/>
        </w:rPr>
        <w:t>roof</w:t>
      </w:r>
      <w:r w:rsidRPr="001A0C8D">
        <w:rPr>
          <w:rFonts w:eastAsia="Arial" w:cs="Arial"/>
          <w:spacing w:val="-7"/>
          <w:lang w:val="en-US"/>
        </w:rPr>
        <w:t xml:space="preserve"> </w:t>
      </w:r>
      <w:r w:rsidRPr="001A0C8D">
        <w:rPr>
          <w:rFonts w:eastAsia="Arial" w:cs="Arial"/>
          <w:lang w:val="en-US"/>
        </w:rPr>
        <w:t>at</w:t>
      </w:r>
      <w:r w:rsidRPr="001A0C8D">
        <w:rPr>
          <w:rFonts w:eastAsia="Arial" w:cs="Arial"/>
          <w:spacing w:val="-7"/>
          <w:lang w:val="en-US"/>
        </w:rPr>
        <w:t xml:space="preserve"> </w:t>
      </w:r>
      <w:r w:rsidRPr="001A0C8D">
        <w:rPr>
          <w:rFonts w:eastAsia="Arial" w:cs="Arial"/>
          <w:lang w:val="en-US"/>
        </w:rPr>
        <w:t>the</w:t>
      </w:r>
      <w:r w:rsidRPr="001A0C8D">
        <w:rPr>
          <w:rFonts w:eastAsia="Arial" w:cs="Arial"/>
          <w:spacing w:val="-5"/>
          <w:lang w:val="en-US"/>
        </w:rPr>
        <w:t xml:space="preserve"> </w:t>
      </w:r>
      <w:r>
        <w:rPr>
          <w:rFonts w:eastAsia="Arial" w:cs="Arial"/>
          <w:spacing w:val="-5"/>
          <w:lang w:val="en-US"/>
        </w:rPr>
        <w:t xml:space="preserve">Tram </w:t>
      </w:r>
      <w:r w:rsidRPr="001A0C8D">
        <w:rPr>
          <w:rFonts w:eastAsia="Arial" w:cs="Arial"/>
          <w:lang w:val="en-US"/>
        </w:rPr>
        <w:t>depot</w:t>
      </w:r>
      <w:r w:rsidRPr="001A0C8D">
        <w:rPr>
          <w:rFonts w:eastAsia="Arial" w:cs="Arial"/>
          <w:spacing w:val="-7"/>
          <w:lang w:val="en-US"/>
        </w:rPr>
        <w:t xml:space="preserve"> </w:t>
      </w:r>
      <w:r w:rsidRPr="001A0C8D">
        <w:rPr>
          <w:rFonts w:eastAsia="Arial" w:cs="Arial"/>
          <w:lang w:val="en-US"/>
        </w:rPr>
        <w:t>building.</w:t>
      </w:r>
      <w:r w:rsidRPr="001A0C8D">
        <w:rPr>
          <w:rFonts w:eastAsia="Arial" w:cs="Arial"/>
          <w:spacing w:val="-7"/>
          <w:lang w:val="en-US"/>
        </w:rPr>
        <w:t xml:space="preserve"> </w:t>
      </w:r>
      <w:r w:rsidRPr="001A0C8D">
        <w:rPr>
          <w:rFonts w:eastAsia="Arial" w:cs="Arial"/>
          <w:lang w:val="en-US"/>
        </w:rPr>
        <w:t>The depot</w:t>
      </w:r>
      <w:r w:rsidRPr="001A0C8D">
        <w:rPr>
          <w:rFonts w:eastAsia="Arial" w:cs="Arial"/>
          <w:spacing w:val="-14"/>
          <w:lang w:val="en-US"/>
        </w:rPr>
        <w:t xml:space="preserve"> </w:t>
      </w:r>
      <w:r w:rsidRPr="001A0C8D">
        <w:rPr>
          <w:rFonts w:eastAsia="Arial" w:cs="Arial"/>
          <w:lang w:val="en-US"/>
        </w:rPr>
        <w:t>roof</w:t>
      </w:r>
      <w:r w:rsidRPr="001A0C8D">
        <w:rPr>
          <w:rFonts w:eastAsia="Arial" w:cs="Arial"/>
          <w:spacing w:val="-14"/>
          <w:lang w:val="en-US"/>
        </w:rPr>
        <w:t xml:space="preserve"> </w:t>
      </w:r>
      <w:r w:rsidRPr="001A0C8D">
        <w:rPr>
          <w:rFonts w:eastAsia="Arial" w:cs="Arial"/>
          <w:lang w:val="en-US"/>
        </w:rPr>
        <w:t>defect</w:t>
      </w:r>
      <w:r w:rsidRPr="001A0C8D">
        <w:rPr>
          <w:rFonts w:eastAsia="Arial" w:cs="Arial"/>
          <w:spacing w:val="-14"/>
          <w:lang w:val="en-US"/>
        </w:rPr>
        <w:t xml:space="preserve"> </w:t>
      </w:r>
      <w:r w:rsidRPr="001A0C8D">
        <w:rPr>
          <w:rFonts w:eastAsia="Arial" w:cs="Arial"/>
          <w:lang w:val="en-US"/>
        </w:rPr>
        <w:t>was</w:t>
      </w:r>
      <w:r w:rsidRPr="001A0C8D">
        <w:rPr>
          <w:rFonts w:eastAsia="Arial" w:cs="Arial"/>
          <w:spacing w:val="-14"/>
          <w:lang w:val="en-US"/>
        </w:rPr>
        <w:t xml:space="preserve"> </w:t>
      </w:r>
      <w:r w:rsidRPr="001A0C8D">
        <w:rPr>
          <w:rFonts w:eastAsia="Arial" w:cs="Arial"/>
          <w:lang w:val="en-US"/>
        </w:rPr>
        <w:t>the</w:t>
      </w:r>
      <w:r w:rsidRPr="001A0C8D">
        <w:rPr>
          <w:rFonts w:eastAsia="Arial" w:cs="Arial"/>
          <w:spacing w:val="-14"/>
          <w:lang w:val="en-US"/>
        </w:rPr>
        <w:t xml:space="preserve"> </w:t>
      </w:r>
      <w:r w:rsidRPr="001A0C8D">
        <w:rPr>
          <w:rFonts w:eastAsia="Arial" w:cs="Arial"/>
          <w:lang w:val="en-US"/>
        </w:rPr>
        <w:t>last</w:t>
      </w:r>
      <w:r w:rsidRPr="001A0C8D">
        <w:rPr>
          <w:rFonts w:eastAsia="Arial" w:cs="Arial"/>
          <w:spacing w:val="-14"/>
          <w:lang w:val="en-US"/>
        </w:rPr>
        <w:t xml:space="preserve"> </w:t>
      </w:r>
      <w:r w:rsidRPr="001A0C8D">
        <w:rPr>
          <w:rFonts w:eastAsia="Arial" w:cs="Arial"/>
          <w:lang w:val="en-US"/>
        </w:rPr>
        <w:t>defect</w:t>
      </w:r>
      <w:r w:rsidRPr="001A0C8D">
        <w:rPr>
          <w:rFonts w:eastAsia="Arial" w:cs="Arial"/>
          <w:spacing w:val="-13"/>
          <w:lang w:val="en-US"/>
        </w:rPr>
        <w:t xml:space="preserve"> </w:t>
      </w:r>
      <w:r w:rsidRPr="001A0C8D">
        <w:rPr>
          <w:rFonts w:eastAsia="Arial" w:cs="Arial"/>
          <w:lang w:val="en-US"/>
        </w:rPr>
        <w:t>of</w:t>
      </w:r>
      <w:r w:rsidRPr="001A0C8D">
        <w:rPr>
          <w:rFonts w:eastAsia="Arial" w:cs="Arial"/>
          <w:spacing w:val="-12"/>
          <w:lang w:val="en-US"/>
        </w:rPr>
        <w:t xml:space="preserve"> </w:t>
      </w:r>
      <w:r w:rsidRPr="001A0C8D">
        <w:rPr>
          <w:rFonts w:eastAsia="Arial" w:cs="Arial"/>
          <w:lang w:val="en-US"/>
        </w:rPr>
        <w:t>the</w:t>
      </w:r>
      <w:r w:rsidRPr="001A0C8D">
        <w:rPr>
          <w:rFonts w:eastAsia="Arial" w:cs="Arial"/>
          <w:spacing w:val="-14"/>
          <w:lang w:val="en-US"/>
        </w:rPr>
        <w:t xml:space="preserve"> </w:t>
      </w:r>
      <w:r w:rsidRPr="001A0C8D">
        <w:rPr>
          <w:rFonts w:eastAsia="Arial" w:cs="Arial"/>
          <w:lang w:val="en-US"/>
        </w:rPr>
        <w:t>Infraco</w:t>
      </w:r>
      <w:r w:rsidRPr="001A0C8D">
        <w:rPr>
          <w:rFonts w:eastAsia="Arial" w:cs="Arial"/>
          <w:spacing w:val="-13"/>
          <w:lang w:val="en-US"/>
        </w:rPr>
        <w:t xml:space="preserve"> </w:t>
      </w:r>
      <w:r w:rsidRPr="001A0C8D">
        <w:rPr>
          <w:rFonts w:eastAsia="Arial" w:cs="Arial"/>
          <w:lang w:val="en-US"/>
        </w:rPr>
        <w:t>Contract</w:t>
      </w:r>
      <w:r w:rsidRPr="001A0C8D">
        <w:rPr>
          <w:rFonts w:eastAsia="Arial" w:cs="Arial"/>
          <w:spacing w:val="-14"/>
          <w:lang w:val="en-US"/>
        </w:rPr>
        <w:t xml:space="preserve"> </w:t>
      </w:r>
      <w:r w:rsidRPr="001A0C8D">
        <w:rPr>
          <w:rFonts w:eastAsia="Arial" w:cs="Arial"/>
          <w:lang w:val="en-US"/>
        </w:rPr>
        <w:t>and</w:t>
      </w:r>
      <w:r w:rsidRPr="001A0C8D">
        <w:rPr>
          <w:rFonts w:eastAsia="Arial" w:cs="Arial"/>
          <w:spacing w:val="-11"/>
          <w:lang w:val="en-US"/>
        </w:rPr>
        <w:t xml:space="preserve"> </w:t>
      </w:r>
      <w:r w:rsidRPr="001A0C8D">
        <w:rPr>
          <w:rFonts w:eastAsia="Arial" w:cs="Arial"/>
          <w:lang w:val="en-US"/>
        </w:rPr>
        <w:t>the</w:t>
      </w:r>
      <w:r w:rsidRPr="001A0C8D">
        <w:rPr>
          <w:rFonts w:eastAsia="Arial" w:cs="Arial"/>
          <w:spacing w:val="-13"/>
          <w:lang w:val="en-US"/>
        </w:rPr>
        <w:t xml:space="preserve"> </w:t>
      </w:r>
      <w:r w:rsidRPr="001A0C8D">
        <w:rPr>
          <w:rFonts w:eastAsia="Arial" w:cs="Arial"/>
          <w:lang w:val="en-US"/>
        </w:rPr>
        <w:t>Projects</w:t>
      </w:r>
      <w:r w:rsidRPr="001A0C8D">
        <w:rPr>
          <w:rFonts w:eastAsia="Arial" w:cs="Arial"/>
          <w:spacing w:val="-14"/>
          <w:lang w:val="en-US"/>
        </w:rPr>
        <w:t xml:space="preserve"> </w:t>
      </w:r>
      <w:r w:rsidRPr="001A0C8D">
        <w:rPr>
          <w:rFonts w:eastAsia="Arial" w:cs="Arial"/>
          <w:lang w:val="en-US"/>
        </w:rPr>
        <w:t>team</w:t>
      </w:r>
      <w:r w:rsidRPr="001A0C8D">
        <w:rPr>
          <w:rFonts w:eastAsia="Arial" w:cs="Arial"/>
          <w:spacing w:val="-12"/>
          <w:lang w:val="en-US"/>
        </w:rPr>
        <w:t xml:space="preserve"> </w:t>
      </w:r>
      <w:r w:rsidRPr="001A0C8D">
        <w:rPr>
          <w:rFonts w:eastAsia="Arial" w:cs="Arial"/>
          <w:lang w:val="en-US"/>
        </w:rPr>
        <w:t>identified</w:t>
      </w:r>
      <w:r w:rsidRPr="001A0C8D">
        <w:rPr>
          <w:rFonts w:eastAsia="Arial" w:cs="Arial"/>
          <w:spacing w:val="-13"/>
          <w:lang w:val="en-US"/>
        </w:rPr>
        <w:t xml:space="preserve"> </w:t>
      </w:r>
      <w:r w:rsidRPr="001A0C8D">
        <w:rPr>
          <w:rFonts w:eastAsia="Arial" w:cs="Arial"/>
          <w:lang w:val="en-US"/>
        </w:rPr>
        <w:t>the</w:t>
      </w:r>
      <w:r w:rsidRPr="001A0C8D">
        <w:rPr>
          <w:rFonts w:eastAsia="Arial" w:cs="Arial"/>
          <w:spacing w:val="-11"/>
          <w:lang w:val="en-US"/>
        </w:rPr>
        <w:t xml:space="preserve"> </w:t>
      </w:r>
      <w:r w:rsidRPr="001A0C8D">
        <w:rPr>
          <w:rFonts w:eastAsia="Arial" w:cs="Arial"/>
          <w:lang w:val="en-US"/>
        </w:rPr>
        <w:t>most</w:t>
      </w:r>
      <w:r w:rsidRPr="001A0C8D">
        <w:rPr>
          <w:rFonts w:eastAsia="Arial" w:cs="Arial"/>
          <w:spacing w:val="-14"/>
          <w:lang w:val="en-US"/>
        </w:rPr>
        <w:t xml:space="preserve"> </w:t>
      </w:r>
      <w:r w:rsidRPr="001A0C8D">
        <w:rPr>
          <w:rFonts w:eastAsia="Arial" w:cs="Arial"/>
          <w:lang w:val="en-US"/>
        </w:rPr>
        <w:t>cost</w:t>
      </w:r>
      <w:r w:rsidRPr="001A0C8D">
        <w:rPr>
          <w:rFonts w:eastAsia="Arial" w:cs="Arial"/>
          <w:spacing w:val="-12"/>
          <w:lang w:val="en-US"/>
        </w:rPr>
        <w:t xml:space="preserve"> </w:t>
      </w:r>
      <w:r w:rsidRPr="001A0C8D">
        <w:rPr>
          <w:rFonts w:eastAsia="Arial" w:cs="Arial"/>
          <w:lang w:val="en-US"/>
        </w:rPr>
        <w:t>effective</w:t>
      </w:r>
      <w:r w:rsidRPr="001A0C8D">
        <w:rPr>
          <w:rFonts w:eastAsia="Arial" w:cs="Arial"/>
          <w:spacing w:val="-14"/>
          <w:lang w:val="en-US"/>
        </w:rPr>
        <w:t xml:space="preserve"> </w:t>
      </w:r>
      <w:r w:rsidRPr="001A0C8D">
        <w:rPr>
          <w:rFonts w:eastAsia="Arial" w:cs="Arial"/>
          <w:lang w:val="en-US"/>
        </w:rPr>
        <w:t xml:space="preserve">solution </w:t>
      </w:r>
      <w:r>
        <w:rPr>
          <w:rFonts w:eastAsia="Arial" w:cs="Arial"/>
          <w:lang w:val="en-US"/>
        </w:rPr>
        <w:t>to</w:t>
      </w:r>
      <w:r w:rsidRPr="001A0C8D">
        <w:rPr>
          <w:rFonts w:eastAsia="Arial" w:cs="Arial"/>
          <w:lang w:val="en-US"/>
        </w:rPr>
        <w:t xml:space="preserve"> address the defect and provide a robust solution </w:t>
      </w:r>
      <w:r>
        <w:rPr>
          <w:rFonts w:eastAsia="Arial" w:cs="Arial"/>
          <w:lang w:val="en-US"/>
        </w:rPr>
        <w:t>for</w:t>
      </w:r>
      <w:r w:rsidRPr="001A0C8D">
        <w:rPr>
          <w:rFonts w:eastAsia="Arial" w:cs="Arial"/>
          <w:lang w:val="en-US"/>
        </w:rPr>
        <w:t xml:space="preserve"> the long term. This project </w:t>
      </w:r>
      <w:r>
        <w:rPr>
          <w:rFonts w:eastAsia="Arial" w:cs="Arial"/>
          <w:lang w:val="en-US"/>
        </w:rPr>
        <w:t xml:space="preserve">was completed on time and on budget which </w:t>
      </w:r>
      <w:r w:rsidRPr="001A0C8D">
        <w:rPr>
          <w:rFonts w:eastAsia="Arial" w:cs="Arial"/>
          <w:lang w:val="en-US"/>
        </w:rPr>
        <w:t xml:space="preserve">required support from multiple departments and caused </w:t>
      </w:r>
      <w:r>
        <w:rPr>
          <w:rFonts w:eastAsia="Arial" w:cs="Arial"/>
          <w:lang w:val="en-US"/>
        </w:rPr>
        <w:t xml:space="preserve">slight </w:t>
      </w:r>
      <w:r w:rsidRPr="001A0C8D">
        <w:rPr>
          <w:rFonts w:eastAsia="Arial" w:cs="Arial"/>
          <w:lang w:val="en-US"/>
        </w:rPr>
        <w:t xml:space="preserve">disruption </w:t>
      </w:r>
      <w:r>
        <w:rPr>
          <w:rFonts w:eastAsia="Arial" w:cs="Arial"/>
          <w:lang w:val="en-US"/>
        </w:rPr>
        <w:t>for</w:t>
      </w:r>
      <w:r w:rsidRPr="001A0C8D">
        <w:rPr>
          <w:rFonts w:eastAsia="Arial" w:cs="Arial"/>
          <w:lang w:val="en-US"/>
        </w:rPr>
        <w:t xml:space="preserve"> </w:t>
      </w:r>
      <w:r>
        <w:rPr>
          <w:rFonts w:eastAsia="Arial" w:cs="Arial"/>
          <w:lang w:val="en-US"/>
        </w:rPr>
        <w:t xml:space="preserve">the </w:t>
      </w:r>
      <w:r w:rsidRPr="001A0C8D">
        <w:rPr>
          <w:rFonts w:eastAsia="Arial" w:cs="Arial"/>
          <w:lang w:val="en-US"/>
        </w:rPr>
        <w:t>day</w:t>
      </w:r>
      <w:r>
        <w:rPr>
          <w:rFonts w:eastAsia="Arial" w:cs="Arial"/>
          <w:lang w:val="en-US"/>
        </w:rPr>
        <w:t>-</w:t>
      </w:r>
      <w:r w:rsidRPr="001A0C8D">
        <w:rPr>
          <w:rFonts w:eastAsia="Arial" w:cs="Arial"/>
          <w:lang w:val="en-US"/>
        </w:rPr>
        <w:t>to</w:t>
      </w:r>
      <w:r>
        <w:rPr>
          <w:rFonts w:eastAsia="Arial" w:cs="Arial"/>
          <w:lang w:val="en-US"/>
        </w:rPr>
        <w:t>-</w:t>
      </w:r>
      <w:r w:rsidRPr="001A0C8D">
        <w:rPr>
          <w:rFonts w:eastAsia="Arial" w:cs="Arial"/>
          <w:lang w:val="en-US"/>
        </w:rPr>
        <w:t>day activities of the depot</w:t>
      </w:r>
      <w:r>
        <w:rPr>
          <w:rFonts w:eastAsia="Arial" w:cs="Arial"/>
          <w:lang w:val="en-US"/>
        </w:rPr>
        <w:t>.</w:t>
      </w:r>
    </w:p>
    <w:p w14:paraId="1BB7C4EC" w14:textId="77777777" w:rsidR="00FD0B28" w:rsidRDefault="00FD0B28" w:rsidP="00FD0B28">
      <w:pPr>
        <w:widowControl w:val="0"/>
        <w:kinsoku w:val="0"/>
        <w:overflowPunct w:val="0"/>
        <w:autoSpaceDE w:val="0"/>
        <w:autoSpaceDN w:val="0"/>
        <w:adjustRightInd w:val="0"/>
        <w:jc w:val="both"/>
        <w:rPr>
          <w:rFonts w:eastAsia="Arial" w:cs="Arial"/>
          <w:lang w:val="en-US"/>
        </w:rPr>
      </w:pPr>
    </w:p>
    <w:p w14:paraId="740A5132" w14:textId="77777777" w:rsidR="00FD0B28" w:rsidRPr="004B303E" w:rsidRDefault="00FD0B28" w:rsidP="00FD0B28">
      <w:pPr>
        <w:widowControl w:val="0"/>
        <w:autoSpaceDE w:val="0"/>
        <w:autoSpaceDN w:val="0"/>
        <w:jc w:val="both"/>
        <w:rPr>
          <w:rFonts w:cs="Arial"/>
          <w:b/>
          <w:bCs/>
          <w:color w:val="000000"/>
        </w:rPr>
      </w:pPr>
      <w:r w:rsidRPr="004B303E">
        <w:rPr>
          <w:rFonts w:cs="Arial"/>
          <w:b/>
          <w:bCs/>
          <w:color w:val="000000"/>
        </w:rPr>
        <w:t>Tram Maintenance Support</w:t>
      </w:r>
    </w:p>
    <w:p w14:paraId="4AD9E599" w14:textId="77777777" w:rsidR="00FD0B28" w:rsidRPr="004B303E" w:rsidRDefault="00FD0B28" w:rsidP="00FD0B28">
      <w:pPr>
        <w:widowControl w:val="0"/>
        <w:autoSpaceDE w:val="0"/>
        <w:autoSpaceDN w:val="0"/>
        <w:jc w:val="both"/>
        <w:rPr>
          <w:rFonts w:cs="Arial"/>
          <w:b/>
          <w:bCs/>
          <w:color w:val="000000"/>
        </w:rPr>
      </w:pPr>
    </w:p>
    <w:p w14:paraId="2449F0EE" w14:textId="77777777" w:rsidR="00FD0B28" w:rsidRPr="004B303E" w:rsidRDefault="00FD0B28" w:rsidP="00FD0B28">
      <w:pPr>
        <w:widowControl w:val="0"/>
        <w:autoSpaceDE w:val="0"/>
        <w:autoSpaceDN w:val="0"/>
        <w:jc w:val="both"/>
        <w:rPr>
          <w:rFonts w:eastAsia="Arial" w:cs="Arial"/>
          <w:spacing w:val="-2"/>
          <w:lang w:val="en-US"/>
        </w:rPr>
      </w:pPr>
      <w:r w:rsidRPr="004B303E">
        <w:rPr>
          <w:rFonts w:eastAsia="Arial" w:cs="Arial"/>
          <w:lang w:val="en-US"/>
        </w:rPr>
        <w:t xml:space="preserve">Edinburgh Trams remains fully responsible for the management of the maintenance contracts with the following </w:t>
      </w:r>
      <w:r w:rsidRPr="004B303E">
        <w:rPr>
          <w:rFonts w:eastAsia="Arial" w:cs="Arial"/>
          <w:spacing w:val="-2"/>
          <w:lang w:val="en-US"/>
        </w:rPr>
        <w:t>contractors:</w:t>
      </w:r>
    </w:p>
    <w:p w14:paraId="43ACA5D7" w14:textId="77777777" w:rsidR="00FD0B28" w:rsidRPr="004B303E" w:rsidRDefault="00FD0B28" w:rsidP="00A5227C">
      <w:pPr>
        <w:widowControl w:val="0"/>
        <w:numPr>
          <w:ilvl w:val="0"/>
          <w:numId w:val="24"/>
        </w:numPr>
        <w:tabs>
          <w:tab w:val="left" w:pos="567"/>
        </w:tabs>
        <w:autoSpaceDE w:val="0"/>
        <w:autoSpaceDN w:val="0"/>
        <w:ind w:left="567" w:hanging="207"/>
        <w:jc w:val="both"/>
        <w:rPr>
          <w:rFonts w:eastAsia="Arial" w:cs="Arial"/>
          <w:spacing w:val="-2"/>
          <w:szCs w:val="22"/>
          <w:lang w:val="en-US"/>
        </w:rPr>
      </w:pPr>
      <w:r w:rsidRPr="004B303E">
        <w:rPr>
          <w:rFonts w:eastAsia="Arial" w:cs="Arial"/>
          <w:szCs w:val="22"/>
          <w:lang w:val="en-US"/>
        </w:rPr>
        <w:t>Construcciones</w:t>
      </w:r>
      <w:r w:rsidRPr="004B303E">
        <w:rPr>
          <w:rFonts w:eastAsia="Arial" w:cs="Arial"/>
          <w:spacing w:val="-7"/>
          <w:szCs w:val="22"/>
          <w:lang w:val="en-US"/>
        </w:rPr>
        <w:t xml:space="preserve"> </w:t>
      </w:r>
      <w:r w:rsidRPr="004B303E">
        <w:rPr>
          <w:rFonts w:eastAsia="Arial" w:cs="Arial"/>
          <w:szCs w:val="22"/>
          <w:lang w:val="en-US"/>
        </w:rPr>
        <w:t>Y</w:t>
      </w:r>
      <w:r w:rsidRPr="004B303E">
        <w:rPr>
          <w:rFonts w:eastAsia="Arial" w:cs="Arial"/>
          <w:spacing w:val="-7"/>
          <w:szCs w:val="22"/>
          <w:lang w:val="en-US"/>
        </w:rPr>
        <w:t xml:space="preserve"> </w:t>
      </w:r>
      <w:r w:rsidRPr="004B303E">
        <w:rPr>
          <w:rFonts w:eastAsia="Arial" w:cs="Arial"/>
          <w:szCs w:val="22"/>
          <w:lang w:val="en-US"/>
        </w:rPr>
        <w:t>Auxiliar</w:t>
      </w:r>
      <w:r w:rsidRPr="004B303E">
        <w:rPr>
          <w:rFonts w:eastAsia="Arial" w:cs="Arial"/>
          <w:spacing w:val="-5"/>
          <w:szCs w:val="22"/>
          <w:lang w:val="en-US"/>
        </w:rPr>
        <w:t xml:space="preserve"> </w:t>
      </w:r>
      <w:r w:rsidRPr="004B303E">
        <w:rPr>
          <w:rFonts w:eastAsia="Arial" w:cs="Arial"/>
          <w:szCs w:val="22"/>
          <w:lang w:val="en-US"/>
        </w:rPr>
        <w:t>De</w:t>
      </w:r>
      <w:r w:rsidRPr="004B303E">
        <w:rPr>
          <w:rFonts w:eastAsia="Arial" w:cs="Arial"/>
          <w:spacing w:val="-8"/>
          <w:szCs w:val="22"/>
          <w:lang w:val="en-US"/>
        </w:rPr>
        <w:t xml:space="preserve"> </w:t>
      </w:r>
      <w:r w:rsidRPr="004B303E">
        <w:rPr>
          <w:rFonts w:eastAsia="Arial" w:cs="Arial"/>
          <w:szCs w:val="22"/>
          <w:lang w:val="en-US"/>
        </w:rPr>
        <w:t>Ferrocarriles</w:t>
      </w:r>
      <w:r w:rsidRPr="004B303E">
        <w:rPr>
          <w:rFonts w:eastAsia="Arial" w:cs="Arial"/>
          <w:spacing w:val="-7"/>
          <w:szCs w:val="22"/>
          <w:lang w:val="en-US"/>
        </w:rPr>
        <w:t xml:space="preserve"> </w:t>
      </w:r>
      <w:r w:rsidRPr="004B303E">
        <w:rPr>
          <w:rFonts w:eastAsia="Arial" w:cs="Arial"/>
          <w:szCs w:val="22"/>
          <w:lang w:val="en-US"/>
        </w:rPr>
        <w:t>S.A.</w:t>
      </w:r>
      <w:r w:rsidRPr="004B303E">
        <w:rPr>
          <w:rFonts w:eastAsia="Arial" w:cs="Arial"/>
          <w:spacing w:val="-7"/>
          <w:szCs w:val="22"/>
          <w:lang w:val="en-US"/>
        </w:rPr>
        <w:t xml:space="preserve"> </w:t>
      </w:r>
      <w:r w:rsidRPr="004B303E">
        <w:rPr>
          <w:rFonts w:eastAsia="Arial" w:cs="Arial"/>
          <w:szCs w:val="22"/>
          <w:lang w:val="en-US"/>
        </w:rPr>
        <w:t>(CAF)</w:t>
      </w:r>
      <w:r w:rsidRPr="004B303E">
        <w:rPr>
          <w:rFonts w:eastAsia="Arial" w:cs="Arial"/>
          <w:spacing w:val="-7"/>
          <w:szCs w:val="22"/>
          <w:lang w:val="en-US"/>
        </w:rPr>
        <w:t xml:space="preserve"> </w:t>
      </w:r>
      <w:r w:rsidRPr="004B303E">
        <w:rPr>
          <w:rFonts w:eastAsia="Arial" w:cs="Arial"/>
          <w:szCs w:val="22"/>
          <w:lang w:val="en-US"/>
        </w:rPr>
        <w:t>for</w:t>
      </w:r>
      <w:r w:rsidRPr="004B303E">
        <w:rPr>
          <w:rFonts w:eastAsia="Arial" w:cs="Arial"/>
          <w:spacing w:val="-7"/>
          <w:szCs w:val="22"/>
          <w:lang w:val="en-US"/>
        </w:rPr>
        <w:t xml:space="preserve"> </w:t>
      </w:r>
      <w:r w:rsidRPr="004B303E">
        <w:rPr>
          <w:rFonts w:eastAsia="Arial" w:cs="Arial"/>
          <w:szCs w:val="22"/>
          <w:lang w:val="en-US"/>
        </w:rPr>
        <w:t>tram</w:t>
      </w:r>
      <w:r w:rsidRPr="004B303E">
        <w:rPr>
          <w:rFonts w:eastAsia="Arial" w:cs="Arial"/>
          <w:spacing w:val="-6"/>
          <w:szCs w:val="22"/>
          <w:lang w:val="en-US"/>
        </w:rPr>
        <w:t xml:space="preserve"> </w:t>
      </w:r>
      <w:r w:rsidRPr="004B303E">
        <w:rPr>
          <w:rFonts w:eastAsia="Arial" w:cs="Arial"/>
          <w:spacing w:val="-2"/>
          <w:szCs w:val="22"/>
          <w:lang w:val="en-US"/>
        </w:rPr>
        <w:t>maintenance.</w:t>
      </w:r>
    </w:p>
    <w:p w14:paraId="5162F89B" w14:textId="77777777" w:rsidR="00FD0B28" w:rsidRPr="004B303E" w:rsidRDefault="00FD0B28" w:rsidP="00A5227C">
      <w:pPr>
        <w:widowControl w:val="0"/>
        <w:numPr>
          <w:ilvl w:val="0"/>
          <w:numId w:val="24"/>
        </w:numPr>
        <w:tabs>
          <w:tab w:val="left" w:pos="567"/>
          <w:tab w:val="left" w:pos="709"/>
        </w:tabs>
        <w:autoSpaceDE w:val="0"/>
        <w:autoSpaceDN w:val="0"/>
        <w:jc w:val="both"/>
        <w:rPr>
          <w:rFonts w:eastAsia="Arial" w:cs="Arial"/>
          <w:spacing w:val="-2"/>
          <w:szCs w:val="22"/>
          <w:lang w:val="en-US"/>
        </w:rPr>
      </w:pPr>
      <w:r w:rsidRPr="004B303E">
        <w:rPr>
          <w:rFonts w:eastAsia="Arial" w:cs="Arial"/>
          <w:szCs w:val="22"/>
          <w:lang w:val="en-US"/>
        </w:rPr>
        <w:t>Flowbird</w:t>
      </w:r>
      <w:r w:rsidRPr="004B303E">
        <w:rPr>
          <w:rFonts w:eastAsia="Arial" w:cs="Arial"/>
          <w:spacing w:val="-10"/>
          <w:szCs w:val="22"/>
          <w:lang w:val="en-US"/>
        </w:rPr>
        <w:t xml:space="preserve"> </w:t>
      </w:r>
      <w:r w:rsidRPr="004B303E">
        <w:rPr>
          <w:rFonts w:eastAsia="Arial" w:cs="Arial"/>
          <w:szCs w:val="22"/>
          <w:lang w:val="en-US"/>
        </w:rPr>
        <w:t>Transport</w:t>
      </w:r>
      <w:r w:rsidRPr="004B303E">
        <w:rPr>
          <w:rFonts w:eastAsia="Arial" w:cs="Arial"/>
          <w:spacing w:val="-9"/>
          <w:szCs w:val="22"/>
          <w:lang w:val="en-US"/>
        </w:rPr>
        <w:t xml:space="preserve"> </w:t>
      </w:r>
      <w:r w:rsidRPr="004B303E">
        <w:rPr>
          <w:rFonts w:eastAsia="Arial" w:cs="Arial"/>
          <w:szCs w:val="22"/>
          <w:lang w:val="en-US"/>
        </w:rPr>
        <w:t>Ltd</w:t>
      </w:r>
      <w:r w:rsidRPr="004B303E">
        <w:rPr>
          <w:rFonts w:eastAsia="Arial" w:cs="Arial"/>
          <w:spacing w:val="-9"/>
          <w:szCs w:val="22"/>
          <w:lang w:val="en-US"/>
        </w:rPr>
        <w:t xml:space="preserve"> </w:t>
      </w:r>
      <w:r w:rsidRPr="004B303E">
        <w:rPr>
          <w:rFonts w:eastAsia="Arial" w:cs="Arial"/>
          <w:szCs w:val="22"/>
          <w:lang w:val="en-US"/>
        </w:rPr>
        <w:t>for</w:t>
      </w:r>
      <w:r w:rsidRPr="004B303E">
        <w:rPr>
          <w:rFonts w:eastAsia="Arial" w:cs="Arial"/>
          <w:spacing w:val="-9"/>
          <w:szCs w:val="22"/>
          <w:lang w:val="en-US"/>
        </w:rPr>
        <w:t xml:space="preserve"> </w:t>
      </w:r>
      <w:r w:rsidRPr="004B303E">
        <w:rPr>
          <w:rFonts w:eastAsia="Arial" w:cs="Arial"/>
          <w:szCs w:val="22"/>
          <w:lang w:val="en-US"/>
        </w:rPr>
        <w:t>ticketing</w:t>
      </w:r>
      <w:r w:rsidRPr="004B303E">
        <w:rPr>
          <w:rFonts w:eastAsia="Arial" w:cs="Arial"/>
          <w:spacing w:val="-9"/>
          <w:szCs w:val="22"/>
          <w:lang w:val="en-US"/>
        </w:rPr>
        <w:t xml:space="preserve"> </w:t>
      </w:r>
      <w:r w:rsidRPr="004B303E">
        <w:rPr>
          <w:rFonts w:eastAsia="Arial" w:cs="Arial"/>
          <w:szCs w:val="22"/>
          <w:lang w:val="en-US"/>
        </w:rPr>
        <w:t>equipment</w:t>
      </w:r>
      <w:r w:rsidRPr="004B303E">
        <w:rPr>
          <w:rFonts w:eastAsia="Arial" w:cs="Arial"/>
          <w:spacing w:val="-7"/>
          <w:szCs w:val="22"/>
          <w:lang w:val="en-US"/>
        </w:rPr>
        <w:t xml:space="preserve"> </w:t>
      </w:r>
      <w:r w:rsidRPr="004B303E">
        <w:rPr>
          <w:rFonts w:eastAsia="Arial" w:cs="Arial"/>
          <w:spacing w:val="-2"/>
          <w:szCs w:val="22"/>
          <w:lang w:val="en-US"/>
        </w:rPr>
        <w:t>maintenance.</w:t>
      </w:r>
    </w:p>
    <w:p w14:paraId="5CE8216E" w14:textId="77777777" w:rsidR="00FD0B28" w:rsidRPr="004B303E" w:rsidRDefault="00FD0B28" w:rsidP="00A5227C">
      <w:pPr>
        <w:widowControl w:val="0"/>
        <w:numPr>
          <w:ilvl w:val="0"/>
          <w:numId w:val="24"/>
        </w:numPr>
        <w:tabs>
          <w:tab w:val="left" w:pos="567"/>
        </w:tabs>
        <w:autoSpaceDE w:val="0"/>
        <w:autoSpaceDN w:val="0"/>
        <w:ind w:left="567" w:hanging="207"/>
        <w:jc w:val="both"/>
        <w:rPr>
          <w:b/>
        </w:rPr>
      </w:pPr>
      <w:r w:rsidRPr="004B303E">
        <w:rPr>
          <w:rFonts w:eastAsia="Arial" w:cs="Arial"/>
          <w:szCs w:val="22"/>
          <w:lang w:val="en-US"/>
        </w:rPr>
        <w:t>Infraco (a consortium between Siemens Mobility Ltd and Bilfinger Construction UK) for infrastructure</w:t>
      </w:r>
      <w:r w:rsidRPr="004B303E">
        <w:rPr>
          <w:rFonts w:eastAsia="Arial" w:cs="Arial"/>
          <w:spacing w:val="80"/>
          <w:szCs w:val="22"/>
          <w:lang w:val="en-US"/>
        </w:rPr>
        <w:t xml:space="preserve"> </w:t>
      </w:r>
      <w:r w:rsidRPr="004B303E">
        <w:rPr>
          <w:rFonts w:eastAsia="Arial" w:cs="Arial"/>
          <w:spacing w:val="-2"/>
          <w:szCs w:val="22"/>
          <w:lang w:val="en-US"/>
        </w:rPr>
        <w:t>maintenance.</w:t>
      </w:r>
    </w:p>
    <w:p w14:paraId="505771F8" w14:textId="77777777" w:rsidR="00FD0B28" w:rsidRPr="004B303E" w:rsidRDefault="00FD0B28" w:rsidP="00FD0B28">
      <w:pPr>
        <w:rPr>
          <w:rFonts w:eastAsia="Arial" w:cs="Arial"/>
          <w:sz w:val="18"/>
          <w:lang w:val="en-US"/>
        </w:rPr>
      </w:pPr>
    </w:p>
    <w:p w14:paraId="45BC1E58" w14:textId="77777777" w:rsidR="00FD0B28" w:rsidRPr="00847AB8" w:rsidRDefault="00FD0B28" w:rsidP="00FD0B28">
      <w:pPr>
        <w:widowControl w:val="0"/>
        <w:autoSpaceDE w:val="0"/>
        <w:autoSpaceDN w:val="0"/>
        <w:jc w:val="both"/>
        <w:rPr>
          <w:rFonts w:eastAsia="Arial" w:cs="Arial"/>
          <w:lang w:val="en-US"/>
        </w:rPr>
      </w:pPr>
      <w:r w:rsidRPr="004B303E">
        <w:rPr>
          <w:rFonts w:eastAsia="Arial" w:cs="Arial"/>
          <w:lang w:val="en-US"/>
        </w:rPr>
        <w:t xml:space="preserve">Edinburgh Trams are responsible for the full payment of the maintenance costs which are made directly to the maintenance </w:t>
      </w:r>
      <w:r w:rsidRPr="004B303E">
        <w:rPr>
          <w:rFonts w:eastAsia="Arial" w:cs="Arial"/>
          <w:spacing w:val="-2"/>
          <w:lang w:val="en-US"/>
        </w:rPr>
        <w:t xml:space="preserve">providers. </w:t>
      </w:r>
      <w:r w:rsidRPr="00847AB8">
        <w:rPr>
          <w:rFonts w:eastAsia="Arial" w:cs="Arial"/>
          <w:lang w:val="en-US"/>
        </w:rPr>
        <w:t>Edinburgh Trams</w:t>
      </w:r>
      <w:r w:rsidRPr="00847AB8">
        <w:rPr>
          <w:rFonts w:eastAsia="Arial" w:cs="Arial"/>
          <w:spacing w:val="-6"/>
          <w:lang w:val="en-US"/>
        </w:rPr>
        <w:t xml:space="preserve"> </w:t>
      </w:r>
      <w:r w:rsidRPr="00847AB8">
        <w:rPr>
          <w:rFonts w:eastAsia="Arial" w:cs="Arial"/>
          <w:lang w:val="en-US"/>
        </w:rPr>
        <w:t>continue</w:t>
      </w:r>
      <w:r w:rsidRPr="00847AB8">
        <w:rPr>
          <w:rFonts w:eastAsia="Arial" w:cs="Arial"/>
          <w:spacing w:val="-6"/>
          <w:lang w:val="en-US"/>
        </w:rPr>
        <w:t xml:space="preserve"> </w:t>
      </w:r>
      <w:r w:rsidRPr="00847AB8">
        <w:rPr>
          <w:rFonts w:eastAsia="Arial" w:cs="Arial"/>
          <w:lang w:val="en-US"/>
        </w:rPr>
        <w:t>to</w:t>
      </w:r>
      <w:r w:rsidRPr="00847AB8">
        <w:rPr>
          <w:rFonts w:eastAsia="Arial" w:cs="Arial"/>
          <w:spacing w:val="-6"/>
          <w:lang w:val="en-US"/>
        </w:rPr>
        <w:t xml:space="preserve"> </w:t>
      </w:r>
      <w:r w:rsidRPr="00847AB8">
        <w:rPr>
          <w:rFonts w:eastAsia="Arial" w:cs="Arial"/>
          <w:lang w:val="en-US"/>
        </w:rPr>
        <w:t>meet</w:t>
      </w:r>
      <w:r w:rsidRPr="00847AB8">
        <w:rPr>
          <w:rFonts w:eastAsia="Arial" w:cs="Arial"/>
          <w:spacing w:val="-6"/>
          <w:lang w:val="en-US"/>
        </w:rPr>
        <w:t xml:space="preserve"> </w:t>
      </w:r>
      <w:r w:rsidRPr="00847AB8">
        <w:rPr>
          <w:rFonts w:eastAsia="Arial" w:cs="Arial"/>
          <w:lang w:val="en-US"/>
        </w:rPr>
        <w:t>with</w:t>
      </w:r>
      <w:r w:rsidRPr="00847AB8">
        <w:rPr>
          <w:rFonts w:eastAsia="Arial" w:cs="Arial"/>
          <w:spacing w:val="-6"/>
          <w:lang w:val="en-US"/>
        </w:rPr>
        <w:t xml:space="preserve"> </w:t>
      </w:r>
      <w:r w:rsidRPr="00847AB8">
        <w:rPr>
          <w:rFonts w:eastAsia="Arial" w:cs="Arial"/>
          <w:lang w:val="en-US"/>
        </w:rPr>
        <w:t>all</w:t>
      </w:r>
      <w:r w:rsidRPr="00847AB8">
        <w:rPr>
          <w:rFonts w:eastAsia="Arial" w:cs="Arial"/>
          <w:spacing w:val="-6"/>
          <w:lang w:val="en-US"/>
        </w:rPr>
        <w:t xml:space="preserve"> </w:t>
      </w:r>
      <w:r w:rsidRPr="00847AB8">
        <w:rPr>
          <w:rFonts w:eastAsia="Arial" w:cs="Arial"/>
          <w:lang w:val="en-US"/>
        </w:rPr>
        <w:t>the</w:t>
      </w:r>
      <w:r w:rsidRPr="00847AB8">
        <w:rPr>
          <w:rFonts w:eastAsia="Arial" w:cs="Arial"/>
          <w:spacing w:val="-3"/>
          <w:lang w:val="en-US"/>
        </w:rPr>
        <w:t xml:space="preserve"> </w:t>
      </w:r>
      <w:r>
        <w:rPr>
          <w:rFonts w:eastAsia="Arial" w:cs="Arial"/>
          <w:lang w:val="en-US"/>
        </w:rPr>
        <w:t>M</w:t>
      </w:r>
      <w:r w:rsidRPr="00847AB8">
        <w:rPr>
          <w:rFonts w:eastAsia="Arial" w:cs="Arial"/>
          <w:lang w:val="en-US"/>
        </w:rPr>
        <w:t>aintainers</w:t>
      </w:r>
      <w:r w:rsidRPr="00847AB8">
        <w:rPr>
          <w:rFonts w:eastAsia="Arial" w:cs="Arial"/>
          <w:spacing w:val="-4"/>
          <w:lang w:val="en-US"/>
        </w:rPr>
        <w:t xml:space="preserve"> </w:t>
      </w:r>
      <w:r w:rsidRPr="00847AB8">
        <w:rPr>
          <w:rFonts w:eastAsia="Arial" w:cs="Arial"/>
          <w:lang w:val="en-US"/>
        </w:rPr>
        <w:t>formally</w:t>
      </w:r>
      <w:r w:rsidRPr="00847AB8">
        <w:rPr>
          <w:rFonts w:eastAsia="Arial" w:cs="Arial"/>
          <w:spacing w:val="-4"/>
          <w:lang w:val="en-US"/>
        </w:rPr>
        <w:t xml:space="preserve"> </w:t>
      </w:r>
      <w:r w:rsidRPr="00847AB8">
        <w:rPr>
          <w:rFonts w:eastAsia="Arial" w:cs="Arial"/>
          <w:lang w:val="en-US"/>
        </w:rPr>
        <w:t>every</w:t>
      </w:r>
      <w:r w:rsidRPr="00847AB8">
        <w:rPr>
          <w:rFonts w:eastAsia="Arial" w:cs="Arial"/>
          <w:spacing w:val="-4"/>
          <w:lang w:val="en-US"/>
        </w:rPr>
        <w:t xml:space="preserve"> </w:t>
      </w:r>
      <w:r w:rsidRPr="00847AB8">
        <w:rPr>
          <w:rFonts w:eastAsia="Arial" w:cs="Arial"/>
          <w:lang w:val="en-US"/>
        </w:rPr>
        <w:t>four</w:t>
      </w:r>
      <w:r w:rsidRPr="00847AB8">
        <w:rPr>
          <w:rFonts w:eastAsia="Arial" w:cs="Arial"/>
          <w:spacing w:val="-5"/>
          <w:lang w:val="en-US"/>
        </w:rPr>
        <w:t xml:space="preserve"> </w:t>
      </w:r>
      <w:r w:rsidRPr="00847AB8">
        <w:rPr>
          <w:rFonts w:eastAsia="Arial" w:cs="Arial"/>
          <w:lang w:val="en-US"/>
        </w:rPr>
        <w:t>weeks</w:t>
      </w:r>
      <w:r w:rsidRPr="00847AB8">
        <w:rPr>
          <w:rFonts w:eastAsia="Arial" w:cs="Arial"/>
          <w:spacing w:val="-4"/>
          <w:lang w:val="en-US"/>
        </w:rPr>
        <w:t xml:space="preserve"> </w:t>
      </w:r>
      <w:r w:rsidRPr="00847AB8">
        <w:rPr>
          <w:rFonts w:eastAsia="Arial" w:cs="Arial"/>
          <w:lang w:val="en-US"/>
        </w:rPr>
        <w:t>to</w:t>
      </w:r>
      <w:r w:rsidRPr="00847AB8">
        <w:rPr>
          <w:rFonts w:eastAsia="Arial" w:cs="Arial"/>
          <w:spacing w:val="-6"/>
          <w:lang w:val="en-US"/>
        </w:rPr>
        <w:t xml:space="preserve"> </w:t>
      </w:r>
      <w:r w:rsidRPr="00847AB8">
        <w:rPr>
          <w:rFonts w:eastAsia="Arial" w:cs="Arial"/>
          <w:lang w:val="en-US"/>
        </w:rPr>
        <w:t>monitor</w:t>
      </w:r>
      <w:r w:rsidRPr="00847AB8">
        <w:rPr>
          <w:rFonts w:eastAsia="Arial" w:cs="Arial"/>
          <w:spacing w:val="-5"/>
          <w:lang w:val="en-US"/>
        </w:rPr>
        <w:t xml:space="preserve"> </w:t>
      </w:r>
      <w:r w:rsidRPr="00847AB8">
        <w:rPr>
          <w:rFonts w:eastAsia="Arial" w:cs="Arial"/>
          <w:lang w:val="en-US"/>
        </w:rPr>
        <w:t>their</w:t>
      </w:r>
      <w:r w:rsidRPr="00847AB8">
        <w:rPr>
          <w:rFonts w:eastAsia="Arial" w:cs="Arial"/>
          <w:spacing w:val="-5"/>
          <w:lang w:val="en-US"/>
        </w:rPr>
        <w:t xml:space="preserve"> </w:t>
      </w:r>
      <w:r w:rsidRPr="00847AB8">
        <w:rPr>
          <w:rFonts w:eastAsia="Arial" w:cs="Arial"/>
          <w:lang w:val="en-US"/>
        </w:rPr>
        <w:t>performance</w:t>
      </w:r>
      <w:r w:rsidRPr="00847AB8">
        <w:rPr>
          <w:rFonts w:eastAsia="Arial" w:cs="Arial"/>
          <w:spacing w:val="-6"/>
          <w:lang w:val="en-US"/>
        </w:rPr>
        <w:t xml:space="preserve"> </w:t>
      </w:r>
      <w:r w:rsidRPr="00847AB8">
        <w:rPr>
          <w:rFonts w:eastAsia="Arial" w:cs="Arial"/>
          <w:lang w:val="en-US"/>
        </w:rPr>
        <w:t>and</w:t>
      </w:r>
      <w:r w:rsidRPr="00847AB8">
        <w:rPr>
          <w:rFonts w:eastAsia="Arial" w:cs="Arial"/>
          <w:spacing w:val="-6"/>
          <w:lang w:val="en-US"/>
        </w:rPr>
        <w:t xml:space="preserve"> </w:t>
      </w:r>
      <w:r w:rsidRPr="00847AB8">
        <w:rPr>
          <w:rFonts w:eastAsia="Arial" w:cs="Arial"/>
          <w:lang w:val="en-US"/>
        </w:rPr>
        <w:t>to</w:t>
      </w:r>
      <w:r w:rsidRPr="00847AB8">
        <w:rPr>
          <w:rFonts w:eastAsia="Arial" w:cs="Arial"/>
          <w:spacing w:val="-3"/>
          <w:lang w:val="en-US"/>
        </w:rPr>
        <w:t xml:space="preserve"> </w:t>
      </w:r>
      <w:r w:rsidRPr="00847AB8">
        <w:rPr>
          <w:rFonts w:eastAsia="Arial" w:cs="Arial"/>
          <w:lang w:val="en-US"/>
        </w:rPr>
        <w:t>agree payment</w:t>
      </w:r>
      <w:r w:rsidRPr="00847AB8">
        <w:rPr>
          <w:rFonts w:eastAsia="Arial" w:cs="Arial"/>
          <w:spacing w:val="-1"/>
          <w:lang w:val="en-US"/>
        </w:rPr>
        <w:t xml:space="preserve"> </w:t>
      </w:r>
      <w:r w:rsidRPr="00847AB8">
        <w:rPr>
          <w:rFonts w:eastAsia="Arial" w:cs="Arial"/>
          <w:lang w:val="en-US"/>
        </w:rPr>
        <w:t>in</w:t>
      </w:r>
      <w:r w:rsidRPr="00847AB8">
        <w:rPr>
          <w:rFonts w:eastAsia="Arial" w:cs="Arial"/>
          <w:spacing w:val="-1"/>
          <w:lang w:val="en-US"/>
        </w:rPr>
        <w:t xml:space="preserve"> </w:t>
      </w:r>
      <w:r w:rsidRPr="00847AB8">
        <w:rPr>
          <w:rFonts w:eastAsia="Arial" w:cs="Arial"/>
          <w:lang w:val="en-US"/>
        </w:rPr>
        <w:t>terms of</w:t>
      </w:r>
      <w:r w:rsidRPr="00847AB8">
        <w:rPr>
          <w:rFonts w:eastAsia="Arial" w:cs="Arial"/>
          <w:spacing w:val="-1"/>
          <w:lang w:val="en-US"/>
        </w:rPr>
        <w:t xml:space="preserve"> </w:t>
      </w:r>
      <w:r w:rsidRPr="00847AB8">
        <w:rPr>
          <w:rFonts w:eastAsia="Arial" w:cs="Arial"/>
          <w:lang w:val="en-US"/>
        </w:rPr>
        <w:t>their individual</w:t>
      </w:r>
      <w:r w:rsidRPr="00847AB8">
        <w:rPr>
          <w:rFonts w:eastAsia="Arial" w:cs="Arial"/>
          <w:spacing w:val="-4"/>
          <w:lang w:val="en-US"/>
        </w:rPr>
        <w:t xml:space="preserve"> </w:t>
      </w:r>
      <w:r w:rsidRPr="00847AB8">
        <w:rPr>
          <w:rFonts w:eastAsia="Arial" w:cs="Arial"/>
          <w:lang w:val="en-US"/>
        </w:rPr>
        <w:t>contracts.</w:t>
      </w:r>
      <w:r w:rsidRPr="00847AB8">
        <w:rPr>
          <w:rFonts w:eastAsia="Arial" w:cs="Arial"/>
          <w:spacing w:val="-1"/>
          <w:lang w:val="en-US"/>
        </w:rPr>
        <w:t xml:space="preserve"> </w:t>
      </w:r>
      <w:r w:rsidRPr="00847AB8">
        <w:rPr>
          <w:rFonts w:eastAsia="Arial" w:cs="Arial"/>
          <w:lang w:val="en-US"/>
        </w:rPr>
        <w:t>As</w:t>
      </w:r>
      <w:r w:rsidRPr="00847AB8">
        <w:rPr>
          <w:rFonts w:eastAsia="Arial" w:cs="Arial"/>
          <w:spacing w:val="-2"/>
          <w:lang w:val="en-US"/>
        </w:rPr>
        <w:t xml:space="preserve"> </w:t>
      </w:r>
      <w:r w:rsidRPr="00847AB8">
        <w:rPr>
          <w:rFonts w:eastAsia="Arial" w:cs="Arial"/>
          <w:lang w:val="en-US"/>
        </w:rPr>
        <w:t>part of</w:t>
      </w:r>
      <w:r w:rsidRPr="00847AB8">
        <w:rPr>
          <w:rFonts w:eastAsia="Arial" w:cs="Arial"/>
          <w:spacing w:val="-4"/>
          <w:lang w:val="en-US"/>
        </w:rPr>
        <w:t xml:space="preserve"> </w:t>
      </w:r>
      <w:r w:rsidRPr="00847AB8">
        <w:rPr>
          <w:rFonts w:eastAsia="Arial" w:cs="Arial"/>
          <w:lang w:val="en-US"/>
        </w:rPr>
        <w:t>that</w:t>
      </w:r>
      <w:r w:rsidRPr="00847AB8">
        <w:rPr>
          <w:rFonts w:eastAsia="Arial" w:cs="Arial"/>
          <w:spacing w:val="-1"/>
          <w:lang w:val="en-US"/>
        </w:rPr>
        <w:t xml:space="preserve"> </w:t>
      </w:r>
      <w:r w:rsidRPr="00847AB8">
        <w:rPr>
          <w:rFonts w:eastAsia="Arial" w:cs="Arial"/>
          <w:lang w:val="en-US"/>
        </w:rPr>
        <w:t>monitoring</w:t>
      </w:r>
      <w:r w:rsidRPr="00847AB8">
        <w:rPr>
          <w:rFonts w:eastAsia="Arial" w:cs="Arial"/>
          <w:spacing w:val="-1"/>
          <w:lang w:val="en-US"/>
        </w:rPr>
        <w:t xml:space="preserve"> </w:t>
      </w:r>
      <w:r w:rsidRPr="00847AB8">
        <w:rPr>
          <w:rFonts w:eastAsia="Arial" w:cs="Arial"/>
          <w:lang w:val="en-US"/>
        </w:rPr>
        <w:t>process</w:t>
      </w:r>
      <w:r w:rsidRPr="00847AB8">
        <w:rPr>
          <w:rFonts w:eastAsia="Arial" w:cs="Arial"/>
          <w:spacing w:val="-1"/>
          <w:lang w:val="en-US"/>
        </w:rPr>
        <w:t xml:space="preserve"> </w:t>
      </w:r>
      <w:r w:rsidRPr="00847AB8">
        <w:rPr>
          <w:rFonts w:eastAsia="Arial" w:cs="Arial"/>
          <w:lang w:val="en-US"/>
        </w:rPr>
        <w:t>Edinburgh Trams</w:t>
      </w:r>
      <w:r w:rsidRPr="00847AB8">
        <w:rPr>
          <w:rFonts w:eastAsia="Arial" w:cs="Arial"/>
          <w:spacing w:val="-3"/>
          <w:lang w:val="en-US"/>
        </w:rPr>
        <w:t xml:space="preserve"> </w:t>
      </w:r>
      <w:r w:rsidRPr="00847AB8">
        <w:rPr>
          <w:rFonts w:eastAsia="Arial" w:cs="Arial"/>
          <w:lang w:val="en-US"/>
        </w:rPr>
        <w:t>also</w:t>
      </w:r>
      <w:r w:rsidRPr="00847AB8">
        <w:rPr>
          <w:rFonts w:eastAsia="Arial" w:cs="Arial"/>
          <w:spacing w:val="-1"/>
          <w:lang w:val="en-US"/>
        </w:rPr>
        <w:t xml:space="preserve"> </w:t>
      </w:r>
      <w:r w:rsidRPr="00847AB8">
        <w:rPr>
          <w:rFonts w:eastAsia="Arial" w:cs="Arial"/>
          <w:lang w:val="en-US"/>
        </w:rPr>
        <w:t>carry</w:t>
      </w:r>
      <w:r w:rsidRPr="00847AB8">
        <w:rPr>
          <w:rFonts w:eastAsia="Arial" w:cs="Arial"/>
          <w:spacing w:val="-2"/>
          <w:lang w:val="en-US"/>
        </w:rPr>
        <w:t xml:space="preserve"> </w:t>
      </w:r>
      <w:r w:rsidRPr="00847AB8">
        <w:rPr>
          <w:rFonts w:eastAsia="Arial" w:cs="Arial"/>
          <w:lang w:val="en-US"/>
        </w:rPr>
        <w:t>out</w:t>
      </w:r>
      <w:r w:rsidRPr="00847AB8">
        <w:rPr>
          <w:rFonts w:eastAsia="Arial" w:cs="Arial"/>
          <w:spacing w:val="-1"/>
          <w:lang w:val="en-US"/>
        </w:rPr>
        <w:t xml:space="preserve"> </w:t>
      </w:r>
      <w:r w:rsidRPr="00847AB8">
        <w:rPr>
          <w:rFonts w:eastAsia="Arial" w:cs="Arial"/>
          <w:lang w:val="en-US"/>
        </w:rPr>
        <w:t>annual</w:t>
      </w:r>
      <w:r w:rsidRPr="00847AB8">
        <w:rPr>
          <w:rFonts w:eastAsia="Arial" w:cs="Arial"/>
          <w:spacing w:val="-2"/>
          <w:lang w:val="en-US"/>
        </w:rPr>
        <w:t xml:space="preserve"> </w:t>
      </w:r>
      <w:r w:rsidRPr="00847AB8">
        <w:rPr>
          <w:rFonts w:eastAsia="Arial" w:cs="Arial"/>
          <w:lang w:val="en-US"/>
        </w:rPr>
        <w:t>audits of</w:t>
      </w:r>
      <w:r w:rsidRPr="00847AB8">
        <w:rPr>
          <w:rFonts w:eastAsia="Arial" w:cs="Arial"/>
          <w:spacing w:val="-11"/>
          <w:lang w:val="en-US"/>
        </w:rPr>
        <w:t xml:space="preserve"> </w:t>
      </w:r>
      <w:r w:rsidRPr="00847AB8">
        <w:rPr>
          <w:rFonts w:eastAsia="Arial" w:cs="Arial"/>
          <w:lang w:val="en-US"/>
        </w:rPr>
        <w:t>the</w:t>
      </w:r>
      <w:r w:rsidRPr="00847AB8">
        <w:rPr>
          <w:rFonts w:eastAsia="Arial" w:cs="Arial"/>
          <w:spacing w:val="-8"/>
          <w:lang w:val="en-US"/>
        </w:rPr>
        <w:t xml:space="preserve"> </w:t>
      </w:r>
      <w:r>
        <w:rPr>
          <w:rFonts w:eastAsia="Arial" w:cs="Arial"/>
          <w:lang w:val="en-US"/>
        </w:rPr>
        <w:t>M</w:t>
      </w:r>
      <w:r w:rsidRPr="00847AB8">
        <w:rPr>
          <w:rFonts w:eastAsia="Arial" w:cs="Arial"/>
          <w:lang w:val="en-US"/>
        </w:rPr>
        <w:t>aintainers</w:t>
      </w:r>
      <w:r w:rsidRPr="00847AB8">
        <w:rPr>
          <w:rFonts w:eastAsia="Arial" w:cs="Arial"/>
          <w:spacing w:val="-9"/>
          <w:lang w:val="en-US"/>
        </w:rPr>
        <w:t xml:space="preserve"> </w:t>
      </w:r>
      <w:r w:rsidRPr="00847AB8">
        <w:rPr>
          <w:rFonts w:eastAsia="Arial" w:cs="Arial"/>
          <w:lang w:val="en-US"/>
        </w:rPr>
        <w:t>to</w:t>
      </w:r>
      <w:r w:rsidRPr="00847AB8">
        <w:rPr>
          <w:rFonts w:eastAsia="Arial" w:cs="Arial"/>
          <w:spacing w:val="-8"/>
          <w:lang w:val="en-US"/>
        </w:rPr>
        <w:t xml:space="preserve"> </w:t>
      </w:r>
      <w:r w:rsidRPr="00847AB8">
        <w:rPr>
          <w:rFonts w:eastAsia="Arial" w:cs="Arial"/>
          <w:lang w:val="en-US"/>
        </w:rPr>
        <w:t>ensure</w:t>
      </w:r>
      <w:r w:rsidRPr="00847AB8">
        <w:rPr>
          <w:rFonts w:eastAsia="Arial" w:cs="Arial"/>
          <w:spacing w:val="-8"/>
          <w:lang w:val="en-US"/>
        </w:rPr>
        <w:t xml:space="preserve"> </w:t>
      </w:r>
      <w:r w:rsidRPr="00847AB8">
        <w:rPr>
          <w:rFonts w:eastAsia="Arial" w:cs="Arial"/>
          <w:lang w:val="en-US"/>
        </w:rPr>
        <w:t>compliance</w:t>
      </w:r>
      <w:r w:rsidRPr="00847AB8">
        <w:rPr>
          <w:rFonts w:eastAsia="Arial" w:cs="Arial"/>
          <w:spacing w:val="-8"/>
          <w:lang w:val="en-US"/>
        </w:rPr>
        <w:t xml:space="preserve"> </w:t>
      </w:r>
      <w:r w:rsidRPr="00847AB8">
        <w:rPr>
          <w:rFonts w:eastAsia="Arial" w:cs="Arial"/>
          <w:lang w:val="en-US"/>
        </w:rPr>
        <w:t>with</w:t>
      </w:r>
      <w:r w:rsidRPr="00847AB8">
        <w:rPr>
          <w:rFonts w:eastAsia="Arial" w:cs="Arial"/>
          <w:spacing w:val="-8"/>
          <w:lang w:val="en-US"/>
        </w:rPr>
        <w:t xml:space="preserve"> </w:t>
      </w:r>
      <w:r w:rsidRPr="00847AB8">
        <w:rPr>
          <w:rFonts w:eastAsia="Arial" w:cs="Arial"/>
          <w:lang w:val="en-US"/>
        </w:rPr>
        <w:t>the</w:t>
      </w:r>
      <w:r w:rsidRPr="00847AB8">
        <w:rPr>
          <w:rFonts w:eastAsia="Arial" w:cs="Arial"/>
          <w:spacing w:val="-9"/>
          <w:lang w:val="en-US"/>
        </w:rPr>
        <w:t xml:space="preserve"> </w:t>
      </w:r>
      <w:r w:rsidRPr="00847AB8">
        <w:rPr>
          <w:rFonts w:eastAsia="Arial" w:cs="Arial"/>
          <w:lang w:val="en-US"/>
        </w:rPr>
        <w:t>contract</w:t>
      </w:r>
      <w:r w:rsidRPr="00847AB8">
        <w:rPr>
          <w:rFonts w:eastAsia="Arial" w:cs="Arial"/>
          <w:spacing w:val="-10"/>
          <w:lang w:val="en-US"/>
        </w:rPr>
        <w:t xml:space="preserve"> </w:t>
      </w:r>
      <w:r w:rsidRPr="00847AB8">
        <w:rPr>
          <w:rFonts w:eastAsia="Arial" w:cs="Arial"/>
          <w:lang w:val="en-US"/>
        </w:rPr>
        <w:t>and</w:t>
      </w:r>
      <w:r w:rsidRPr="00847AB8">
        <w:rPr>
          <w:rFonts w:eastAsia="Arial" w:cs="Arial"/>
          <w:spacing w:val="-8"/>
          <w:lang w:val="en-US"/>
        </w:rPr>
        <w:t xml:space="preserve"> </w:t>
      </w:r>
      <w:r w:rsidRPr="00847AB8">
        <w:rPr>
          <w:rFonts w:eastAsia="Arial" w:cs="Arial"/>
          <w:lang w:val="en-US"/>
        </w:rPr>
        <w:t>to</w:t>
      </w:r>
      <w:r w:rsidRPr="00847AB8">
        <w:rPr>
          <w:rFonts w:eastAsia="Arial" w:cs="Arial"/>
          <w:spacing w:val="-11"/>
          <w:lang w:val="en-US"/>
        </w:rPr>
        <w:t xml:space="preserve"> </w:t>
      </w:r>
      <w:r w:rsidRPr="00847AB8">
        <w:rPr>
          <w:rFonts w:eastAsia="Arial" w:cs="Arial"/>
          <w:lang w:val="en-US"/>
        </w:rPr>
        <w:t>review</w:t>
      </w:r>
      <w:r w:rsidRPr="00847AB8">
        <w:rPr>
          <w:rFonts w:eastAsia="Arial" w:cs="Arial"/>
          <w:spacing w:val="-8"/>
          <w:lang w:val="en-US"/>
        </w:rPr>
        <w:t xml:space="preserve"> </w:t>
      </w:r>
      <w:r w:rsidRPr="00847AB8">
        <w:rPr>
          <w:rFonts w:eastAsia="Arial" w:cs="Arial"/>
          <w:lang w:val="en-US"/>
        </w:rPr>
        <w:t>their</w:t>
      </w:r>
      <w:r w:rsidRPr="00847AB8">
        <w:rPr>
          <w:rFonts w:eastAsia="Arial" w:cs="Arial"/>
          <w:spacing w:val="-7"/>
          <w:lang w:val="en-US"/>
        </w:rPr>
        <w:t xml:space="preserve"> </w:t>
      </w:r>
      <w:r w:rsidRPr="00847AB8">
        <w:rPr>
          <w:rFonts w:eastAsia="Arial" w:cs="Arial"/>
          <w:lang w:val="en-US"/>
        </w:rPr>
        <w:t>procedures</w:t>
      </w:r>
      <w:r w:rsidRPr="00847AB8">
        <w:rPr>
          <w:rFonts w:eastAsia="Arial" w:cs="Arial"/>
          <w:spacing w:val="-9"/>
          <w:lang w:val="en-US"/>
        </w:rPr>
        <w:t xml:space="preserve"> </w:t>
      </w:r>
      <w:r w:rsidRPr="00847AB8">
        <w:rPr>
          <w:rFonts w:eastAsia="Arial" w:cs="Arial"/>
          <w:lang w:val="en-US"/>
        </w:rPr>
        <w:t>for</w:t>
      </w:r>
      <w:r w:rsidRPr="00847AB8">
        <w:rPr>
          <w:rFonts w:eastAsia="Arial" w:cs="Arial"/>
          <w:spacing w:val="-10"/>
          <w:lang w:val="en-US"/>
        </w:rPr>
        <w:t xml:space="preserve"> </w:t>
      </w:r>
      <w:r w:rsidRPr="00847AB8">
        <w:rPr>
          <w:rFonts w:eastAsia="Arial" w:cs="Arial"/>
          <w:lang w:val="en-US"/>
        </w:rPr>
        <w:t>managing</w:t>
      </w:r>
      <w:r w:rsidRPr="00847AB8">
        <w:rPr>
          <w:rFonts w:eastAsia="Arial" w:cs="Arial"/>
          <w:spacing w:val="-8"/>
          <w:lang w:val="en-US"/>
        </w:rPr>
        <w:t xml:space="preserve"> </w:t>
      </w:r>
      <w:r w:rsidRPr="00847AB8">
        <w:rPr>
          <w:rFonts w:eastAsia="Arial" w:cs="Arial"/>
          <w:lang w:val="en-US"/>
        </w:rPr>
        <w:t>their</w:t>
      </w:r>
      <w:r w:rsidRPr="00847AB8">
        <w:rPr>
          <w:rFonts w:eastAsia="Arial" w:cs="Arial"/>
          <w:spacing w:val="-9"/>
          <w:lang w:val="en-US"/>
        </w:rPr>
        <w:t xml:space="preserve"> </w:t>
      </w:r>
      <w:r w:rsidRPr="00847AB8">
        <w:rPr>
          <w:rFonts w:eastAsia="Arial" w:cs="Arial"/>
          <w:lang w:val="en-US"/>
        </w:rPr>
        <w:t>works (e.g. fatigue and competence management and safety process, amongst others).</w:t>
      </w:r>
      <w:r w:rsidRPr="00847AB8">
        <w:t xml:space="preserve"> The contracts with the Maintainers were amended to take account of the additional maintenance requirements for the Newhaven line.</w:t>
      </w:r>
      <w:r>
        <w:t xml:space="preserve"> </w:t>
      </w:r>
      <w:r w:rsidRPr="00847AB8">
        <w:rPr>
          <w:rFonts w:eastAsia="Arial" w:cs="Arial"/>
          <w:lang w:val="en-US"/>
        </w:rPr>
        <w:t>Within their business’ planning objectives, Edinburgh Trams also monitor Key Performance Indicators to track both their own performance</w:t>
      </w:r>
      <w:r w:rsidRPr="00847AB8">
        <w:rPr>
          <w:rFonts w:eastAsia="Arial" w:cs="Arial"/>
          <w:spacing w:val="-14"/>
          <w:lang w:val="en-US"/>
        </w:rPr>
        <w:t xml:space="preserve"> </w:t>
      </w:r>
      <w:r w:rsidRPr="00847AB8">
        <w:rPr>
          <w:rFonts w:eastAsia="Arial" w:cs="Arial"/>
          <w:lang w:val="en-US"/>
        </w:rPr>
        <w:t>and</w:t>
      </w:r>
      <w:r w:rsidRPr="00847AB8">
        <w:rPr>
          <w:rFonts w:eastAsia="Arial" w:cs="Arial"/>
          <w:spacing w:val="-14"/>
          <w:lang w:val="en-US"/>
        </w:rPr>
        <w:t xml:space="preserve"> </w:t>
      </w:r>
      <w:r w:rsidRPr="00847AB8">
        <w:rPr>
          <w:rFonts w:eastAsia="Arial" w:cs="Arial"/>
          <w:lang w:val="en-US"/>
        </w:rPr>
        <w:t>that</w:t>
      </w:r>
      <w:r w:rsidRPr="00847AB8">
        <w:rPr>
          <w:rFonts w:eastAsia="Arial" w:cs="Arial"/>
          <w:spacing w:val="-14"/>
          <w:lang w:val="en-US"/>
        </w:rPr>
        <w:t xml:space="preserve"> </w:t>
      </w:r>
      <w:r w:rsidRPr="00847AB8">
        <w:rPr>
          <w:rFonts w:eastAsia="Arial" w:cs="Arial"/>
          <w:lang w:val="en-US"/>
        </w:rPr>
        <w:t>of</w:t>
      </w:r>
      <w:r w:rsidRPr="00847AB8">
        <w:rPr>
          <w:rFonts w:eastAsia="Arial" w:cs="Arial"/>
          <w:spacing w:val="-14"/>
          <w:lang w:val="en-US"/>
        </w:rPr>
        <w:t xml:space="preserve"> </w:t>
      </w:r>
      <w:r w:rsidRPr="00847AB8">
        <w:rPr>
          <w:rFonts w:eastAsia="Arial" w:cs="Arial"/>
          <w:lang w:val="en-US"/>
        </w:rPr>
        <w:t>the</w:t>
      </w:r>
      <w:r w:rsidRPr="00847AB8">
        <w:rPr>
          <w:rFonts w:eastAsia="Arial" w:cs="Arial"/>
          <w:spacing w:val="-14"/>
          <w:lang w:val="en-US"/>
        </w:rPr>
        <w:t xml:space="preserve"> M</w:t>
      </w:r>
      <w:r w:rsidRPr="00847AB8">
        <w:rPr>
          <w:rFonts w:eastAsia="Arial" w:cs="Arial"/>
          <w:lang w:val="en-US"/>
        </w:rPr>
        <w:t>aintainers</w:t>
      </w:r>
      <w:r w:rsidRPr="00847AB8">
        <w:rPr>
          <w:rFonts w:eastAsia="Arial" w:cs="Arial"/>
          <w:spacing w:val="-14"/>
          <w:lang w:val="en-US"/>
        </w:rPr>
        <w:t xml:space="preserve"> </w:t>
      </w:r>
      <w:r w:rsidRPr="00847AB8">
        <w:rPr>
          <w:rFonts w:eastAsia="Arial" w:cs="Arial"/>
          <w:lang w:val="en-US"/>
        </w:rPr>
        <w:t>and</w:t>
      </w:r>
      <w:r w:rsidRPr="00847AB8">
        <w:rPr>
          <w:rFonts w:eastAsia="Arial" w:cs="Arial"/>
          <w:spacing w:val="-14"/>
          <w:lang w:val="en-US"/>
        </w:rPr>
        <w:t xml:space="preserve"> </w:t>
      </w:r>
      <w:r w:rsidRPr="00847AB8">
        <w:rPr>
          <w:rFonts w:eastAsia="Arial" w:cs="Arial"/>
          <w:lang w:val="en-US"/>
        </w:rPr>
        <w:t>after</w:t>
      </w:r>
      <w:r w:rsidRPr="00847AB8">
        <w:rPr>
          <w:rFonts w:eastAsia="Arial" w:cs="Arial"/>
          <w:spacing w:val="-14"/>
          <w:lang w:val="en-US"/>
        </w:rPr>
        <w:t xml:space="preserve"> </w:t>
      </w:r>
      <w:r w:rsidRPr="00847AB8">
        <w:rPr>
          <w:rFonts w:eastAsia="Arial" w:cs="Arial"/>
          <w:lang w:val="en-US"/>
        </w:rPr>
        <w:t>each</w:t>
      </w:r>
      <w:r w:rsidRPr="00847AB8">
        <w:rPr>
          <w:rFonts w:eastAsia="Arial" w:cs="Arial"/>
          <w:spacing w:val="-14"/>
          <w:lang w:val="en-US"/>
        </w:rPr>
        <w:t xml:space="preserve"> </w:t>
      </w:r>
      <w:r w:rsidRPr="00847AB8">
        <w:rPr>
          <w:rFonts w:eastAsia="Arial" w:cs="Arial"/>
          <w:lang w:val="en-US"/>
        </w:rPr>
        <w:t>period</w:t>
      </w:r>
      <w:r w:rsidRPr="00847AB8">
        <w:rPr>
          <w:rFonts w:eastAsia="Arial" w:cs="Arial"/>
          <w:spacing w:val="-14"/>
          <w:lang w:val="en-US"/>
        </w:rPr>
        <w:t xml:space="preserve"> end </w:t>
      </w:r>
      <w:r w:rsidRPr="00847AB8">
        <w:rPr>
          <w:rFonts w:eastAsia="Arial" w:cs="Arial"/>
          <w:lang w:val="en-US"/>
        </w:rPr>
        <w:t>send</w:t>
      </w:r>
      <w:r w:rsidRPr="00847AB8">
        <w:rPr>
          <w:rFonts w:eastAsia="Arial" w:cs="Arial"/>
          <w:spacing w:val="-14"/>
          <w:lang w:val="en-US"/>
        </w:rPr>
        <w:t xml:space="preserve"> </w:t>
      </w:r>
      <w:r w:rsidRPr="00847AB8">
        <w:rPr>
          <w:rFonts w:eastAsia="Arial" w:cs="Arial"/>
          <w:lang w:val="en-US"/>
        </w:rPr>
        <w:t>a</w:t>
      </w:r>
      <w:r w:rsidRPr="00847AB8">
        <w:rPr>
          <w:rFonts w:eastAsia="Arial" w:cs="Arial"/>
          <w:spacing w:val="-14"/>
          <w:lang w:val="en-US"/>
        </w:rPr>
        <w:t xml:space="preserve"> </w:t>
      </w:r>
      <w:r w:rsidRPr="00847AB8">
        <w:rPr>
          <w:rFonts w:eastAsia="Arial" w:cs="Arial"/>
          <w:lang w:val="en-US"/>
        </w:rPr>
        <w:t>report</w:t>
      </w:r>
      <w:r w:rsidRPr="00847AB8">
        <w:rPr>
          <w:rFonts w:eastAsia="Arial" w:cs="Arial"/>
          <w:spacing w:val="-14"/>
          <w:lang w:val="en-US"/>
        </w:rPr>
        <w:t xml:space="preserve"> </w:t>
      </w:r>
      <w:r w:rsidRPr="00847AB8">
        <w:rPr>
          <w:rFonts w:eastAsia="Arial" w:cs="Arial"/>
          <w:lang w:val="en-US"/>
        </w:rPr>
        <w:t>to</w:t>
      </w:r>
      <w:r w:rsidRPr="00847AB8">
        <w:rPr>
          <w:rFonts w:eastAsia="Arial" w:cs="Arial"/>
          <w:spacing w:val="-14"/>
          <w:lang w:val="en-US"/>
        </w:rPr>
        <w:t xml:space="preserve"> </w:t>
      </w:r>
      <w:r w:rsidRPr="00847AB8">
        <w:rPr>
          <w:rFonts w:eastAsia="Arial" w:cs="Arial"/>
          <w:lang w:val="en-US"/>
        </w:rPr>
        <w:t>the</w:t>
      </w:r>
      <w:r w:rsidRPr="00847AB8">
        <w:rPr>
          <w:rFonts w:eastAsia="Arial" w:cs="Arial"/>
          <w:spacing w:val="-14"/>
          <w:lang w:val="en-US"/>
        </w:rPr>
        <w:t xml:space="preserve"> </w:t>
      </w:r>
      <w:r w:rsidRPr="00847AB8">
        <w:rPr>
          <w:rFonts w:eastAsia="Arial" w:cs="Arial"/>
          <w:lang w:val="en-US"/>
        </w:rPr>
        <w:t>City</w:t>
      </w:r>
      <w:r w:rsidRPr="00847AB8">
        <w:rPr>
          <w:rFonts w:eastAsia="Arial" w:cs="Arial"/>
          <w:spacing w:val="-13"/>
          <w:lang w:val="en-US"/>
        </w:rPr>
        <w:t xml:space="preserve"> </w:t>
      </w:r>
      <w:r w:rsidRPr="00847AB8">
        <w:rPr>
          <w:rFonts w:eastAsia="Arial" w:cs="Arial"/>
          <w:lang w:val="en-US"/>
        </w:rPr>
        <w:t>of</w:t>
      </w:r>
      <w:r w:rsidRPr="00847AB8">
        <w:rPr>
          <w:rFonts w:eastAsia="Arial" w:cs="Arial"/>
          <w:spacing w:val="-14"/>
          <w:lang w:val="en-US"/>
        </w:rPr>
        <w:t xml:space="preserve"> </w:t>
      </w:r>
      <w:r w:rsidRPr="00847AB8">
        <w:rPr>
          <w:rFonts w:eastAsia="Arial" w:cs="Arial"/>
          <w:lang w:val="en-US"/>
        </w:rPr>
        <w:t>Edinburgh Council (CEC). That information is collated in the annual report to CEC.</w:t>
      </w:r>
    </w:p>
    <w:p w14:paraId="5CE4FB58" w14:textId="77777777" w:rsidR="00FD0B28" w:rsidRPr="00847AB8" w:rsidRDefault="00FD0B28" w:rsidP="00FD0B28">
      <w:pPr>
        <w:widowControl w:val="0"/>
        <w:autoSpaceDE w:val="0"/>
        <w:autoSpaceDN w:val="0"/>
        <w:jc w:val="both"/>
        <w:rPr>
          <w:rFonts w:eastAsia="Arial" w:cs="Arial"/>
          <w:lang w:val="en-US"/>
        </w:rPr>
      </w:pPr>
    </w:p>
    <w:p w14:paraId="578B55F4" w14:textId="77777777" w:rsidR="00FD0B28" w:rsidRDefault="00FD0B28" w:rsidP="00FD0B28">
      <w:pPr>
        <w:jc w:val="both"/>
      </w:pPr>
      <w:r w:rsidRPr="00847AB8">
        <w:t xml:space="preserve">In 2022, Edinburgh Trams commenced an implementation process to introduce Leadmind to the tram fleet, which will automatically apply the brakes when significant over-speeding occurs. </w:t>
      </w:r>
      <w:r w:rsidRPr="00847AB8">
        <w:rPr>
          <w:rFonts w:eastAsia="Arial" w:cs="Arial"/>
          <w:lang w:val="en-US"/>
        </w:rPr>
        <w:t>It has been a</w:t>
      </w:r>
      <w:r w:rsidRPr="00847AB8">
        <w:rPr>
          <w:rFonts w:eastAsia="Arial" w:cs="Arial"/>
          <w:spacing w:val="-2"/>
          <w:lang w:val="en-US"/>
        </w:rPr>
        <w:t xml:space="preserve"> </w:t>
      </w:r>
      <w:r w:rsidRPr="00847AB8">
        <w:rPr>
          <w:rFonts w:eastAsia="Arial" w:cs="Arial"/>
          <w:lang w:val="en-US"/>
        </w:rPr>
        <w:t>long, intensive and</w:t>
      </w:r>
      <w:r w:rsidRPr="00847AB8">
        <w:rPr>
          <w:rFonts w:eastAsia="Arial" w:cs="Arial"/>
          <w:spacing w:val="-2"/>
          <w:lang w:val="en-US"/>
        </w:rPr>
        <w:t xml:space="preserve"> </w:t>
      </w:r>
      <w:r w:rsidRPr="00847AB8">
        <w:rPr>
          <w:rFonts w:eastAsia="Arial" w:cs="Arial"/>
          <w:lang w:val="en-US"/>
        </w:rPr>
        <w:t>complicated</w:t>
      </w:r>
      <w:r w:rsidRPr="00847AB8">
        <w:rPr>
          <w:rFonts w:eastAsia="Arial" w:cs="Arial"/>
          <w:spacing w:val="-2"/>
          <w:lang w:val="en-US"/>
        </w:rPr>
        <w:t xml:space="preserve"> </w:t>
      </w:r>
      <w:r w:rsidRPr="00847AB8">
        <w:rPr>
          <w:rFonts w:eastAsia="Arial" w:cs="Arial"/>
          <w:lang w:val="en-US"/>
        </w:rPr>
        <w:t>project, but</w:t>
      </w:r>
      <w:r w:rsidRPr="00847AB8">
        <w:rPr>
          <w:rFonts w:eastAsia="Arial" w:cs="Arial"/>
          <w:spacing w:val="-2"/>
          <w:lang w:val="en-US"/>
        </w:rPr>
        <w:t xml:space="preserve"> </w:t>
      </w:r>
      <w:r w:rsidRPr="00847AB8">
        <w:rPr>
          <w:rFonts w:eastAsia="Arial" w:cs="Arial"/>
          <w:lang w:val="en-US"/>
        </w:rPr>
        <w:t>the Leadmind</w:t>
      </w:r>
      <w:r w:rsidRPr="00847AB8">
        <w:rPr>
          <w:rFonts w:eastAsia="Arial" w:cs="Arial"/>
          <w:spacing w:val="-2"/>
          <w:lang w:val="en-US"/>
        </w:rPr>
        <w:t xml:space="preserve"> </w:t>
      </w:r>
      <w:r w:rsidRPr="00847AB8">
        <w:rPr>
          <w:rFonts w:eastAsia="Arial" w:cs="Arial"/>
          <w:lang w:val="en-US"/>
        </w:rPr>
        <w:t>hardware</w:t>
      </w:r>
      <w:r w:rsidRPr="00847AB8">
        <w:rPr>
          <w:rFonts w:eastAsia="Arial" w:cs="Arial"/>
          <w:spacing w:val="-2"/>
          <w:lang w:val="en-US"/>
        </w:rPr>
        <w:t xml:space="preserve"> </w:t>
      </w:r>
      <w:r w:rsidRPr="00847AB8">
        <w:rPr>
          <w:rFonts w:eastAsia="Arial" w:cs="Arial"/>
          <w:lang w:val="en-US"/>
        </w:rPr>
        <w:t xml:space="preserve">is now fully installed on all trams and </w:t>
      </w:r>
      <w:r>
        <w:rPr>
          <w:rFonts w:eastAsia="Arial" w:cs="Arial"/>
          <w:lang w:val="en-US"/>
        </w:rPr>
        <w:t>they</w:t>
      </w:r>
      <w:r w:rsidRPr="00847AB8">
        <w:rPr>
          <w:rFonts w:eastAsia="Arial" w:cs="Arial"/>
          <w:lang w:val="en-US"/>
        </w:rPr>
        <w:t xml:space="preserve"> are currently undergoing the final stages of testing.</w:t>
      </w:r>
      <w:r>
        <w:rPr>
          <w:rFonts w:eastAsia="Arial" w:cs="Arial"/>
          <w:lang w:val="en-US"/>
        </w:rPr>
        <w:t xml:space="preserve"> </w:t>
      </w:r>
      <w:r w:rsidRPr="00847AB8">
        <w:t>Edinburgh Trams have also installed battery-powered emergency</w:t>
      </w:r>
      <w:r w:rsidRPr="00847AB8">
        <w:rPr>
          <w:spacing w:val="-14"/>
        </w:rPr>
        <w:t xml:space="preserve"> </w:t>
      </w:r>
      <w:r w:rsidRPr="00847AB8">
        <w:t>lighting</w:t>
      </w:r>
      <w:r w:rsidRPr="00847AB8">
        <w:rPr>
          <w:spacing w:val="-14"/>
        </w:rPr>
        <w:t xml:space="preserve"> </w:t>
      </w:r>
      <w:r w:rsidRPr="00847AB8">
        <w:t>on</w:t>
      </w:r>
      <w:r w:rsidRPr="00847AB8">
        <w:rPr>
          <w:spacing w:val="-14"/>
        </w:rPr>
        <w:t xml:space="preserve"> the Tram </w:t>
      </w:r>
      <w:r w:rsidRPr="00847AB8">
        <w:t>fleet,</w:t>
      </w:r>
      <w:r w:rsidRPr="00847AB8">
        <w:rPr>
          <w:spacing w:val="-14"/>
        </w:rPr>
        <w:t xml:space="preserve"> </w:t>
      </w:r>
      <w:r w:rsidRPr="00847AB8">
        <w:t>following</w:t>
      </w:r>
      <w:r w:rsidRPr="00847AB8">
        <w:rPr>
          <w:spacing w:val="-14"/>
        </w:rPr>
        <w:t xml:space="preserve"> </w:t>
      </w:r>
      <w:r w:rsidRPr="00847AB8">
        <w:t>recommendations</w:t>
      </w:r>
      <w:r w:rsidRPr="00847AB8">
        <w:rPr>
          <w:spacing w:val="-14"/>
        </w:rPr>
        <w:t xml:space="preserve"> </w:t>
      </w:r>
      <w:r w:rsidRPr="00847AB8">
        <w:t>from</w:t>
      </w:r>
      <w:r w:rsidRPr="00847AB8">
        <w:rPr>
          <w:spacing w:val="-14"/>
        </w:rPr>
        <w:t xml:space="preserve"> </w:t>
      </w:r>
      <w:r w:rsidRPr="00847AB8">
        <w:t>the</w:t>
      </w:r>
      <w:r w:rsidRPr="00847AB8">
        <w:rPr>
          <w:spacing w:val="-14"/>
        </w:rPr>
        <w:t xml:space="preserve"> </w:t>
      </w:r>
      <w:r w:rsidRPr="00847AB8">
        <w:t>RAIB</w:t>
      </w:r>
      <w:r w:rsidRPr="00847AB8">
        <w:rPr>
          <w:spacing w:val="-13"/>
        </w:rPr>
        <w:t xml:space="preserve"> </w:t>
      </w:r>
      <w:r w:rsidRPr="00847AB8">
        <w:t>Sandilands</w:t>
      </w:r>
      <w:r w:rsidRPr="00847AB8">
        <w:rPr>
          <w:spacing w:val="-14"/>
        </w:rPr>
        <w:t xml:space="preserve"> </w:t>
      </w:r>
      <w:r w:rsidRPr="00847AB8">
        <w:t>report.</w:t>
      </w:r>
    </w:p>
    <w:p w14:paraId="176D5C91" w14:textId="77777777" w:rsidR="00FD0B28" w:rsidRDefault="00FD0B28" w:rsidP="00FD0B28">
      <w:pPr>
        <w:jc w:val="both"/>
      </w:pPr>
    </w:p>
    <w:p w14:paraId="5984E1DE" w14:textId="77777777" w:rsidR="00FD0B28" w:rsidRPr="00847AB8" w:rsidRDefault="00FD0B28" w:rsidP="00FD0B28">
      <w:pPr>
        <w:widowControl w:val="0"/>
        <w:autoSpaceDE w:val="0"/>
        <w:autoSpaceDN w:val="0"/>
        <w:jc w:val="both"/>
        <w:rPr>
          <w:rFonts w:eastAsia="Arial" w:cs="Arial"/>
          <w:lang w:val="en-US"/>
        </w:rPr>
      </w:pPr>
      <w:r>
        <w:rPr>
          <w:rFonts w:eastAsia="Arial" w:cs="Arial"/>
          <w:lang w:val="en-US"/>
        </w:rPr>
        <w:t>Edinburgh Trams</w:t>
      </w:r>
      <w:r w:rsidRPr="00847AB8">
        <w:rPr>
          <w:rFonts w:eastAsia="Arial" w:cs="Arial"/>
          <w:lang w:val="en-US"/>
        </w:rPr>
        <w:t xml:space="preserve"> also completed the upgrading of all tram passenger information, announcements and CCTV</w:t>
      </w:r>
      <w:r w:rsidRPr="00847AB8">
        <w:rPr>
          <w:rFonts w:eastAsia="Arial" w:cs="Arial"/>
          <w:spacing w:val="-1"/>
          <w:lang w:val="en-US"/>
        </w:rPr>
        <w:t xml:space="preserve"> </w:t>
      </w:r>
      <w:r w:rsidRPr="00847AB8">
        <w:rPr>
          <w:rFonts w:eastAsia="Arial" w:cs="Arial"/>
          <w:lang w:val="en-US"/>
        </w:rPr>
        <w:t>systems on the tram fleet in 2024.</w:t>
      </w:r>
    </w:p>
    <w:p w14:paraId="59D9EE85" w14:textId="77777777" w:rsidR="00FD0B28" w:rsidRDefault="00FD0B28" w:rsidP="006D515F">
      <w:pPr>
        <w:jc w:val="both"/>
        <w:rPr>
          <w:rFonts w:cs="Arial"/>
          <w:b/>
        </w:rPr>
      </w:pPr>
    </w:p>
    <w:p w14:paraId="18A03B3C" w14:textId="77777777" w:rsidR="00FD0B28" w:rsidRDefault="00FD0B28" w:rsidP="006D515F">
      <w:pPr>
        <w:jc w:val="both"/>
        <w:rPr>
          <w:rFonts w:cs="Arial"/>
          <w:b/>
        </w:rPr>
      </w:pPr>
    </w:p>
    <w:p w14:paraId="560D3B3F" w14:textId="77777777" w:rsidR="00FD0B28" w:rsidRDefault="00FD0B28" w:rsidP="006D515F">
      <w:pPr>
        <w:jc w:val="both"/>
        <w:rPr>
          <w:rFonts w:cs="Arial"/>
          <w:b/>
        </w:rPr>
      </w:pPr>
    </w:p>
    <w:p w14:paraId="54A6C08B" w14:textId="77777777" w:rsidR="00FD0B28" w:rsidRDefault="00FD0B28" w:rsidP="006D515F">
      <w:pPr>
        <w:jc w:val="both"/>
        <w:rPr>
          <w:rFonts w:cs="Arial"/>
          <w:b/>
        </w:rPr>
      </w:pPr>
    </w:p>
    <w:p w14:paraId="1C357A7A" w14:textId="77777777" w:rsidR="00FD0B28" w:rsidRDefault="00FD0B28" w:rsidP="006D515F">
      <w:pPr>
        <w:jc w:val="both"/>
        <w:rPr>
          <w:rFonts w:cs="Arial"/>
          <w:b/>
        </w:rPr>
      </w:pPr>
    </w:p>
    <w:p w14:paraId="4AA855F7" w14:textId="77777777" w:rsidR="00FD0B28" w:rsidRDefault="00FD0B28" w:rsidP="006D515F">
      <w:pPr>
        <w:jc w:val="both"/>
        <w:rPr>
          <w:rFonts w:cs="Arial"/>
          <w:b/>
        </w:rPr>
      </w:pPr>
    </w:p>
    <w:p w14:paraId="36F6AEB0" w14:textId="77777777" w:rsidR="00FD0B28" w:rsidRPr="00820267" w:rsidRDefault="00FD0B28" w:rsidP="00FD0B28">
      <w:pPr>
        <w:jc w:val="center"/>
        <w:outlineLvl w:val="0"/>
        <w:rPr>
          <w:b/>
        </w:rPr>
      </w:pPr>
      <w:r w:rsidRPr="00820267">
        <w:rPr>
          <w:b/>
        </w:rPr>
        <w:lastRenderedPageBreak/>
        <w:t>TRANSPORT FOR EDINBURGH LIMITED</w:t>
      </w:r>
    </w:p>
    <w:p w14:paraId="30985421" w14:textId="77777777" w:rsidR="00FD0B28" w:rsidRPr="00820267" w:rsidRDefault="00FD0B28" w:rsidP="00FD0B28">
      <w:pPr>
        <w:rPr>
          <w:b/>
        </w:rPr>
      </w:pPr>
    </w:p>
    <w:p w14:paraId="5EE046AF" w14:textId="77777777" w:rsidR="00FD0B28" w:rsidRPr="00820267" w:rsidRDefault="00FD0B28" w:rsidP="00FD0B28">
      <w:pPr>
        <w:jc w:val="center"/>
        <w:rPr>
          <w:b/>
        </w:rPr>
      </w:pPr>
      <w:r w:rsidRPr="00820267">
        <w:rPr>
          <w:b/>
        </w:rPr>
        <w:t>Strategic Report (continued)</w:t>
      </w:r>
    </w:p>
    <w:p w14:paraId="5D049977" w14:textId="77777777" w:rsidR="00FD0B28" w:rsidRPr="00820267" w:rsidRDefault="00FD0B28" w:rsidP="00FD0B28">
      <w:pPr>
        <w:jc w:val="center"/>
        <w:rPr>
          <w:b/>
        </w:rPr>
      </w:pPr>
    </w:p>
    <w:p w14:paraId="148047AB" w14:textId="77777777" w:rsidR="00FD0B28" w:rsidRPr="00820267" w:rsidRDefault="00FD0B28" w:rsidP="00FD0B28">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184A3202" w14:textId="77777777" w:rsidR="00FD0B28" w:rsidRDefault="00FD0B28" w:rsidP="006D515F">
      <w:pPr>
        <w:jc w:val="both"/>
        <w:rPr>
          <w:rFonts w:cs="Arial"/>
          <w:b/>
        </w:rPr>
      </w:pPr>
    </w:p>
    <w:p w14:paraId="716D23C1" w14:textId="77777777" w:rsidR="006D515F" w:rsidRPr="006A4A6F" w:rsidRDefault="00FD0B28" w:rsidP="006D515F">
      <w:pPr>
        <w:jc w:val="both"/>
        <w:rPr>
          <w:rFonts w:cs="Arial"/>
          <w:b/>
        </w:rPr>
      </w:pPr>
      <w:r>
        <w:rPr>
          <w:rFonts w:cs="Arial"/>
          <w:b/>
        </w:rPr>
        <w:t>C</w:t>
      </w:r>
      <w:r w:rsidR="006D515F" w:rsidRPr="006A4A6F">
        <w:rPr>
          <w:rFonts w:cs="Arial"/>
          <w:b/>
        </w:rPr>
        <w:t>harity Engagements</w:t>
      </w:r>
    </w:p>
    <w:p w14:paraId="0301A9B0" w14:textId="77777777" w:rsidR="006D515F" w:rsidRPr="006A4A6F" w:rsidRDefault="006D515F" w:rsidP="006D515F">
      <w:pPr>
        <w:jc w:val="both"/>
        <w:rPr>
          <w:rFonts w:cs="Arial"/>
        </w:rPr>
      </w:pPr>
    </w:p>
    <w:p w14:paraId="71D7811A" w14:textId="77777777" w:rsidR="006D515F" w:rsidRPr="006A4A6F" w:rsidRDefault="006D515F" w:rsidP="006D515F">
      <w:pPr>
        <w:jc w:val="both"/>
        <w:rPr>
          <w:rFonts w:cs="Arial"/>
          <w:color w:val="000000"/>
        </w:rPr>
      </w:pPr>
      <w:r w:rsidRPr="006A4A6F">
        <w:rPr>
          <w:rFonts w:cs="Arial"/>
          <w:color w:val="000000"/>
        </w:rPr>
        <w:t xml:space="preserve">During 2024, we continued </w:t>
      </w:r>
      <w:r>
        <w:rPr>
          <w:rFonts w:cs="Arial"/>
          <w:color w:val="000000"/>
        </w:rPr>
        <w:t xml:space="preserve">to engage </w:t>
      </w:r>
      <w:r w:rsidRPr="006A4A6F">
        <w:rPr>
          <w:rFonts w:cs="Arial"/>
          <w:color w:val="000000"/>
        </w:rPr>
        <w:t xml:space="preserve">with our community and </w:t>
      </w:r>
      <w:r>
        <w:rPr>
          <w:rFonts w:cs="Arial"/>
          <w:color w:val="000000"/>
        </w:rPr>
        <w:t xml:space="preserve">local </w:t>
      </w:r>
      <w:r w:rsidRPr="006A4A6F">
        <w:rPr>
          <w:rFonts w:cs="Arial"/>
          <w:color w:val="000000"/>
        </w:rPr>
        <w:t>charit</w:t>
      </w:r>
      <w:r>
        <w:rPr>
          <w:rFonts w:cs="Arial"/>
          <w:color w:val="000000"/>
        </w:rPr>
        <w:t>ies</w:t>
      </w:r>
      <w:r w:rsidRPr="006A4A6F">
        <w:rPr>
          <w:rFonts w:cs="Arial"/>
          <w:color w:val="000000"/>
        </w:rPr>
        <w:t>.</w:t>
      </w:r>
    </w:p>
    <w:p w14:paraId="7380BD2D" w14:textId="77777777" w:rsidR="006D515F" w:rsidRPr="00C328EF" w:rsidRDefault="006D515F" w:rsidP="006D515F">
      <w:pPr>
        <w:jc w:val="both"/>
        <w:rPr>
          <w:rFonts w:cs="Arial"/>
          <w:color w:val="000000"/>
          <w:sz w:val="12"/>
          <w:szCs w:val="12"/>
          <w:highlight w:val="yellow"/>
        </w:rPr>
      </w:pPr>
    </w:p>
    <w:p w14:paraId="2CE66C7F" w14:textId="77777777" w:rsidR="006D515F" w:rsidRPr="006A4A6F" w:rsidRDefault="006D515F" w:rsidP="006D515F">
      <w:pPr>
        <w:jc w:val="both"/>
        <w:rPr>
          <w:rFonts w:cs="Arial"/>
        </w:rPr>
      </w:pPr>
      <w:r w:rsidRPr="006A4A6F">
        <w:rPr>
          <w:rFonts w:cs="Arial"/>
        </w:rPr>
        <w:t>Lothian Buses</w:t>
      </w:r>
      <w:r w:rsidRPr="006A4A6F">
        <w:rPr>
          <w:rFonts w:cs="Arial"/>
          <w:color w:val="000000"/>
        </w:rPr>
        <w:t xml:space="preserve"> charity of choice was VOCAL (Voice of Carers Across Lothian</w:t>
      </w:r>
      <w:r w:rsidR="00907055">
        <w:rPr>
          <w:rFonts w:cs="Arial"/>
          <w:color w:val="000000"/>
        </w:rPr>
        <w:t>)</w:t>
      </w:r>
      <w:r w:rsidRPr="006A4A6F">
        <w:rPr>
          <w:rFonts w:cs="Arial"/>
          <w:color w:val="000000"/>
        </w:rPr>
        <w:t xml:space="preserve"> </w:t>
      </w:r>
      <w:bookmarkStart w:id="14" w:name="_Hlk96084542"/>
      <w:r w:rsidRPr="006A4A6F">
        <w:rPr>
          <w:rFonts w:cs="Arial"/>
          <w:color w:val="000000"/>
        </w:rPr>
        <w:t xml:space="preserve">and they worked with them constructively throughout the </w:t>
      </w:r>
      <w:r>
        <w:rPr>
          <w:rFonts w:cs="Arial"/>
          <w:color w:val="000000"/>
        </w:rPr>
        <w:t>period</w:t>
      </w:r>
      <w:r w:rsidRPr="006A4A6F">
        <w:rPr>
          <w:rFonts w:cs="Arial"/>
          <w:color w:val="000000"/>
        </w:rPr>
        <w:t xml:space="preserve"> as part of the second year of the 2 year partnership.</w:t>
      </w:r>
      <w:bookmarkEnd w:id="14"/>
      <w:r w:rsidRPr="006A4A6F">
        <w:rPr>
          <w:rFonts w:cs="Arial"/>
          <w:color w:val="000000"/>
        </w:rPr>
        <w:t xml:space="preserve"> 2024 saw Lothian Buses once again support the national Poppyscotland campaign across November with a specially liveried ‘Poppy Bus’ for the charity. The</w:t>
      </w:r>
      <w:r w:rsidRPr="006A4A6F">
        <w:rPr>
          <w:rFonts w:cs="Arial"/>
        </w:rPr>
        <w:t xml:space="preserve"> partnership with Police Scotland continues the behavioural change campaign and Lothian Buses continue to receive a positive response via the programme.</w:t>
      </w:r>
    </w:p>
    <w:p w14:paraId="1EDD1570" w14:textId="77777777" w:rsidR="006D515F" w:rsidRPr="00B3146F" w:rsidRDefault="006D515F" w:rsidP="006D515F">
      <w:pPr>
        <w:jc w:val="both"/>
        <w:rPr>
          <w:rFonts w:cs="Arial"/>
          <w:sz w:val="12"/>
          <w:szCs w:val="12"/>
        </w:rPr>
      </w:pPr>
    </w:p>
    <w:p w14:paraId="228C203D" w14:textId="77777777" w:rsidR="006D515F" w:rsidRPr="00B3146F" w:rsidRDefault="006D515F" w:rsidP="006D515F">
      <w:pPr>
        <w:jc w:val="both"/>
        <w:rPr>
          <w:rFonts w:cs="Arial"/>
          <w:lang w:val="en-US"/>
        </w:rPr>
      </w:pPr>
      <w:r w:rsidRPr="00B3146F">
        <w:rPr>
          <w:rFonts w:cs="Arial"/>
          <w:lang w:val="en-US"/>
        </w:rPr>
        <w:t xml:space="preserve">Edinburgh Trams continued to support the Scottish Poppy Appeal, Cash for Kids in Edinburgh and a number of other smaller charities through some staff involvement. </w:t>
      </w:r>
      <w:r w:rsidRPr="003513D7">
        <w:rPr>
          <w:rFonts w:cs="Arial"/>
          <w:lang w:val="en-US"/>
        </w:rPr>
        <w:t>St Johns Scotland, St</w:t>
      </w:r>
      <w:r w:rsidRPr="00B3146F">
        <w:rPr>
          <w:color w:val="000000"/>
        </w:rPr>
        <w:t xml:space="preserve"> Columba’s Hospice and</w:t>
      </w:r>
      <w:r w:rsidRPr="00B3146F">
        <w:rPr>
          <w:color w:val="000000"/>
          <w:spacing w:val="-1"/>
        </w:rPr>
        <w:t xml:space="preserve"> </w:t>
      </w:r>
      <w:r w:rsidRPr="00B3146F">
        <w:rPr>
          <w:color w:val="000000"/>
        </w:rPr>
        <w:t>NSPCC Scotland also benefitted from ‘bucket collections’ during special events at Murrayfield.</w:t>
      </w:r>
    </w:p>
    <w:p w14:paraId="74BD80A0" w14:textId="77777777" w:rsidR="006D515F" w:rsidRDefault="006D515F" w:rsidP="0037256B">
      <w:pPr>
        <w:autoSpaceDE w:val="0"/>
        <w:autoSpaceDN w:val="0"/>
        <w:adjustRightInd w:val="0"/>
        <w:rPr>
          <w:rFonts w:cs="Arial"/>
        </w:rPr>
      </w:pPr>
    </w:p>
    <w:p w14:paraId="24FC6A5F" w14:textId="77777777" w:rsidR="00FD0B28" w:rsidRDefault="00FD0B28" w:rsidP="0037256B">
      <w:pPr>
        <w:autoSpaceDE w:val="0"/>
        <w:autoSpaceDN w:val="0"/>
        <w:adjustRightInd w:val="0"/>
        <w:rPr>
          <w:rFonts w:cs="Arial"/>
        </w:rPr>
      </w:pPr>
    </w:p>
    <w:p w14:paraId="51A560BC" w14:textId="77777777" w:rsidR="00F640FB" w:rsidRDefault="00476D7C" w:rsidP="0037256B">
      <w:pPr>
        <w:autoSpaceDE w:val="0"/>
        <w:autoSpaceDN w:val="0"/>
        <w:adjustRightInd w:val="0"/>
        <w:rPr>
          <w:rFonts w:cs="Arial"/>
        </w:rPr>
      </w:pPr>
      <w:r w:rsidRPr="00820267">
        <w:rPr>
          <w:rFonts w:cs="Arial"/>
        </w:rPr>
        <w:t>This report was approved by the Board and signed on its behalf by:</w:t>
      </w:r>
      <w:r w:rsidR="00F7334A" w:rsidRPr="00820267">
        <w:rPr>
          <w:rFonts w:cs="Arial"/>
        </w:rPr>
        <w:t xml:space="preserve"> </w:t>
      </w:r>
    </w:p>
    <w:tbl>
      <w:tblPr>
        <w:tblW w:w="9879" w:type="dxa"/>
        <w:tblLook w:val="01E0" w:firstRow="1" w:lastRow="1" w:firstColumn="1" w:lastColumn="1" w:noHBand="0" w:noVBand="0"/>
      </w:tblPr>
      <w:tblGrid>
        <w:gridCol w:w="2694"/>
        <w:gridCol w:w="3039"/>
        <w:gridCol w:w="1386"/>
        <w:gridCol w:w="2760"/>
      </w:tblGrid>
      <w:tr w:rsidR="005C716B" w:rsidRPr="00C328EF" w14:paraId="1E015C5A" w14:textId="77777777" w:rsidTr="003513D7">
        <w:tc>
          <w:tcPr>
            <w:tcW w:w="2694" w:type="dxa"/>
            <w:tcBorders>
              <w:bottom w:val="dashSmallGap" w:sz="4" w:space="0" w:color="auto"/>
            </w:tcBorders>
            <w:vAlign w:val="bottom"/>
          </w:tcPr>
          <w:p w14:paraId="507CDBCC" w14:textId="1049966E" w:rsidR="005C716B" w:rsidRPr="003513D7" w:rsidRDefault="005C716B" w:rsidP="00F028EB">
            <w:pPr>
              <w:rPr>
                <w:rFonts w:cs="Arial"/>
                <w:b/>
                <w:spacing w:val="-2"/>
              </w:rPr>
            </w:pPr>
            <w:r w:rsidRPr="003513D7">
              <w:rPr>
                <w:rFonts w:cs="Arial"/>
                <w:b/>
                <w:spacing w:val="-2"/>
              </w:rPr>
              <w:t xml:space="preserve">Date: </w:t>
            </w:r>
            <w:r w:rsidR="003513D7">
              <w:rPr>
                <w:rFonts w:cs="Arial"/>
                <w:b/>
                <w:spacing w:val="-2"/>
              </w:rPr>
              <w:t>25 September</w:t>
            </w:r>
            <w:r w:rsidRPr="003513D7">
              <w:rPr>
                <w:rFonts w:cs="Arial"/>
                <w:b/>
                <w:spacing w:val="-2"/>
              </w:rPr>
              <w:t xml:space="preserve"> 202</w:t>
            </w:r>
            <w:r w:rsidR="00820267" w:rsidRPr="003513D7">
              <w:rPr>
                <w:rFonts w:cs="Arial"/>
                <w:b/>
                <w:spacing w:val="-2"/>
              </w:rPr>
              <w:t>5</w:t>
            </w:r>
          </w:p>
        </w:tc>
        <w:tc>
          <w:tcPr>
            <w:tcW w:w="3039" w:type="dxa"/>
          </w:tcPr>
          <w:p w14:paraId="6108F03B" w14:textId="77777777" w:rsidR="005C716B" w:rsidRPr="00C328EF" w:rsidRDefault="005C716B" w:rsidP="00F028EB">
            <w:pPr>
              <w:jc w:val="right"/>
              <w:rPr>
                <w:b/>
                <w:highlight w:val="yellow"/>
              </w:rPr>
            </w:pPr>
          </w:p>
        </w:tc>
        <w:tc>
          <w:tcPr>
            <w:tcW w:w="1386" w:type="dxa"/>
          </w:tcPr>
          <w:p w14:paraId="2EF50072" w14:textId="77777777" w:rsidR="005C716B" w:rsidRPr="00C328EF" w:rsidRDefault="005C716B" w:rsidP="00F028EB">
            <w:pPr>
              <w:rPr>
                <w:b/>
                <w:highlight w:val="yellow"/>
              </w:rPr>
            </w:pPr>
          </w:p>
          <w:p w14:paraId="081ED64E" w14:textId="77777777" w:rsidR="005C716B" w:rsidRPr="00C328EF" w:rsidRDefault="005C716B" w:rsidP="00F028EB">
            <w:pPr>
              <w:rPr>
                <w:b/>
                <w:highlight w:val="yellow"/>
              </w:rPr>
            </w:pPr>
          </w:p>
        </w:tc>
        <w:tc>
          <w:tcPr>
            <w:tcW w:w="2760" w:type="dxa"/>
            <w:tcBorders>
              <w:bottom w:val="dashSmallGap" w:sz="4" w:space="0" w:color="auto"/>
            </w:tcBorders>
          </w:tcPr>
          <w:p w14:paraId="22102D5A" w14:textId="77777777" w:rsidR="005C716B" w:rsidRPr="00C328EF" w:rsidRDefault="005C716B" w:rsidP="00F028EB">
            <w:pPr>
              <w:rPr>
                <w:b/>
                <w:highlight w:val="yellow"/>
              </w:rPr>
            </w:pPr>
          </w:p>
          <w:p w14:paraId="61A8A651" w14:textId="77777777" w:rsidR="005C716B" w:rsidRPr="00C328EF" w:rsidRDefault="005C716B" w:rsidP="00F028EB">
            <w:pPr>
              <w:rPr>
                <w:b/>
                <w:highlight w:val="yellow"/>
              </w:rPr>
            </w:pPr>
          </w:p>
        </w:tc>
      </w:tr>
      <w:tr w:rsidR="005C716B" w:rsidRPr="00C328EF" w14:paraId="7F20299F" w14:textId="77777777" w:rsidTr="003513D7">
        <w:trPr>
          <w:trHeight w:val="537"/>
        </w:trPr>
        <w:tc>
          <w:tcPr>
            <w:tcW w:w="2694" w:type="dxa"/>
            <w:tcBorders>
              <w:top w:val="dashSmallGap" w:sz="4" w:space="0" w:color="auto"/>
            </w:tcBorders>
            <w:vAlign w:val="bottom"/>
          </w:tcPr>
          <w:p w14:paraId="3540A3E4" w14:textId="77777777" w:rsidR="005C716B" w:rsidRPr="00C328EF" w:rsidRDefault="005C716B" w:rsidP="00F028EB">
            <w:pPr>
              <w:rPr>
                <w:rFonts w:cs="Arial"/>
                <w:b/>
                <w:spacing w:val="-2"/>
                <w:highlight w:val="yellow"/>
              </w:rPr>
            </w:pPr>
          </w:p>
        </w:tc>
        <w:tc>
          <w:tcPr>
            <w:tcW w:w="3039" w:type="dxa"/>
          </w:tcPr>
          <w:p w14:paraId="0BDC2857" w14:textId="77777777" w:rsidR="005C716B" w:rsidRPr="00C328EF" w:rsidRDefault="005C716B" w:rsidP="00F028EB">
            <w:pPr>
              <w:rPr>
                <w:b/>
                <w:highlight w:val="yellow"/>
              </w:rPr>
            </w:pPr>
          </w:p>
        </w:tc>
        <w:tc>
          <w:tcPr>
            <w:tcW w:w="1386" w:type="dxa"/>
          </w:tcPr>
          <w:p w14:paraId="18044229" w14:textId="77777777" w:rsidR="005C716B" w:rsidRPr="003513D7" w:rsidRDefault="005C716B" w:rsidP="00F028EB">
            <w:pPr>
              <w:rPr>
                <w:b/>
              </w:rPr>
            </w:pPr>
          </w:p>
        </w:tc>
        <w:tc>
          <w:tcPr>
            <w:tcW w:w="2760" w:type="dxa"/>
            <w:tcBorders>
              <w:top w:val="dashSmallGap" w:sz="4" w:space="0" w:color="auto"/>
            </w:tcBorders>
          </w:tcPr>
          <w:p w14:paraId="766AED57" w14:textId="6C56CF70" w:rsidR="005C716B" w:rsidRPr="003513D7" w:rsidRDefault="003513D7" w:rsidP="00F028EB">
            <w:pPr>
              <w:rPr>
                <w:b/>
              </w:rPr>
            </w:pPr>
            <w:r>
              <w:rPr>
                <w:b/>
              </w:rPr>
              <w:t>Richard Lloyd-Bithell</w:t>
            </w:r>
            <w:r w:rsidR="005C716B" w:rsidRPr="003513D7">
              <w:rPr>
                <w:b/>
              </w:rPr>
              <w:t xml:space="preserve"> (Director)</w:t>
            </w:r>
          </w:p>
        </w:tc>
      </w:tr>
    </w:tbl>
    <w:p w14:paraId="0FE9C541" w14:textId="77777777" w:rsidR="00C02D6C" w:rsidRPr="00820267" w:rsidRDefault="00476D7C" w:rsidP="00C02D6C">
      <w:pPr>
        <w:jc w:val="center"/>
        <w:rPr>
          <w:b/>
        </w:rPr>
      </w:pPr>
      <w:r w:rsidRPr="00C328EF">
        <w:rPr>
          <w:b/>
          <w:highlight w:val="yellow"/>
        </w:rPr>
        <w:br w:type="page"/>
      </w:r>
      <w:r w:rsidR="00C02D6C" w:rsidRPr="00820267">
        <w:rPr>
          <w:b/>
        </w:rPr>
        <w:lastRenderedPageBreak/>
        <w:t>TRANSPORT FOR EDINBURGH LIMITED</w:t>
      </w:r>
    </w:p>
    <w:p w14:paraId="16411845" w14:textId="77777777" w:rsidR="00C02D6C" w:rsidRPr="00820267" w:rsidRDefault="00C02D6C" w:rsidP="00C02D6C">
      <w:pPr>
        <w:rPr>
          <w:b/>
        </w:rPr>
      </w:pPr>
    </w:p>
    <w:p w14:paraId="5A4CD7BF" w14:textId="77777777" w:rsidR="00C02D6C" w:rsidRPr="00820267" w:rsidRDefault="00C02D6C" w:rsidP="00C02D6C">
      <w:pPr>
        <w:jc w:val="center"/>
        <w:rPr>
          <w:rFonts w:cs="Arial"/>
        </w:rPr>
      </w:pPr>
      <w:r w:rsidRPr="00820267">
        <w:rPr>
          <w:b/>
        </w:rPr>
        <w:t>Corporate Governance Report</w:t>
      </w:r>
    </w:p>
    <w:p w14:paraId="50FD9B91" w14:textId="77777777" w:rsidR="00C02D6C" w:rsidRPr="00820267" w:rsidRDefault="00C02D6C" w:rsidP="00C02D6C">
      <w:pPr>
        <w:jc w:val="center"/>
        <w:rPr>
          <w:b/>
        </w:rPr>
      </w:pPr>
    </w:p>
    <w:p w14:paraId="2C45FA12" w14:textId="77777777" w:rsidR="00C02D6C" w:rsidRPr="00820267" w:rsidRDefault="00D90B89" w:rsidP="00C02D6C">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139749B3" w14:textId="77777777" w:rsidR="00C02D6C" w:rsidRPr="00820267" w:rsidRDefault="00C02D6C" w:rsidP="00C02D6C">
      <w:pPr>
        <w:jc w:val="center"/>
        <w:rPr>
          <w:b/>
        </w:rPr>
      </w:pPr>
    </w:p>
    <w:p w14:paraId="2DF3249B" w14:textId="77777777" w:rsidR="000A0A69" w:rsidRPr="00820267" w:rsidRDefault="000A0A69" w:rsidP="000A0A69">
      <w:pPr>
        <w:jc w:val="both"/>
        <w:rPr>
          <w:rFonts w:cs="Arial"/>
          <w:b/>
        </w:rPr>
      </w:pPr>
      <w:r w:rsidRPr="00820267">
        <w:rPr>
          <w:rFonts w:cs="Arial"/>
          <w:b/>
        </w:rPr>
        <w:t>Basis of Principles Applied</w:t>
      </w:r>
    </w:p>
    <w:p w14:paraId="63D01A36" w14:textId="77777777" w:rsidR="000A0A69" w:rsidRPr="00820267" w:rsidRDefault="000A0A69" w:rsidP="000A0A69">
      <w:pPr>
        <w:jc w:val="both"/>
        <w:rPr>
          <w:rFonts w:cs="Arial"/>
        </w:rPr>
      </w:pPr>
    </w:p>
    <w:p w14:paraId="418A6388" w14:textId="77777777" w:rsidR="000A0A69" w:rsidRPr="00820267" w:rsidRDefault="000A0A69" w:rsidP="000A0A69">
      <w:pPr>
        <w:jc w:val="both"/>
        <w:rPr>
          <w:rFonts w:cs="Arial"/>
        </w:rPr>
      </w:pPr>
      <w:r w:rsidRPr="00820267">
        <w:rPr>
          <w:rFonts w:cs="Arial"/>
        </w:rPr>
        <w:t xml:space="preserve">For the </w:t>
      </w:r>
      <w:r w:rsidR="00156CC8">
        <w:rPr>
          <w:rFonts w:cs="Arial"/>
        </w:rPr>
        <w:t>period</w:t>
      </w:r>
      <w:r w:rsidRPr="00820267">
        <w:rPr>
          <w:rFonts w:cs="Arial"/>
        </w:rPr>
        <w:t xml:space="preserve"> ended </w:t>
      </w:r>
      <w:r w:rsidR="00156CC8">
        <w:rPr>
          <w:rFonts w:cs="Arial"/>
        </w:rPr>
        <w:t>28</w:t>
      </w:r>
      <w:r w:rsidRPr="00820267">
        <w:rPr>
          <w:rFonts w:cs="Arial"/>
        </w:rPr>
        <w:t xml:space="preserve"> December 202</w:t>
      </w:r>
      <w:r w:rsidR="00820267" w:rsidRPr="00820267">
        <w:rPr>
          <w:rFonts w:cs="Arial"/>
        </w:rPr>
        <w:t>4</w:t>
      </w:r>
      <w:r w:rsidRPr="00820267">
        <w:rPr>
          <w:rFonts w:cs="Arial"/>
        </w:rPr>
        <w:t>, under The Companies (Miscellaneous Reporting) Regulations 2018 (SI 2018/860), the Company has applied these regulations in full and has followed the Wates Corporate Governance Principles for Large Private Companies (published by the Financial Reporting Council ('FRC') in December 2018 and available on the FRC website).</w:t>
      </w:r>
    </w:p>
    <w:p w14:paraId="7519310B" w14:textId="77777777" w:rsidR="000A0A69" w:rsidRPr="00820267" w:rsidRDefault="000A0A69" w:rsidP="000A0A69">
      <w:pPr>
        <w:jc w:val="both"/>
        <w:rPr>
          <w:rFonts w:cs="Arial"/>
        </w:rPr>
      </w:pPr>
    </w:p>
    <w:p w14:paraId="627B6EA0" w14:textId="77777777" w:rsidR="000A0A69" w:rsidRPr="00820267" w:rsidRDefault="000A0A69" w:rsidP="000A0A69">
      <w:pPr>
        <w:jc w:val="both"/>
        <w:rPr>
          <w:rFonts w:cs="Arial"/>
        </w:rPr>
      </w:pPr>
      <w:r w:rsidRPr="00820267">
        <w:rPr>
          <w:rFonts w:cs="Arial"/>
        </w:rPr>
        <w:t>Companies are able to adopt the Wates principles as an appropriate framework when making disclosures regarding corporate governance arrangements. The Principles applied are set out below.</w:t>
      </w:r>
    </w:p>
    <w:p w14:paraId="344FE53D" w14:textId="77777777" w:rsidR="00C02D6C" w:rsidRPr="00820267" w:rsidRDefault="00C02D6C" w:rsidP="00C02D6C">
      <w:pPr>
        <w:jc w:val="both"/>
        <w:rPr>
          <w:rFonts w:cs="Arial"/>
        </w:rPr>
      </w:pPr>
    </w:p>
    <w:p w14:paraId="781A2B53" w14:textId="77777777" w:rsidR="000A0A69" w:rsidRPr="004310B2" w:rsidRDefault="000A0A69" w:rsidP="000A0A69">
      <w:pPr>
        <w:jc w:val="both"/>
        <w:rPr>
          <w:rFonts w:cs="Arial"/>
          <w:b/>
        </w:rPr>
      </w:pPr>
      <w:r w:rsidRPr="004310B2">
        <w:rPr>
          <w:rFonts w:cs="Arial"/>
          <w:b/>
        </w:rPr>
        <w:t>Principle 1 - Purpose and Leadership</w:t>
      </w:r>
    </w:p>
    <w:p w14:paraId="1EFD0B03" w14:textId="77777777" w:rsidR="000A0A69" w:rsidRPr="00B77919" w:rsidRDefault="000A0A69" w:rsidP="000A0A69">
      <w:pPr>
        <w:jc w:val="both"/>
        <w:rPr>
          <w:rFonts w:cs="Arial"/>
          <w:b/>
          <w:highlight w:val="yellow"/>
        </w:rPr>
      </w:pPr>
    </w:p>
    <w:p w14:paraId="6C9C2F4E" w14:textId="77777777" w:rsidR="000A0A69" w:rsidRPr="006D515F" w:rsidRDefault="000A0A69" w:rsidP="000A0A69">
      <w:pPr>
        <w:jc w:val="both"/>
        <w:rPr>
          <w:rFonts w:cs="Arial"/>
        </w:rPr>
      </w:pPr>
      <w:r w:rsidRPr="006D515F">
        <w:rPr>
          <w:rFonts w:cs="Arial"/>
        </w:rPr>
        <w:t>Transport for Edinburgh Limited was set up in 2013 as the parent and holding company for the City of Edinburgh Council shares in Lothian Buses Limited and Edinburgh Trams Limited. Lothian Buses was founded in 1919 and is owned by the four Lothian local authorities which resulted in the dissolution of the former Lothian Regional Council at the time of the Local Government reorganisation in 1994. Lothian</w:t>
      </w:r>
      <w:r w:rsidR="00907055">
        <w:rPr>
          <w:rFonts w:cs="Arial"/>
        </w:rPr>
        <w:t xml:space="preserve"> Buses </w:t>
      </w:r>
      <w:r w:rsidRPr="006D515F">
        <w:rPr>
          <w:rFonts w:cs="Arial"/>
        </w:rPr>
        <w:t xml:space="preserve">is the principal operator of bus services within the City of Edinburgh, Midlothian and East Lothian Council areas. They also operate bus services in West Lothian and operate open top sightseeing tours in Edinburgh and the City Region, in addition to day tours by coach, private hire and excursions. Edinburgh Trams were founded in 2013 and have a fleet of 27 trams operating seven days a week, offering regular services to </w:t>
      </w:r>
      <w:r w:rsidR="00156CC8" w:rsidRPr="006D515F">
        <w:rPr>
          <w:rFonts w:cs="Arial"/>
        </w:rPr>
        <w:t>23</w:t>
      </w:r>
      <w:r w:rsidRPr="006D515F">
        <w:rPr>
          <w:rFonts w:cs="Arial"/>
        </w:rPr>
        <w:t xml:space="preserve"> </w:t>
      </w:r>
      <w:r w:rsidR="00576D33" w:rsidRPr="006D515F">
        <w:rPr>
          <w:rFonts w:cs="Arial"/>
        </w:rPr>
        <w:t>stop</w:t>
      </w:r>
      <w:r w:rsidRPr="006D515F">
        <w:rPr>
          <w:rFonts w:cs="Arial"/>
        </w:rPr>
        <w:t>s, connecting Edinburgh Airport</w:t>
      </w:r>
      <w:r w:rsidR="00576D33" w:rsidRPr="006D515F">
        <w:rPr>
          <w:rFonts w:cs="Arial"/>
        </w:rPr>
        <w:t>,</w:t>
      </w:r>
      <w:r w:rsidRPr="006D515F">
        <w:rPr>
          <w:rFonts w:cs="Arial"/>
        </w:rPr>
        <w:t xml:space="preserve"> </w:t>
      </w:r>
      <w:r w:rsidR="00576D33" w:rsidRPr="006D515F">
        <w:rPr>
          <w:rFonts w:cs="Arial"/>
        </w:rPr>
        <w:t>through</w:t>
      </w:r>
      <w:r w:rsidRPr="006D515F">
        <w:rPr>
          <w:rFonts w:cs="Arial"/>
        </w:rPr>
        <w:t xml:space="preserve"> the heart of Edinburgh</w:t>
      </w:r>
      <w:r w:rsidR="00576D33" w:rsidRPr="006D515F">
        <w:rPr>
          <w:rFonts w:cs="Arial"/>
        </w:rPr>
        <w:t xml:space="preserve">, to </w:t>
      </w:r>
      <w:r w:rsidR="007775F1">
        <w:rPr>
          <w:rFonts w:cs="Arial"/>
        </w:rPr>
        <w:t>Newhaven</w:t>
      </w:r>
      <w:r w:rsidRPr="006D515F">
        <w:rPr>
          <w:rFonts w:cs="Arial"/>
        </w:rPr>
        <w:t>.</w:t>
      </w:r>
    </w:p>
    <w:p w14:paraId="3ECFAC89" w14:textId="77777777" w:rsidR="000A0A69" w:rsidRPr="006D515F" w:rsidRDefault="000A0A69" w:rsidP="000A0A69">
      <w:pPr>
        <w:jc w:val="both"/>
        <w:rPr>
          <w:rFonts w:cs="Arial"/>
        </w:rPr>
      </w:pPr>
    </w:p>
    <w:p w14:paraId="401ADE82" w14:textId="77777777" w:rsidR="00C02D6C" w:rsidRPr="006D515F" w:rsidRDefault="006D54D4" w:rsidP="006D515F">
      <w:pPr>
        <w:jc w:val="both"/>
        <w:rPr>
          <w:rFonts w:cs="Arial"/>
        </w:rPr>
      </w:pPr>
      <w:r w:rsidRPr="006D515F">
        <w:rPr>
          <w:rFonts w:cs="Arial"/>
        </w:rPr>
        <w:t xml:space="preserve">The group’s </w:t>
      </w:r>
      <w:r w:rsidR="000A0A69" w:rsidRPr="006D515F">
        <w:rPr>
          <w:rFonts w:cs="Arial"/>
        </w:rPr>
        <w:t>vision is to be</w:t>
      </w:r>
      <w:r w:rsidR="00BA4606" w:rsidRPr="006D515F">
        <w:rPr>
          <w:rFonts w:cs="Arial"/>
        </w:rPr>
        <w:t xml:space="preserve"> t</w:t>
      </w:r>
      <w:r w:rsidR="00C02D6C" w:rsidRPr="006D515F">
        <w:rPr>
          <w:rFonts w:cs="Arial"/>
        </w:rPr>
        <w:t>he most customer led</w:t>
      </w:r>
      <w:r w:rsidR="00BA4606" w:rsidRPr="006D515F">
        <w:rPr>
          <w:rFonts w:cs="Arial"/>
        </w:rPr>
        <w:t>, f</w:t>
      </w:r>
      <w:r w:rsidR="00C02D6C" w:rsidRPr="006D515F">
        <w:rPr>
          <w:rFonts w:cs="Arial"/>
        </w:rPr>
        <w:t>ocused and innovative public transport operator in Scotland</w:t>
      </w:r>
      <w:r w:rsidR="00BA4606" w:rsidRPr="006D515F">
        <w:rPr>
          <w:rFonts w:cs="Arial"/>
        </w:rPr>
        <w:t>, d</w:t>
      </w:r>
      <w:r w:rsidR="00C02D6C" w:rsidRPr="006D515F">
        <w:rPr>
          <w:rFonts w:cs="Arial"/>
        </w:rPr>
        <w:t>elivering safe, compliant and reliable bus and tram services.</w:t>
      </w:r>
    </w:p>
    <w:p w14:paraId="61D6F9CA" w14:textId="77777777" w:rsidR="00C02D6C" w:rsidRPr="006D515F" w:rsidRDefault="00C02D6C" w:rsidP="00C02D6C">
      <w:pPr>
        <w:jc w:val="both"/>
        <w:rPr>
          <w:rFonts w:cs="Arial"/>
        </w:rPr>
      </w:pPr>
    </w:p>
    <w:p w14:paraId="0F39AF0D" w14:textId="77777777" w:rsidR="00BF28A0" w:rsidRPr="006D515F" w:rsidRDefault="00BF28A0" w:rsidP="00BF28A0">
      <w:pPr>
        <w:jc w:val="both"/>
        <w:rPr>
          <w:rFonts w:cs="Arial"/>
          <w:b/>
        </w:rPr>
      </w:pPr>
      <w:r w:rsidRPr="006D515F">
        <w:rPr>
          <w:rFonts w:cs="Arial"/>
          <w:b/>
        </w:rPr>
        <w:t>Transport ALEO reform</w:t>
      </w:r>
    </w:p>
    <w:p w14:paraId="32FD3215" w14:textId="77777777" w:rsidR="00BF28A0" w:rsidRPr="006D515F" w:rsidRDefault="00BF28A0" w:rsidP="00BF28A0">
      <w:pPr>
        <w:jc w:val="both"/>
        <w:rPr>
          <w:rFonts w:cs="Arial"/>
          <w:bCs/>
        </w:rPr>
      </w:pPr>
    </w:p>
    <w:p w14:paraId="3677177C" w14:textId="22D5CEB1" w:rsidR="00BF28A0" w:rsidRDefault="00BF28A0" w:rsidP="00BF28A0">
      <w:pPr>
        <w:jc w:val="both"/>
        <w:rPr>
          <w:rFonts w:cs="Arial"/>
          <w:bCs/>
        </w:rPr>
      </w:pPr>
      <w:r w:rsidRPr="006D515F">
        <w:rPr>
          <w:rFonts w:cs="Arial"/>
          <w:bCs/>
        </w:rPr>
        <w:t xml:space="preserve">In October 2023, the City of Edinburgh Council Transport and Environment Committee (TEC) approved a revised approach to the delivery of Edinburgh’s integrated public transport network. </w:t>
      </w:r>
      <w:r w:rsidR="007775F1">
        <w:rPr>
          <w:rFonts w:cs="Arial"/>
          <w:bCs/>
        </w:rPr>
        <w:t>In May 2024, u</w:t>
      </w:r>
      <w:r w:rsidRPr="006D515F">
        <w:rPr>
          <w:rFonts w:cs="Arial"/>
          <w:bCs/>
        </w:rPr>
        <w:t>nder the new arrangements</w:t>
      </w:r>
      <w:r w:rsidRPr="00134C5A">
        <w:rPr>
          <w:rFonts w:cs="Arial"/>
          <w:bCs/>
        </w:rPr>
        <w:t>, and in accordance with the objective of those reforms</w:t>
      </w:r>
      <w:r w:rsidR="006D515F">
        <w:rPr>
          <w:rFonts w:cs="Arial"/>
          <w:bCs/>
        </w:rPr>
        <w:t xml:space="preserve">, </w:t>
      </w:r>
      <w:r w:rsidRPr="00134C5A">
        <w:rPr>
          <w:rFonts w:cs="Arial"/>
          <w:bCs/>
        </w:rPr>
        <w:t>the Company realigned its activities with its revised responsibility as solely a shareholding entity</w:t>
      </w:r>
      <w:r w:rsidR="00134C5A" w:rsidRPr="00134C5A">
        <w:rPr>
          <w:rFonts w:cs="Arial"/>
          <w:bCs/>
        </w:rPr>
        <w:t>. On 10 May 202</w:t>
      </w:r>
      <w:r w:rsidR="007775F1">
        <w:rPr>
          <w:rFonts w:cs="Arial"/>
          <w:bCs/>
        </w:rPr>
        <w:t>4</w:t>
      </w:r>
      <w:r w:rsidR="00134C5A" w:rsidRPr="00134C5A">
        <w:rPr>
          <w:rFonts w:cs="Arial"/>
          <w:bCs/>
        </w:rPr>
        <w:t>, the Company held it</w:t>
      </w:r>
      <w:r w:rsidR="00A4364B">
        <w:rPr>
          <w:rFonts w:cs="Arial"/>
          <w:bCs/>
        </w:rPr>
        <w:t>s</w:t>
      </w:r>
      <w:r w:rsidR="00134C5A" w:rsidRPr="00134C5A">
        <w:rPr>
          <w:rFonts w:cs="Arial"/>
          <w:bCs/>
        </w:rPr>
        <w:t xml:space="preserve"> last</w:t>
      </w:r>
      <w:r w:rsidRPr="00134C5A">
        <w:rPr>
          <w:rFonts w:cs="Arial"/>
          <w:bCs/>
        </w:rPr>
        <w:t xml:space="preserve"> Board with executive functionality</w:t>
      </w:r>
      <w:r w:rsidR="00134C5A" w:rsidRPr="00134C5A">
        <w:rPr>
          <w:rFonts w:cs="Arial"/>
          <w:bCs/>
        </w:rPr>
        <w:t>, with those executive</w:t>
      </w:r>
      <w:r w:rsidR="003807F5">
        <w:rPr>
          <w:rFonts w:cs="Arial"/>
          <w:bCs/>
        </w:rPr>
        <w:t xml:space="preserve"> and governance</w:t>
      </w:r>
      <w:r w:rsidR="00134C5A" w:rsidRPr="00134C5A">
        <w:rPr>
          <w:rFonts w:cs="Arial"/>
          <w:bCs/>
        </w:rPr>
        <w:t xml:space="preserve"> responsibilities transferring to the Boards of Lothian Buses and Edinburgh Trams</w:t>
      </w:r>
      <w:r w:rsidRPr="00134C5A">
        <w:rPr>
          <w:rFonts w:cs="Arial"/>
          <w:bCs/>
        </w:rPr>
        <w:t>.</w:t>
      </w:r>
      <w:r w:rsidR="001D2599">
        <w:rPr>
          <w:rFonts w:cs="Arial"/>
          <w:bCs/>
        </w:rPr>
        <w:t xml:space="preserve"> </w:t>
      </w:r>
      <w:r w:rsidR="00A4364B">
        <w:rPr>
          <w:rFonts w:cs="Arial"/>
          <w:bCs/>
        </w:rPr>
        <w:t xml:space="preserve">The disclosures under </w:t>
      </w:r>
      <w:r w:rsidR="002F0545">
        <w:rPr>
          <w:rFonts w:cs="Arial"/>
          <w:bCs/>
        </w:rPr>
        <w:t>the following principles should therefore be considered within this context.</w:t>
      </w:r>
      <w:r>
        <w:rPr>
          <w:rFonts w:cs="Arial"/>
          <w:bCs/>
        </w:rPr>
        <w:t xml:space="preserve"> </w:t>
      </w:r>
    </w:p>
    <w:p w14:paraId="11CCD14F" w14:textId="77777777" w:rsidR="00BF28A0" w:rsidRDefault="00BF28A0" w:rsidP="00C02D6C">
      <w:pPr>
        <w:jc w:val="both"/>
        <w:rPr>
          <w:rFonts w:cs="Arial"/>
          <w:highlight w:val="yellow"/>
        </w:rPr>
      </w:pPr>
    </w:p>
    <w:p w14:paraId="79866E55" w14:textId="77777777" w:rsidR="000A0A69" w:rsidRPr="006D515F" w:rsidRDefault="000A0A69" w:rsidP="000A0A69">
      <w:pPr>
        <w:jc w:val="both"/>
        <w:rPr>
          <w:rFonts w:cs="Arial"/>
          <w:b/>
        </w:rPr>
      </w:pPr>
      <w:r w:rsidRPr="006D515F">
        <w:rPr>
          <w:rFonts w:cs="Arial"/>
          <w:b/>
        </w:rPr>
        <w:t>Principle 2 - Board Composition</w:t>
      </w:r>
    </w:p>
    <w:p w14:paraId="35439A48" w14:textId="77777777" w:rsidR="000A0A69" w:rsidRPr="006D515F" w:rsidRDefault="000A0A69" w:rsidP="000A0A69">
      <w:pPr>
        <w:jc w:val="both"/>
        <w:rPr>
          <w:rFonts w:cs="Arial"/>
          <w:b/>
        </w:rPr>
      </w:pPr>
    </w:p>
    <w:p w14:paraId="7D82891B" w14:textId="77777777" w:rsidR="000A0A69" w:rsidRPr="006D515F" w:rsidRDefault="000A0A69" w:rsidP="000A0A69">
      <w:pPr>
        <w:jc w:val="both"/>
        <w:rPr>
          <w:rFonts w:cs="Arial"/>
        </w:rPr>
      </w:pPr>
      <w:r w:rsidRPr="006D515F">
        <w:rPr>
          <w:rFonts w:cs="Arial"/>
        </w:rPr>
        <w:t>Details of each Board Director can be found on page 2.</w:t>
      </w:r>
    </w:p>
    <w:p w14:paraId="13D2BF8E" w14:textId="77777777" w:rsidR="000A0A69" w:rsidRPr="006D515F" w:rsidRDefault="000A0A69" w:rsidP="000A0A69">
      <w:pPr>
        <w:jc w:val="both"/>
        <w:rPr>
          <w:rFonts w:cs="Arial"/>
        </w:rPr>
      </w:pPr>
    </w:p>
    <w:p w14:paraId="170B700C" w14:textId="77777777" w:rsidR="000A0A69" w:rsidRPr="006D515F" w:rsidRDefault="000A0A69" w:rsidP="000A0A69">
      <w:pPr>
        <w:jc w:val="both"/>
        <w:rPr>
          <w:rFonts w:cs="Arial"/>
        </w:rPr>
      </w:pPr>
      <w:r w:rsidRPr="006D515F">
        <w:rPr>
          <w:rFonts w:cs="Arial"/>
        </w:rPr>
        <w:t xml:space="preserve">The Group </w:t>
      </w:r>
      <w:r w:rsidR="00576D33" w:rsidRPr="006D515F">
        <w:rPr>
          <w:rFonts w:cs="Arial"/>
        </w:rPr>
        <w:t>maintains</w:t>
      </w:r>
      <w:r w:rsidRPr="006D515F">
        <w:rPr>
          <w:rFonts w:cs="Arial"/>
        </w:rPr>
        <w:t xml:space="preserve"> separate Chair and Chief Executive </w:t>
      </w:r>
      <w:r w:rsidR="00576D33" w:rsidRPr="006D515F">
        <w:rPr>
          <w:rFonts w:cs="Arial"/>
        </w:rPr>
        <w:t>roles</w:t>
      </w:r>
      <w:r w:rsidR="00134C5A" w:rsidRPr="006D515F">
        <w:rPr>
          <w:rFonts w:cs="Arial"/>
        </w:rPr>
        <w:t xml:space="preserve"> for its Boards </w:t>
      </w:r>
      <w:r w:rsidRPr="006D515F">
        <w:rPr>
          <w:rFonts w:cs="Arial"/>
        </w:rPr>
        <w:t xml:space="preserve">to ensure that the balance of responsibilities, accountabilities and decision making across the Group are effectively maintained. The Chair role </w:t>
      </w:r>
      <w:r w:rsidR="00576D33" w:rsidRPr="006D515F">
        <w:rPr>
          <w:rFonts w:cs="Arial"/>
        </w:rPr>
        <w:t xml:space="preserve">is pivotal </w:t>
      </w:r>
      <w:r w:rsidRPr="006D515F">
        <w:rPr>
          <w:rFonts w:cs="Arial"/>
        </w:rPr>
        <w:t>in creating the conditions for overall Board and individual Director effectiveness.</w:t>
      </w:r>
    </w:p>
    <w:p w14:paraId="2CD63E73" w14:textId="77777777" w:rsidR="000A0A69" w:rsidRPr="006D515F" w:rsidRDefault="000A0A69" w:rsidP="000A0A69">
      <w:pPr>
        <w:jc w:val="both"/>
        <w:rPr>
          <w:rFonts w:cs="Arial"/>
        </w:rPr>
      </w:pPr>
    </w:p>
    <w:p w14:paraId="32267D32" w14:textId="61CAE59E" w:rsidR="000A0A69" w:rsidRPr="006D515F" w:rsidRDefault="004D31B2" w:rsidP="000A0A69">
      <w:pPr>
        <w:jc w:val="both"/>
        <w:rPr>
          <w:rFonts w:cs="Arial"/>
        </w:rPr>
      </w:pPr>
      <w:r w:rsidRPr="006D515F">
        <w:rPr>
          <w:rFonts w:cs="Arial"/>
        </w:rPr>
        <w:t xml:space="preserve">Until </w:t>
      </w:r>
      <w:r w:rsidR="007775F1">
        <w:rPr>
          <w:rFonts w:cs="Arial"/>
        </w:rPr>
        <w:t>August</w:t>
      </w:r>
      <w:r w:rsidRPr="006D515F">
        <w:rPr>
          <w:rFonts w:cs="Arial"/>
        </w:rPr>
        <w:t xml:space="preserve"> 2024, t</w:t>
      </w:r>
      <w:r w:rsidR="000A0A69" w:rsidRPr="006D515F">
        <w:rPr>
          <w:rFonts w:cs="Arial"/>
        </w:rPr>
        <w:t xml:space="preserve">he </w:t>
      </w:r>
      <w:r w:rsidRPr="006D515F">
        <w:rPr>
          <w:rFonts w:cs="Arial"/>
        </w:rPr>
        <w:t xml:space="preserve">Company </w:t>
      </w:r>
      <w:r w:rsidR="000A0A69" w:rsidRPr="006D515F">
        <w:rPr>
          <w:rFonts w:cs="Arial"/>
        </w:rPr>
        <w:t>Board comprise</w:t>
      </w:r>
      <w:r w:rsidRPr="006D515F">
        <w:rPr>
          <w:rFonts w:cs="Arial"/>
        </w:rPr>
        <w:t>d</w:t>
      </w:r>
      <w:r w:rsidR="000A0A69" w:rsidRPr="006D515F">
        <w:rPr>
          <w:rFonts w:cs="Arial"/>
        </w:rPr>
        <w:t xml:space="preserve"> a Chair, Chief Executive, the Chairs from Lothian Buses and Edinburgh Trams or their representative and up to seven Directors, of which four </w:t>
      </w:r>
      <w:r w:rsidR="00A35C80">
        <w:rPr>
          <w:rFonts w:cs="Arial"/>
        </w:rPr>
        <w:t>w</w:t>
      </w:r>
      <w:r w:rsidR="00B60878">
        <w:rPr>
          <w:rFonts w:cs="Arial"/>
        </w:rPr>
        <w:t>e</w:t>
      </w:r>
      <w:r w:rsidR="000A0A69" w:rsidRPr="006D515F">
        <w:rPr>
          <w:rFonts w:cs="Arial"/>
        </w:rPr>
        <w:t xml:space="preserve">re Elected Members from the leading political parties in the Edinburgh Administration. This size and composition of the TfE Board </w:t>
      </w:r>
      <w:r w:rsidR="00DB789A">
        <w:rPr>
          <w:rFonts w:cs="Arial"/>
        </w:rPr>
        <w:t>was</w:t>
      </w:r>
      <w:r w:rsidR="000A0A69" w:rsidRPr="006D515F">
        <w:rPr>
          <w:rFonts w:cs="Arial"/>
        </w:rPr>
        <w:t xml:space="preserve"> </w:t>
      </w:r>
      <w:r w:rsidR="006D515F">
        <w:rPr>
          <w:rFonts w:cs="Arial"/>
        </w:rPr>
        <w:t xml:space="preserve">considered </w:t>
      </w:r>
      <w:r w:rsidR="000A0A69" w:rsidRPr="006D515F">
        <w:rPr>
          <w:rFonts w:cs="Arial"/>
        </w:rPr>
        <w:t>appropriate for the business</w:t>
      </w:r>
      <w:r w:rsidR="00890393">
        <w:rPr>
          <w:rFonts w:cs="Arial"/>
        </w:rPr>
        <w:t xml:space="preserve"> during the period it retained executive functionality</w:t>
      </w:r>
      <w:r w:rsidR="000A0A69" w:rsidRPr="006D515F">
        <w:rPr>
          <w:rFonts w:cs="Arial"/>
        </w:rPr>
        <w:t xml:space="preserve">. </w:t>
      </w:r>
      <w:r w:rsidR="00B60878">
        <w:rPr>
          <w:rFonts w:cs="Arial"/>
        </w:rPr>
        <w:t xml:space="preserve">The current </w:t>
      </w:r>
      <w:r w:rsidR="00A1724B">
        <w:rPr>
          <w:rFonts w:cs="Arial"/>
        </w:rPr>
        <w:t>composition of the Board is also considered appropriate for its revised responsibility as a sh</w:t>
      </w:r>
      <w:r w:rsidR="007C0DAF">
        <w:rPr>
          <w:rFonts w:cs="Arial"/>
        </w:rPr>
        <w:t>a</w:t>
      </w:r>
      <w:r w:rsidR="00A1724B">
        <w:rPr>
          <w:rFonts w:cs="Arial"/>
        </w:rPr>
        <w:t xml:space="preserve">reholding </w:t>
      </w:r>
      <w:r w:rsidR="00464020">
        <w:rPr>
          <w:rFonts w:cs="Arial"/>
        </w:rPr>
        <w:t>entity and</w:t>
      </w:r>
      <w:r w:rsidR="007C0DAF">
        <w:rPr>
          <w:rFonts w:cs="Arial"/>
        </w:rPr>
        <w:t xml:space="preserve"> given the Board composition of both Lothian</w:t>
      </w:r>
      <w:r w:rsidR="00464020">
        <w:rPr>
          <w:rFonts w:cs="Arial"/>
        </w:rPr>
        <w:t xml:space="preserve"> Buses</w:t>
      </w:r>
      <w:r w:rsidR="007C0DAF">
        <w:rPr>
          <w:rFonts w:cs="Arial"/>
        </w:rPr>
        <w:t xml:space="preserve"> and Edi</w:t>
      </w:r>
      <w:r w:rsidR="008D6DD1">
        <w:rPr>
          <w:rFonts w:cs="Arial"/>
        </w:rPr>
        <w:t>n</w:t>
      </w:r>
      <w:r w:rsidR="007C0DAF">
        <w:rPr>
          <w:rFonts w:cs="Arial"/>
        </w:rPr>
        <w:t xml:space="preserve">burgh Trams. </w:t>
      </w:r>
      <w:r w:rsidR="000A0A69" w:rsidRPr="006D515F">
        <w:rPr>
          <w:rFonts w:cs="Arial"/>
        </w:rPr>
        <w:t>Across the TfE Group</w:t>
      </w:r>
      <w:r w:rsidR="00357685">
        <w:rPr>
          <w:rFonts w:cs="Arial"/>
        </w:rPr>
        <w:t>,</w:t>
      </w:r>
      <w:r w:rsidR="000A0A69" w:rsidRPr="006D515F">
        <w:rPr>
          <w:rFonts w:cs="Arial"/>
        </w:rPr>
        <w:t xml:space="preserve"> Independent Non-Executive Directors bring experience in transport, systems, procurement, politics, governance, public place making, finance and audit, in addition to perspectives and challenge from outside the sectors and the environment in which the Group operates.</w:t>
      </w:r>
    </w:p>
    <w:p w14:paraId="099DC295" w14:textId="77777777" w:rsidR="000A0A69" w:rsidRPr="006D515F" w:rsidRDefault="000A0A69" w:rsidP="000A0A69">
      <w:pPr>
        <w:jc w:val="both"/>
        <w:rPr>
          <w:rFonts w:cs="Arial"/>
        </w:rPr>
      </w:pPr>
    </w:p>
    <w:p w14:paraId="043E7253" w14:textId="77777777" w:rsidR="000A0A69" w:rsidRPr="00576D33" w:rsidRDefault="000A0A69" w:rsidP="000A0A69">
      <w:pPr>
        <w:jc w:val="both"/>
        <w:rPr>
          <w:rFonts w:cs="Arial"/>
        </w:rPr>
      </w:pPr>
      <w:r w:rsidRPr="006D515F">
        <w:rPr>
          <w:rFonts w:cs="Arial"/>
        </w:rPr>
        <w:t>We consider there to be sufficient experience and diversity on the</w:t>
      </w:r>
      <w:r w:rsidR="004D31B2" w:rsidRPr="006D515F">
        <w:rPr>
          <w:rFonts w:cs="Arial"/>
        </w:rPr>
        <w:t xml:space="preserve"> Group’s</w:t>
      </w:r>
      <w:r w:rsidRPr="006D515F">
        <w:rPr>
          <w:rFonts w:cs="Arial"/>
        </w:rPr>
        <w:t xml:space="preserve"> Board</w:t>
      </w:r>
      <w:r w:rsidR="006D515F">
        <w:rPr>
          <w:rFonts w:cs="Arial"/>
        </w:rPr>
        <w:t>s</w:t>
      </w:r>
      <w:r w:rsidRPr="006D515F">
        <w:rPr>
          <w:rFonts w:cs="Arial"/>
        </w:rPr>
        <w:t xml:space="preserve"> and recognise that this is not always easy to maintain within the industry as a whole. We are committed to making the Group an ever-more inclusive environment, thereby fostering a more diverse workforce which should increase diversity at the most senior levels. We demonstrated our commitment to this area through </w:t>
      </w:r>
      <w:r w:rsidR="00576D33" w:rsidRPr="006D515F">
        <w:rPr>
          <w:rFonts w:cs="Arial"/>
        </w:rPr>
        <w:t>a</w:t>
      </w:r>
      <w:r w:rsidRPr="006D515F">
        <w:rPr>
          <w:rFonts w:cs="Arial"/>
        </w:rPr>
        <w:t xml:space="preserve"> Diversity &amp; Inclusion Policy.</w:t>
      </w:r>
    </w:p>
    <w:p w14:paraId="6AB4835C" w14:textId="77777777" w:rsidR="00C02D6C" w:rsidRPr="00820267" w:rsidRDefault="00C02D6C" w:rsidP="00C02D6C">
      <w:pPr>
        <w:jc w:val="center"/>
        <w:rPr>
          <w:b/>
        </w:rPr>
      </w:pPr>
      <w:r w:rsidRPr="00576D33">
        <w:rPr>
          <w:rFonts w:cs="Arial"/>
          <w:b/>
        </w:rPr>
        <w:br w:type="page"/>
      </w:r>
      <w:r w:rsidRPr="00820267">
        <w:rPr>
          <w:b/>
        </w:rPr>
        <w:lastRenderedPageBreak/>
        <w:t>TRANSPORT FOR EDINBURGH LIMITED</w:t>
      </w:r>
    </w:p>
    <w:p w14:paraId="2A205CE1" w14:textId="77777777" w:rsidR="00C02D6C" w:rsidRPr="00820267" w:rsidRDefault="00C02D6C" w:rsidP="00C02D6C">
      <w:pPr>
        <w:rPr>
          <w:b/>
        </w:rPr>
      </w:pPr>
    </w:p>
    <w:p w14:paraId="3697F244" w14:textId="77777777" w:rsidR="00C02D6C" w:rsidRPr="00820267" w:rsidRDefault="00C02D6C" w:rsidP="00C02D6C">
      <w:pPr>
        <w:jc w:val="center"/>
        <w:rPr>
          <w:rFonts w:cs="Arial"/>
        </w:rPr>
      </w:pPr>
      <w:r w:rsidRPr="00820267">
        <w:rPr>
          <w:b/>
        </w:rPr>
        <w:t>Corporate Governance Report (continued)</w:t>
      </w:r>
    </w:p>
    <w:p w14:paraId="7E35DBF6" w14:textId="77777777" w:rsidR="00C02D6C" w:rsidRPr="00820267" w:rsidRDefault="00C02D6C" w:rsidP="00C02D6C">
      <w:pPr>
        <w:jc w:val="center"/>
        <w:rPr>
          <w:b/>
        </w:rPr>
      </w:pPr>
    </w:p>
    <w:p w14:paraId="73447496" w14:textId="77777777" w:rsidR="00C02D6C" w:rsidRPr="00820267" w:rsidRDefault="00D90B89" w:rsidP="00C02D6C">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24398106" w14:textId="77777777" w:rsidR="00C02D6C" w:rsidRPr="00C328EF" w:rsidRDefault="00C02D6C" w:rsidP="00C02D6C">
      <w:pPr>
        <w:jc w:val="center"/>
        <w:rPr>
          <w:b/>
          <w:highlight w:val="yellow"/>
        </w:rPr>
      </w:pPr>
    </w:p>
    <w:p w14:paraId="4D1797A0" w14:textId="77777777" w:rsidR="000A0A69" w:rsidRPr="006D515F" w:rsidRDefault="000A0A69" w:rsidP="000A0A69">
      <w:pPr>
        <w:jc w:val="both"/>
        <w:rPr>
          <w:rFonts w:cs="Arial"/>
          <w:b/>
        </w:rPr>
      </w:pPr>
      <w:r w:rsidRPr="006D515F">
        <w:rPr>
          <w:rFonts w:cs="Arial"/>
          <w:b/>
        </w:rPr>
        <w:t>Principle 2 - Board Composition (continued)</w:t>
      </w:r>
    </w:p>
    <w:p w14:paraId="1D20A3CD" w14:textId="77777777" w:rsidR="000A0A69" w:rsidRPr="006D515F" w:rsidRDefault="000A0A69" w:rsidP="000A0A69">
      <w:pPr>
        <w:jc w:val="both"/>
        <w:rPr>
          <w:rFonts w:cs="Arial"/>
        </w:rPr>
      </w:pPr>
    </w:p>
    <w:p w14:paraId="0838BEAD" w14:textId="77777777" w:rsidR="000A0A69" w:rsidRPr="006D515F" w:rsidRDefault="000A0A69" w:rsidP="000A0A69">
      <w:pPr>
        <w:jc w:val="both"/>
        <w:rPr>
          <w:rFonts w:cs="Arial"/>
        </w:rPr>
      </w:pPr>
      <w:r w:rsidRPr="006D515F">
        <w:rPr>
          <w:rFonts w:cs="Arial"/>
        </w:rPr>
        <w:t>The Directors</w:t>
      </w:r>
      <w:r w:rsidR="00616F75">
        <w:rPr>
          <w:rFonts w:cs="Arial"/>
        </w:rPr>
        <w:t xml:space="preserve"> of the Group’s Boards</w:t>
      </w:r>
      <w:r w:rsidRPr="006D515F">
        <w:rPr>
          <w:rFonts w:cs="Arial"/>
        </w:rPr>
        <w:t xml:space="preserve"> have equal voting rights when making decisions, except the Chair, who has the casting vote. All Directors have access to the advice and services of the Company Secretary and may, if they wish, take professional advice at the company's expense.</w:t>
      </w:r>
    </w:p>
    <w:p w14:paraId="03F7A61A" w14:textId="77777777" w:rsidR="000A0A69" w:rsidRPr="006D515F" w:rsidRDefault="000A0A69" w:rsidP="000A0A69">
      <w:pPr>
        <w:jc w:val="both"/>
        <w:rPr>
          <w:rFonts w:cs="Arial"/>
        </w:rPr>
      </w:pPr>
    </w:p>
    <w:p w14:paraId="4EABF036" w14:textId="77777777" w:rsidR="000A0A69" w:rsidRPr="006D515F" w:rsidRDefault="000A0A69" w:rsidP="000A0A69">
      <w:pPr>
        <w:jc w:val="both"/>
        <w:rPr>
          <w:rFonts w:cs="Arial"/>
        </w:rPr>
      </w:pPr>
      <w:r w:rsidRPr="006D515F">
        <w:rPr>
          <w:rFonts w:cs="Arial"/>
        </w:rPr>
        <w:t>The duties of the Board</w:t>
      </w:r>
      <w:r w:rsidR="00616F75">
        <w:rPr>
          <w:rFonts w:cs="Arial"/>
        </w:rPr>
        <w:t>s</w:t>
      </w:r>
      <w:r w:rsidRPr="006D515F">
        <w:rPr>
          <w:rFonts w:cs="Arial"/>
        </w:rPr>
        <w:t xml:space="preserve"> are executed partially through Committees. Appointed Directors attend and act as chair to relevant Committees so that they are able to challenge and influence a broad range of areas across the Group.</w:t>
      </w:r>
    </w:p>
    <w:p w14:paraId="352B2D5F" w14:textId="77777777" w:rsidR="000A0A69" w:rsidRPr="006D515F" w:rsidRDefault="000A0A69" w:rsidP="000A0A69">
      <w:pPr>
        <w:jc w:val="both"/>
        <w:rPr>
          <w:rFonts w:cs="Arial"/>
        </w:rPr>
      </w:pPr>
    </w:p>
    <w:p w14:paraId="5478629D" w14:textId="77777777" w:rsidR="000A0A69" w:rsidRPr="006D515F" w:rsidRDefault="000A0A69" w:rsidP="000A0A69">
      <w:pPr>
        <w:jc w:val="both"/>
        <w:rPr>
          <w:rFonts w:cs="Arial"/>
        </w:rPr>
      </w:pPr>
      <w:r w:rsidRPr="006D515F">
        <w:rPr>
          <w:rFonts w:cs="Arial"/>
        </w:rPr>
        <w:t>The Board</w:t>
      </w:r>
      <w:r w:rsidR="00616F75">
        <w:rPr>
          <w:rFonts w:cs="Arial"/>
        </w:rPr>
        <w:t>s</w:t>
      </w:r>
      <w:r w:rsidRPr="006D515F">
        <w:rPr>
          <w:rFonts w:cs="Arial"/>
        </w:rPr>
        <w:t xml:space="preserve"> ensure that the values, strategy and culture align, are implemented and are communicated consistently to the workforces</w:t>
      </w:r>
      <w:r w:rsidR="00837AB2">
        <w:rPr>
          <w:rFonts w:cs="Arial"/>
        </w:rPr>
        <w:t xml:space="preserve">, </w:t>
      </w:r>
      <w:r w:rsidRPr="006D515F">
        <w:rPr>
          <w:rFonts w:cs="Arial"/>
        </w:rPr>
        <w:t>for example through regular Senior Leadership Team meetings and away days that are available to senior employees.</w:t>
      </w:r>
    </w:p>
    <w:p w14:paraId="296BF75B" w14:textId="77777777" w:rsidR="000A0A69" w:rsidRPr="006D515F" w:rsidRDefault="000A0A69" w:rsidP="000A0A69">
      <w:pPr>
        <w:jc w:val="both"/>
        <w:rPr>
          <w:rFonts w:cs="Arial"/>
        </w:rPr>
      </w:pPr>
    </w:p>
    <w:p w14:paraId="2DFD1B20" w14:textId="77777777" w:rsidR="000A0A69" w:rsidRPr="006D515F" w:rsidRDefault="000A0A69" w:rsidP="000A0A69">
      <w:pPr>
        <w:jc w:val="both"/>
        <w:rPr>
          <w:rFonts w:cs="Arial"/>
        </w:rPr>
      </w:pPr>
      <w:r w:rsidRPr="006D515F">
        <w:rPr>
          <w:rFonts w:cs="Arial"/>
        </w:rPr>
        <w:t>Directors update their skills, knowledge and familiarity with the Group by meeting with senior management, visiting sites (such</w:t>
      </w:r>
      <w:r w:rsidR="00837AB2">
        <w:rPr>
          <w:rFonts w:cs="Arial"/>
        </w:rPr>
        <w:t xml:space="preserve"> as</w:t>
      </w:r>
      <w:r w:rsidRPr="006D515F">
        <w:rPr>
          <w:rFonts w:cs="Arial"/>
        </w:rPr>
        <w:t xml:space="preserve"> depots) and by attending appropriate external seminars and training courses. There is an induction programme for all new Directors which is tailored to their specific experience and </w:t>
      </w:r>
      <w:r w:rsidR="00CA792D" w:rsidRPr="006D515F">
        <w:rPr>
          <w:rFonts w:cs="Arial"/>
        </w:rPr>
        <w:t>knowledge,</w:t>
      </w:r>
      <w:r w:rsidRPr="006D515F">
        <w:rPr>
          <w:rFonts w:cs="Arial"/>
        </w:rPr>
        <w:t xml:space="preserve"> and which provides access to all parts of the business, including access to shareholders.</w:t>
      </w:r>
    </w:p>
    <w:p w14:paraId="620675E3" w14:textId="77777777" w:rsidR="000A0A69" w:rsidRPr="006D515F" w:rsidRDefault="000A0A69" w:rsidP="000A0A69">
      <w:pPr>
        <w:jc w:val="both"/>
        <w:rPr>
          <w:rFonts w:cs="Arial"/>
        </w:rPr>
      </w:pPr>
    </w:p>
    <w:p w14:paraId="2CE56872" w14:textId="77777777" w:rsidR="000A0A69" w:rsidRPr="006D515F" w:rsidRDefault="000A0A69" w:rsidP="000A0A69">
      <w:pPr>
        <w:jc w:val="both"/>
        <w:rPr>
          <w:rFonts w:cs="Arial"/>
        </w:rPr>
      </w:pPr>
      <w:r w:rsidRPr="006D515F">
        <w:rPr>
          <w:rFonts w:cs="Arial"/>
        </w:rPr>
        <w:t xml:space="preserve">There is normally a Lothian Buses Board Effectiveness Review </w:t>
      </w:r>
      <w:r w:rsidR="00675811" w:rsidRPr="006D515F">
        <w:rPr>
          <w:rFonts w:cs="Arial"/>
        </w:rPr>
        <w:t>every two to three</w:t>
      </w:r>
      <w:r w:rsidRPr="006D515F">
        <w:rPr>
          <w:rFonts w:cs="Arial"/>
        </w:rPr>
        <w:t xml:space="preserve"> year</w:t>
      </w:r>
      <w:r w:rsidR="00675811" w:rsidRPr="006D515F">
        <w:rPr>
          <w:rFonts w:cs="Arial"/>
        </w:rPr>
        <w:t>s</w:t>
      </w:r>
      <w:r w:rsidRPr="006D515F">
        <w:rPr>
          <w:rFonts w:cs="Arial"/>
        </w:rPr>
        <w:t xml:space="preserve"> and it is attended by all the Directors to maintain impartiality and good governance. The last Lothian Buses Board Effectiveness Review </w:t>
      </w:r>
      <w:r w:rsidR="00C330EC" w:rsidRPr="006D515F">
        <w:rPr>
          <w:rFonts w:cs="Arial"/>
        </w:rPr>
        <w:t xml:space="preserve">was completed in March 2024 and </w:t>
      </w:r>
      <w:r w:rsidRPr="006D515F">
        <w:rPr>
          <w:rFonts w:cs="Arial"/>
        </w:rPr>
        <w:t>assessed that the Board was competent and well run and had the potential to become even more effective by clearly aligning its agenda to strategic development, encouraging all Directors to share their thoughts, observations and instincts for the benefit of all, and engaging the whole Board more routinely in the active management of shareholder relations. Given that the Edinburgh Trams Board is smaller, comprising 5 Directors, effectiveness reviews are conducted through Chair led bilateral discussions and</w:t>
      </w:r>
      <w:r w:rsidR="00F0605E">
        <w:rPr>
          <w:rFonts w:cs="Arial"/>
        </w:rPr>
        <w:t xml:space="preserve"> di</w:t>
      </w:r>
      <w:r w:rsidRPr="006D515F">
        <w:rPr>
          <w:rFonts w:cs="Arial"/>
        </w:rPr>
        <w:t>scussion at the Board.</w:t>
      </w:r>
    </w:p>
    <w:p w14:paraId="77E4B53A" w14:textId="77777777" w:rsidR="000A0A69" w:rsidRPr="006D515F" w:rsidRDefault="000A0A69" w:rsidP="000A0A69">
      <w:pPr>
        <w:jc w:val="both"/>
        <w:rPr>
          <w:rFonts w:cs="Arial"/>
        </w:rPr>
      </w:pPr>
    </w:p>
    <w:p w14:paraId="1C096DC8" w14:textId="77777777" w:rsidR="000A0A69" w:rsidRPr="006D515F" w:rsidRDefault="000A0A69" w:rsidP="000A0A69">
      <w:pPr>
        <w:jc w:val="both"/>
        <w:rPr>
          <w:rFonts w:cs="Arial"/>
        </w:rPr>
      </w:pPr>
      <w:r w:rsidRPr="006D515F">
        <w:rPr>
          <w:rFonts w:cs="Arial"/>
        </w:rPr>
        <w:t xml:space="preserve">Since the last Lothian Buses Board Effectiveness Review there has been a significant emphasis on current strategic issues and </w:t>
      </w:r>
      <w:r w:rsidR="00A02400" w:rsidRPr="006D515F">
        <w:rPr>
          <w:rFonts w:cs="Arial"/>
        </w:rPr>
        <w:t>business</w:t>
      </w:r>
      <w:r w:rsidRPr="006D515F">
        <w:rPr>
          <w:rFonts w:cs="Arial"/>
        </w:rPr>
        <w:t xml:space="preserve"> planning, with normal operational matters and performance monitoring spread over the course of the annual Board programme.</w:t>
      </w:r>
    </w:p>
    <w:p w14:paraId="30C540F0" w14:textId="77777777" w:rsidR="000A0A69" w:rsidRPr="006D515F" w:rsidRDefault="000A0A69" w:rsidP="000A0A69">
      <w:pPr>
        <w:jc w:val="both"/>
        <w:rPr>
          <w:rFonts w:cs="Arial"/>
        </w:rPr>
      </w:pPr>
    </w:p>
    <w:p w14:paraId="1A590245" w14:textId="77777777" w:rsidR="000A0A69" w:rsidRPr="006D515F" w:rsidRDefault="000A0A69" w:rsidP="000A0A69">
      <w:pPr>
        <w:jc w:val="both"/>
        <w:rPr>
          <w:rFonts w:cs="Arial"/>
        </w:rPr>
      </w:pPr>
      <w:r w:rsidRPr="006D515F">
        <w:rPr>
          <w:rFonts w:cs="Arial"/>
        </w:rPr>
        <w:t>The Executive Teams occasionally use externally facilitated sessions to assist executing actions and plans agreed for delivery. The Board considers these externally facilitated sessions important in the delivery of key areas and for strengthening overall output and performance.</w:t>
      </w:r>
    </w:p>
    <w:p w14:paraId="63B8C4B1" w14:textId="77777777" w:rsidR="00C02D6C" w:rsidRPr="00B77919" w:rsidRDefault="00C02D6C" w:rsidP="00C02D6C">
      <w:pPr>
        <w:jc w:val="both"/>
        <w:rPr>
          <w:rFonts w:cs="Arial"/>
          <w:highlight w:val="yellow"/>
        </w:rPr>
      </w:pPr>
    </w:p>
    <w:p w14:paraId="425E99E9" w14:textId="77777777" w:rsidR="000A0A69" w:rsidRPr="00A37197" w:rsidRDefault="000A0A69" w:rsidP="000A0A69">
      <w:pPr>
        <w:jc w:val="both"/>
        <w:rPr>
          <w:rFonts w:cs="Arial"/>
          <w:b/>
        </w:rPr>
      </w:pPr>
      <w:r w:rsidRPr="00A37197">
        <w:rPr>
          <w:rFonts w:cs="Arial"/>
          <w:b/>
        </w:rPr>
        <w:t>Principle 3 – Directors Responsibilities</w:t>
      </w:r>
    </w:p>
    <w:p w14:paraId="424350CB" w14:textId="77777777" w:rsidR="000A0A69" w:rsidRPr="00A37197" w:rsidRDefault="000A0A69" w:rsidP="000A0A69">
      <w:pPr>
        <w:jc w:val="both"/>
        <w:rPr>
          <w:rFonts w:cs="Arial"/>
          <w:b/>
        </w:rPr>
      </w:pPr>
    </w:p>
    <w:p w14:paraId="2B7F4AB9" w14:textId="77777777" w:rsidR="000A0A69" w:rsidRPr="00A37197" w:rsidRDefault="000A0A69" w:rsidP="000A0A69">
      <w:pPr>
        <w:jc w:val="both"/>
        <w:rPr>
          <w:rFonts w:cs="Arial"/>
          <w:b/>
        </w:rPr>
      </w:pPr>
      <w:r w:rsidRPr="00A37197">
        <w:rPr>
          <w:rFonts w:cs="Arial"/>
          <w:b/>
        </w:rPr>
        <w:t>Accountability</w:t>
      </w:r>
    </w:p>
    <w:p w14:paraId="4D625FEA" w14:textId="77777777" w:rsidR="000A0A69" w:rsidRPr="00A37197" w:rsidRDefault="000A0A69" w:rsidP="000A0A69">
      <w:pPr>
        <w:jc w:val="both"/>
        <w:rPr>
          <w:rFonts w:cs="Arial"/>
        </w:rPr>
      </w:pPr>
    </w:p>
    <w:p w14:paraId="52068380" w14:textId="462589C0" w:rsidR="000A0A69" w:rsidRPr="00A37197" w:rsidRDefault="000A0A69" w:rsidP="000A0A69">
      <w:pPr>
        <w:jc w:val="both"/>
        <w:rPr>
          <w:rFonts w:cs="Arial"/>
        </w:rPr>
      </w:pPr>
      <w:r w:rsidRPr="00A37197">
        <w:rPr>
          <w:rFonts w:cs="Arial"/>
        </w:rPr>
        <w:t>Good governance supports open and fair business, ensures that the company has the right safeguards in place and makes certain that every decision it takes is underpinned by the right considerations. Whilst Board oversight is always maintained, key decisions are made by the individuals and committees with the most appropriate knowledge and industry experience. Each Board Member</w:t>
      </w:r>
      <w:r w:rsidR="00627587">
        <w:rPr>
          <w:rFonts w:cs="Arial"/>
        </w:rPr>
        <w:t xml:space="preserve"> of group companies</w:t>
      </w:r>
      <w:r w:rsidRPr="00A37197">
        <w:rPr>
          <w:rFonts w:cs="Arial"/>
        </w:rPr>
        <w:t xml:space="preserve"> has a clear understanding of their accountability and responsibilities</w:t>
      </w:r>
      <w:r w:rsidRPr="00FC284E">
        <w:rPr>
          <w:rFonts w:cs="Arial"/>
        </w:rPr>
        <w:t xml:space="preserve">. </w:t>
      </w:r>
      <w:r w:rsidR="00843021" w:rsidRPr="00FC284E">
        <w:rPr>
          <w:rFonts w:cs="Arial"/>
        </w:rPr>
        <w:t>During the period it retained Executive functionality, t</w:t>
      </w:r>
      <w:r w:rsidRPr="00FC284E">
        <w:rPr>
          <w:rFonts w:cs="Arial"/>
        </w:rPr>
        <w:t>he TfE Board ha</w:t>
      </w:r>
      <w:r w:rsidR="00686658" w:rsidRPr="00FC284E">
        <w:rPr>
          <w:rFonts w:cs="Arial"/>
        </w:rPr>
        <w:t>d</w:t>
      </w:r>
      <w:r w:rsidRPr="00FC284E">
        <w:rPr>
          <w:rFonts w:cs="Arial"/>
        </w:rPr>
        <w:t xml:space="preserve"> a programme of meetings </w:t>
      </w:r>
      <w:r w:rsidR="00C330EC" w:rsidRPr="00FC284E">
        <w:rPr>
          <w:rFonts w:cs="Arial"/>
        </w:rPr>
        <w:t xml:space="preserve">in </w:t>
      </w:r>
      <w:r w:rsidR="00686658" w:rsidRPr="00FC284E">
        <w:rPr>
          <w:rFonts w:cs="Arial"/>
        </w:rPr>
        <w:t>2024 and</w:t>
      </w:r>
      <w:r w:rsidRPr="00FC284E">
        <w:rPr>
          <w:rFonts w:cs="Arial"/>
        </w:rPr>
        <w:t xml:space="preserve"> key areas of focus are included on page</w:t>
      </w:r>
      <w:r w:rsidR="00F0605E" w:rsidRPr="00FC284E">
        <w:rPr>
          <w:rFonts w:cs="Arial"/>
        </w:rPr>
        <w:t>s</w:t>
      </w:r>
      <w:r w:rsidRPr="00FC284E">
        <w:rPr>
          <w:rFonts w:cs="Arial"/>
        </w:rPr>
        <w:t xml:space="preserve"> </w:t>
      </w:r>
      <w:r w:rsidR="00F0605E" w:rsidRPr="00FC284E">
        <w:rPr>
          <w:rFonts w:cs="Arial"/>
        </w:rPr>
        <w:t>2</w:t>
      </w:r>
      <w:r w:rsidR="00B2342D" w:rsidRPr="00FC284E">
        <w:rPr>
          <w:rFonts w:cs="Arial"/>
        </w:rPr>
        <w:t>4</w:t>
      </w:r>
      <w:r w:rsidR="00F0605E" w:rsidRPr="00FC284E">
        <w:rPr>
          <w:rFonts w:cs="Arial"/>
        </w:rPr>
        <w:t xml:space="preserve"> and 2</w:t>
      </w:r>
      <w:r w:rsidR="00B2342D" w:rsidRPr="00FC284E">
        <w:rPr>
          <w:rFonts w:cs="Arial"/>
        </w:rPr>
        <w:t>5</w:t>
      </w:r>
      <w:r w:rsidRPr="00FC284E">
        <w:rPr>
          <w:rFonts w:cs="Arial"/>
        </w:rPr>
        <w:t>.</w:t>
      </w:r>
    </w:p>
    <w:p w14:paraId="5EEFAA21" w14:textId="77777777" w:rsidR="000A0A69" w:rsidRPr="00A37197" w:rsidRDefault="000A0A69" w:rsidP="000A0A69">
      <w:pPr>
        <w:jc w:val="both"/>
        <w:rPr>
          <w:rFonts w:cs="Arial"/>
        </w:rPr>
      </w:pPr>
    </w:p>
    <w:p w14:paraId="2B5E8BA8" w14:textId="77777777" w:rsidR="000A0A69" w:rsidRPr="00A37197" w:rsidRDefault="000A0A69" w:rsidP="000A0A69">
      <w:pPr>
        <w:jc w:val="both"/>
        <w:rPr>
          <w:rFonts w:cs="Arial"/>
        </w:rPr>
      </w:pPr>
      <w:r w:rsidRPr="00A37197">
        <w:rPr>
          <w:rFonts w:cs="Arial"/>
        </w:rPr>
        <w:t>The Board members act in accordance with best practice behaviours and values. As part of each Board meeting all members must declare any potential conflicts of interest. These declarations are collated and communicated to the Audit &amp; Risk Committee, if necessary. Where there are potential conflicts, safeguards are</w:t>
      </w:r>
      <w:r w:rsidR="00873599" w:rsidRPr="00A37197">
        <w:rPr>
          <w:rFonts w:cs="Arial"/>
        </w:rPr>
        <w:t xml:space="preserve"> in place which</w:t>
      </w:r>
      <w:r w:rsidRPr="00A37197">
        <w:rPr>
          <w:rFonts w:cs="Arial"/>
        </w:rPr>
        <w:t xml:space="preserve"> </w:t>
      </w:r>
      <w:r w:rsidR="00873599" w:rsidRPr="00A37197">
        <w:rPr>
          <w:rFonts w:cs="Arial"/>
        </w:rPr>
        <w:t xml:space="preserve">are appropriately </w:t>
      </w:r>
      <w:r w:rsidRPr="00A37197">
        <w:rPr>
          <w:rFonts w:cs="Arial"/>
        </w:rPr>
        <w:t>implemented.</w:t>
      </w:r>
    </w:p>
    <w:p w14:paraId="65207370" w14:textId="77777777" w:rsidR="00C02D6C" w:rsidRPr="00820267" w:rsidRDefault="00C02D6C" w:rsidP="00C02D6C">
      <w:pPr>
        <w:jc w:val="center"/>
        <w:rPr>
          <w:b/>
        </w:rPr>
      </w:pPr>
      <w:r w:rsidRPr="00A37197">
        <w:rPr>
          <w:b/>
        </w:rPr>
        <w:br w:type="page"/>
      </w:r>
      <w:r w:rsidRPr="00820267">
        <w:rPr>
          <w:b/>
        </w:rPr>
        <w:lastRenderedPageBreak/>
        <w:t>TRANSPORT FOR EDINBURGH LIMITED</w:t>
      </w:r>
    </w:p>
    <w:p w14:paraId="28F96D80" w14:textId="77777777" w:rsidR="00C02D6C" w:rsidRPr="00820267" w:rsidRDefault="00C02D6C" w:rsidP="00C02D6C">
      <w:pPr>
        <w:rPr>
          <w:b/>
        </w:rPr>
      </w:pPr>
    </w:p>
    <w:p w14:paraId="03EA8ADD" w14:textId="77777777" w:rsidR="00C02D6C" w:rsidRPr="00820267" w:rsidRDefault="00C02D6C" w:rsidP="00C02D6C">
      <w:pPr>
        <w:jc w:val="center"/>
        <w:rPr>
          <w:rFonts w:cs="Arial"/>
        </w:rPr>
      </w:pPr>
      <w:r w:rsidRPr="00820267">
        <w:rPr>
          <w:b/>
        </w:rPr>
        <w:t>Corporate Governance Report (continued)</w:t>
      </w:r>
    </w:p>
    <w:p w14:paraId="57DDFF13" w14:textId="77777777" w:rsidR="00C02D6C" w:rsidRPr="00820267" w:rsidRDefault="00C02D6C" w:rsidP="00C02D6C">
      <w:pPr>
        <w:jc w:val="center"/>
        <w:rPr>
          <w:b/>
        </w:rPr>
      </w:pPr>
    </w:p>
    <w:p w14:paraId="7A8F5DFB" w14:textId="77777777" w:rsidR="00C02D6C" w:rsidRPr="00820267" w:rsidRDefault="00D90B89" w:rsidP="00C02D6C">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69155D78" w14:textId="77777777" w:rsidR="00C02D6C" w:rsidRPr="00C328EF" w:rsidRDefault="00C02D6C" w:rsidP="00C02D6C">
      <w:pPr>
        <w:jc w:val="center"/>
        <w:rPr>
          <w:b/>
          <w:highlight w:val="yellow"/>
        </w:rPr>
      </w:pPr>
    </w:p>
    <w:p w14:paraId="73AFA506" w14:textId="77777777" w:rsidR="00421E9F" w:rsidRDefault="00421E9F" w:rsidP="00421E9F">
      <w:pPr>
        <w:jc w:val="both"/>
        <w:rPr>
          <w:rFonts w:cs="Arial"/>
          <w:b/>
        </w:rPr>
      </w:pPr>
      <w:r w:rsidRPr="00A37197">
        <w:rPr>
          <w:rFonts w:cs="Arial"/>
          <w:b/>
        </w:rPr>
        <w:t>Principle 3 – Directors Responsibilities</w:t>
      </w:r>
      <w:r>
        <w:rPr>
          <w:rFonts w:cs="Arial"/>
          <w:b/>
        </w:rPr>
        <w:t xml:space="preserve"> (continued)</w:t>
      </w:r>
    </w:p>
    <w:p w14:paraId="345ACE9E" w14:textId="77777777" w:rsidR="004A15F4" w:rsidRPr="00A37197" w:rsidRDefault="004A15F4" w:rsidP="00421E9F">
      <w:pPr>
        <w:jc w:val="both"/>
        <w:rPr>
          <w:rFonts w:cs="Arial"/>
          <w:b/>
        </w:rPr>
      </w:pPr>
    </w:p>
    <w:p w14:paraId="1AB54B8F" w14:textId="77777777" w:rsidR="000A0A69" w:rsidRPr="00A37197" w:rsidRDefault="000A0A69" w:rsidP="000A0A69">
      <w:pPr>
        <w:jc w:val="both"/>
        <w:rPr>
          <w:rFonts w:cs="Arial"/>
          <w:b/>
        </w:rPr>
      </w:pPr>
      <w:r w:rsidRPr="00A37197">
        <w:rPr>
          <w:rFonts w:cs="Arial"/>
          <w:b/>
        </w:rPr>
        <w:t>Committees</w:t>
      </w:r>
    </w:p>
    <w:p w14:paraId="38205D5B" w14:textId="77777777" w:rsidR="000A0A69" w:rsidRPr="00A37197" w:rsidRDefault="000A0A69" w:rsidP="000A0A69">
      <w:pPr>
        <w:jc w:val="both"/>
        <w:rPr>
          <w:rFonts w:cs="Arial"/>
        </w:rPr>
      </w:pPr>
    </w:p>
    <w:p w14:paraId="4CAA2C92" w14:textId="77777777" w:rsidR="000A0A69" w:rsidRPr="00A37197" w:rsidRDefault="00616F75" w:rsidP="000A0A69">
      <w:pPr>
        <w:jc w:val="both"/>
        <w:rPr>
          <w:rFonts w:cs="Arial"/>
        </w:rPr>
      </w:pPr>
      <w:r>
        <w:rPr>
          <w:rFonts w:cs="Arial"/>
        </w:rPr>
        <w:t xml:space="preserve">During the period it retained executive responsibility, the </w:t>
      </w:r>
      <w:r w:rsidR="000A0A69" w:rsidRPr="00A37197">
        <w:rPr>
          <w:rFonts w:cs="Arial"/>
        </w:rPr>
        <w:t>TfE Board delegate</w:t>
      </w:r>
      <w:r>
        <w:rPr>
          <w:rFonts w:cs="Arial"/>
        </w:rPr>
        <w:t>d</w:t>
      </w:r>
      <w:r w:rsidR="000A0A69" w:rsidRPr="00A37197">
        <w:rPr>
          <w:rFonts w:cs="Arial"/>
        </w:rPr>
        <w:t xml:space="preserve"> authority for the day-to-day management of the companies in the Group to the Chief Executive and the Executive Teams of Lothian Buses and Edinburgh Trams</w:t>
      </w:r>
      <w:r w:rsidR="00A37197">
        <w:rPr>
          <w:rFonts w:cs="Arial"/>
        </w:rPr>
        <w:t>,</w:t>
      </w:r>
      <w:r w:rsidR="000A0A69" w:rsidRPr="00A37197">
        <w:rPr>
          <w:rFonts w:cs="Arial"/>
        </w:rPr>
        <w:t xml:space="preserve"> </w:t>
      </w:r>
      <w:r w:rsidR="0084512B">
        <w:rPr>
          <w:rFonts w:cs="Arial"/>
        </w:rPr>
        <w:t>which are</w:t>
      </w:r>
      <w:r w:rsidR="000A0A69" w:rsidRPr="00A37197">
        <w:rPr>
          <w:rFonts w:cs="Arial"/>
        </w:rPr>
        <w:t xml:space="preserve"> chaired by their respective Managing Directors and whose membership includes their other Executive Directors and key personnel. Leaders of each Business function (for example, Commercial, </w:t>
      </w:r>
      <w:r w:rsidR="00EC5233" w:rsidRPr="00A37197">
        <w:rPr>
          <w:rFonts w:cs="Arial"/>
        </w:rPr>
        <w:t>HR</w:t>
      </w:r>
      <w:r w:rsidR="000A0A69" w:rsidRPr="00A37197">
        <w:rPr>
          <w:rFonts w:cs="Arial"/>
        </w:rPr>
        <w:t>, Health &amp; Safety, Communications) are invited to meetings as and when required.</w:t>
      </w:r>
    </w:p>
    <w:p w14:paraId="377CC5F1" w14:textId="77777777" w:rsidR="000A0A69" w:rsidRPr="00A37197" w:rsidRDefault="000A0A69" w:rsidP="000A0A69">
      <w:pPr>
        <w:jc w:val="both"/>
        <w:rPr>
          <w:rFonts w:cs="Arial"/>
        </w:rPr>
      </w:pPr>
    </w:p>
    <w:p w14:paraId="48C26D6A" w14:textId="64E3B152" w:rsidR="000A0A69" w:rsidRPr="00A37197" w:rsidRDefault="000A0A69" w:rsidP="000A0A69">
      <w:pPr>
        <w:jc w:val="both"/>
        <w:rPr>
          <w:rFonts w:cs="Arial"/>
        </w:rPr>
      </w:pPr>
      <w:r w:rsidRPr="00A37197">
        <w:rPr>
          <w:rFonts w:cs="Arial"/>
        </w:rPr>
        <w:t xml:space="preserve">The Directors are wholly independent, in that they have no material business or relationships with the </w:t>
      </w:r>
      <w:r w:rsidR="008025B9">
        <w:rPr>
          <w:rFonts w:cs="Arial"/>
        </w:rPr>
        <w:t>c</w:t>
      </w:r>
      <w:r w:rsidRPr="00A37197">
        <w:rPr>
          <w:rFonts w:cs="Arial"/>
        </w:rPr>
        <w:t xml:space="preserve">ompanies that might influence their independence or judgement. In addition, certain governance responsibilities are delegated to other Committees (Audit &amp; Risk, Remuneration or Nomination). These </w:t>
      </w:r>
      <w:r w:rsidR="00EC5233" w:rsidRPr="00A37197">
        <w:rPr>
          <w:rFonts w:cs="Arial"/>
        </w:rPr>
        <w:t>C</w:t>
      </w:r>
      <w:r w:rsidRPr="00A37197">
        <w:rPr>
          <w:rFonts w:cs="Arial"/>
        </w:rPr>
        <w:t>ommittees include a mix of Directors who support effective decision making and independent challenge.</w:t>
      </w:r>
    </w:p>
    <w:p w14:paraId="65EC648E" w14:textId="77777777" w:rsidR="000A0A69" w:rsidRPr="00B77919" w:rsidRDefault="000A0A69" w:rsidP="000A0A69">
      <w:pPr>
        <w:jc w:val="both"/>
        <w:rPr>
          <w:rFonts w:cs="Arial"/>
          <w:highlight w:val="yellow"/>
        </w:rPr>
      </w:pPr>
    </w:p>
    <w:p w14:paraId="38DA8EC0" w14:textId="77777777" w:rsidR="000A0A69" w:rsidRPr="00A37197" w:rsidRDefault="000A0A69" w:rsidP="000A0A69">
      <w:pPr>
        <w:jc w:val="both"/>
        <w:rPr>
          <w:rFonts w:cs="Arial"/>
          <w:b/>
        </w:rPr>
      </w:pPr>
      <w:r w:rsidRPr="00A37197">
        <w:rPr>
          <w:rFonts w:cs="Arial"/>
          <w:b/>
        </w:rPr>
        <w:t>Integrity of Information</w:t>
      </w:r>
    </w:p>
    <w:p w14:paraId="33A33C8F" w14:textId="77777777" w:rsidR="000A0A69" w:rsidRPr="00A37197" w:rsidRDefault="000A0A69" w:rsidP="000A0A69">
      <w:pPr>
        <w:jc w:val="both"/>
        <w:rPr>
          <w:rFonts w:cs="Arial"/>
        </w:rPr>
      </w:pPr>
    </w:p>
    <w:p w14:paraId="18570781" w14:textId="77777777" w:rsidR="000A0A69" w:rsidRPr="00A37197" w:rsidRDefault="00AE7DC5" w:rsidP="000A0A69">
      <w:pPr>
        <w:jc w:val="both"/>
        <w:rPr>
          <w:rFonts w:cs="Arial"/>
        </w:rPr>
      </w:pPr>
      <w:r>
        <w:rPr>
          <w:rFonts w:cs="Arial"/>
        </w:rPr>
        <w:t>During 2024, t</w:t>
      </w:r>
      <w:r w:rsidR="000A0A69" w:rsidRPr="00A37197">
        <w:rPr>
          <w:rFonts w:cs="Arial"/>
        </w:rPr>
        <w:t>he Board</w:t>
      </w:r>
      <w:r>
        <w:rPr>
          <w:rFonts w:cs="Arial"/>
        </w:rPr>
        <w:t>s</w:t>
      </w:r>
      <w:r w:rsidR="000A0A69" w:rsidRPr="00A37197">
        <w:rPr>
          <w:rFonts w:cs="Arial"/>
        </w:rPr>
        <w:t xml:space="preserve"> receive</w:t>
      </w:r>
      <w:r>
        <w:rPr>
          <w:rFonts w:cs="Arial"/>
        </w:rPr>
        <w:t>d</w:t>
      </w:r>
      <w:r w:rsidR="000A0A69" w:rsidRPr="00A37197">
        <w:rPr>
          <w:rFonts w:cs="Arial"/>
        </w:rPr>
        <w:t xml:space="preserve"> information</w:t>
      </w:r>
      <w:r w:rsidR="00EC5233" w:rsidRPr="00A37197">
        <w:rPr>
          <w:rFonts w:cs="Arial"/>
        </w:rPr>
        <w:t xml:space="preserve"> </w:t>
      </w:r>
      <w:r w:rsidR="000A0A69" w:rsidRPr="00A37197">
        <w:rPr>
          <w:rFonts w:cs="Arial"/>
        </w:rPr>
        <w:t>on all key aspects of the business including health and safety, risks and opportunities, the financial performance of the Group, strategy, operational matters, market conditions and sustainability, all supported by a summary from the Managing Directors of both Lothian Buses and Edinburgh Trams.</w:t>
      </w:r>
    </w:p>
    <w:p w14:paraId="5DC79343" w14:textId="77777777" w:rsidR="000A0A69" w:rsidRPr="00A37197" w:rsidRDefault="000A0A69" w:rsidP="000A0A69">
      <w:pPr>
        <w:jc w:val="both"/>
        <w:rPr>
          <w:rFonts w:cs="Arial"/>
        </w:rPr>
      </w:pPr>
    </w:p>
    <w:p w14:paraId="4C696268" w14:textId="20BA44CE" w:rsidR="000A0A69" w:rsidRPr="00B77919" w:rsidRDefault="000A0A69" w:rsidP="000A0A69">
      <w:pPr>
        <w:jc w:val="both"/>
        <w:rPr>
          <w:rFonts w:cs="Arial"/>
          <w:highlight w:val="yellow"/>
        </w:rPr>
      </w:pPr>
      <w:r w:rsidRPr="00A37197">
        <w:rPr>
          <w:rFonts w:cs="Arial"/>
        </w:rPr>
        <w:t>Key financial information is collated from the Group’s various accounting systems. The TfE Group’s finance function is provided by Lothian Buses appropriately qualified staff, who ensure the integrity and accurate</w:t>
      </w:r>
      <w:r w:rsidR="003513D7">
        <w:rPr>
          <w:rFonts w:cs="Arial"/>
        </w:rPr>
        <w:t>,</w:t>
      </w:r>
      <w:r w:rsidRPr="00A37197">
        <w:rPr>
          <w:rFonts w:cs="Arial"/>
        </w:rPr>
        <w:t xml:space="preserve"> timely production of information. The finance function is also provided with the necessary training to keep up to date with regulatory changes. Financial information is externally audited on an annual basis and financial controls are reviewed and maintained by the Group’s finance function. Other key information is prepared by the relevant internal function. Processes for collecting data, as well as the reporting of that data, is reviewed on a regular basis by the finance function with reporting provided to the Audit &amp; Risk Committee</w:t>
      </w:r>
      <w:r w:rsidR="006A31C2">
        <w:rPr>
          <w:rFonts w:cs="Arial"/>
        </w:rPr>
        <w:t>, th</w:t>
      </w:r>
      <w:r w:rsidR="009568F4">
        <w:rPr>
          <w:rFonts w:cs="Arial"/>
        </w:rPr>
        <w:t>e last meeting of which</w:t>
      </w:r>
      <w:r w:rsidR="008B048C">
        <w:rPr>
          <w:rFonts w:cs="Arial"/>
        </w:rPr>
        <w:t xml:space="preserve">  </w:t>
      </w:r>
      <w:r w:rsidR="009568F4">
        <w:rPr>
          <w:rFonts w:cs="Arial"/>
        </w:rPr>
        <w:t>was held on 30 April 2024</w:t>
      </w:r>
      <w:r w:rsidR="005C172A">
        <w:rPr>
          <w:rFonts w:cs="Arial"/>
        </w:rPr>
        <w:t>, prior to the transfer of executive functionali</w:t>
      </w:r>
      <w:r w:rsidR="00464020">
        <w:rPr>
          <w:rFonts w:cs="Arial"/>
        </w:rPr>
        <w:t>t</w:t>
      </w:r>
      <w:r w:rsidR="005C172A">
        <w:rPr>
          <w:rFonts w:cs="Arial"/>
        </w:rPr>
        <w:t>y</w:t>
      </w:r>
      <w:r w:rsidR="004930F6">
        <w:rPr>
          <w:rFonts w:cs="Arial"/>
        </w:rPr>
        <w:t xml:space="preserve"> to the Boards of Lothian Buses and Edinburgh Trams in May 2024.</w:t>
      </w:r>
    </w:p>
    <w:p w14:paraId="01F10D4C" w14:textId="77777777" w:rsidR="00C02D6C" w:rsidRPr="00B77919" w:rsidRDefault="00C02D6C" w:rsidP="00C02D6C">
      <w:pPr>
        <w:jc w:val="both"/>
        <w:rPr>
          <w:rFonts w:cs="Arial"/>
          <w:highlight w:val="yellow"/>
        </w:rPr>
      </w:pPr>
    </w:p>
    <w:p w14:paraId="1797C419" w14:textId="77777777" w:rsidR="000A0A69" w:rsidRPr="00A37197" w:rsidRDefault="000A0A69" w:rsidP="000A0A69">
      <w:pPr>
        <w:jc w:val="both"/>
        <w:rPr>
          <w:rFonts w:cs="Arial"/>
          <w:b/>
        </w:rPr>
      </w:pPr>
      <w:r w:rsidRPr="00A37197">
        <w:rPr>
          <w:rFonts w:cs="Arial"/>
          <w:b/>
        </w:rPr>
        <w:t>Principle 4 – Opportunity and Risk</w:t>
      </w:r>
    </w:p>
    <w:p w14:paraId="344AC25C" w14:textId="77777777" w:rsidR="000A0A69" w:rsidRPr="00A37197" w:rsidRDefault="000A0A69" w:rsidP="000A0A69">
      <w:pPr>
        <w:jc w:val="both"/>
        <w:rPr>
          <w:rFonts w:cs="Arial"/>
        </w:rPr>
      </w:pPr>
    </w:p>
    <w:p w14:paraId="330F14A5" w14:textId="77777777" w:rsidR="000A0A69" w:rsidRPr="00A37197" w:rsidRDefault="000A0A69" w:rsidP="000A0A69">
      <w:pPr>
        <w:jc w:val="both"/>
        <w:rPr>
          <w:rFonts w:cs="Arial"/>
        </w:rPr>
      </w:pPr>
      <w:r w:rsidRPr="00A37197">
        <w:rPr>
          <w:rFonts w:cs="Arial"/>
        </w:rPr>
        <w:t>The Board seeks out opportunity whilst mitigating risk.</w:t>
      </w:r>
    </w:p>
    <w:p w14:paraId="6497D3E2" w14:textId="77777777" w:rsidR="000A0A69" w:rsidRPr="00A37197" w:rsidRDefault="000A0A69" w:rsidP="000A0A69">
      <w:pPr>
        <w:jc w:val="both"/>
        <w:rPr>
          <w:rFonts w:cs="Arial"/>
        </w:rPr>
      </w:pPr>
    </w:p>
    <w:p w14:paraId="2FA86C0E" w14:textId="77777777" w:rsidR="000A0A69" w:rsidRPr="00A37197" w:rsidRDefault="000A0A69" w:rsidP="000A0A69">
      <w:pPr>
        <w:jc w:val="both"/>
        <w:rPr>
          <w:rFonts w:cs="Arial"/>
          <w:b/>
        </w:rPr>
      </w:pPr>
      <w:r w:rsidRPr="00A37197">
        <w:rPr>
          <w:rFonts w:cs="Arial"/>
          <w:b/>
        </w:rPr>
        <w:t>Opportunity</w:t>
      </w:r>
    </w:p>
    <w:p w14:paraId="6B461E97" w14:textId="77777777" w:rsidR="000A0A69" w:rsidRPr="00A37197" w:rsidRDefault="000A0A69" w:rsidP="000A0A69">
      <w:pPr>
        <w:jc w:val="both"/>
        <w:rPr>
          <w:rFonts w:cs="Arial"/>
        </w:rPr>
      </w:pPr>
    </w:p>
    <w:p w14:paraId="7C1067F6" w14:textId="77777777" w:rsidR="000A0A69" w:rsidRPr="00A37197" w:rsidRDefault="000A0A69" w:rsidP="000A0A69">
      <w:pPr>
        <w:jc w:val="both"/>
        <w:rPr>
          <w:rFonts w:cs="Arial"/>
        </w:rPr>
      </w:pPr>
      <w:r w:rsidRPr="00A37197">
        <w:rPr>
          <w:rFonts w:cs="Arial"/>
        </w:rPr>
        <w:t xml:space="preserve">Long term strategic opportunities are highlighted in the annual Group budget process which is presented to </w:t>
      </w:r>
      <w:r w:rsidR="00924DA9" w:rsidRPr="00A37197">
        <w:rPr>
          <w:rFonts w:cs="Arial"/>
        </w:rPr>
        <w:t>each</w:t>
      </w:r>
      <w:r w:rsidRPr="00A37197">
        <w:rPr>
          <w:rFonts w:cs="Arial"/>
        </w:rPr>
        <w:t xml:space="preserve"> Board at the end of every </w:t>
      </w:r>
      <w:r w:rsidR="0011148E" w:rsidRPr="00A37197">
        <w:rPr>
          <w:rFonts w:cs="Arial"/>
        </w:rPr>
        <w:t xml:space="preserve">calendar </w:t>
      </w:r>
      <w:r w:rsidRPr="00A37197">
        <w:rPr>
          <w:rFonts w:cs="Arial"/>
        </w:rPr>
        <w:t>year. The Board</w:t>
      </w:r>
      <w:r w:rsidR="008525EA">
        <w:rPr>
          <w:rFonts w:cs="Arial"/>
        </w:rPr>
        <w:t>s</w:t>
      </w:r>
      <w:r w:rsidRPr="00A37197">
        <w:rPr>
          <w:rFonts w:cs="Arial"/>
        </w:rPr>
        <w:t xml:space="preserve"> seek out opportunities drawn from the business plan, strategy and the Committees. Short term opportunities to improve performance, resilience and liquidity are collated through review process which are attended by the Executive Teams of Lothian Buses and Edinburgh Trams.</w:t>
      </w:r>
      <w:r w:rsidR="00AE7DC5">
        <w:rPr>
          <w:rFonts w:cs="Arial"/>
        </w:rPr>
        <w:t xml:space="preserve"> </w:t>
      </w:r>
    </w:p>
    <w:p w14:paraId="1C7131CB" w14:textId="77777777" w:rsidR="000A0A69" w:rsidRPr="00B77919" w:rsidRDefault="000A0A69" w:rsidP="000A0A69">
      <w:pPr>
        <w:jc w:val="both"/>
        <w:rPr>
          <w:rFonts w:cs="Arial"/>
          <w:highlight w:val="yellow"/>
        </w:rPr>
      </w:pPr>
    </w:p>
    <w:p w14:paraId="3D90021A" w14:textId="77777777" w:rsidR="000A0A69" w:rsidRPr="00A37197" w:rsidRDefault="000A0A69" w:rsidP="000A0A69">
      <w:pPr>
        <w:jc w:val="both"/>
        <w:rPr>
          <w:rFonts w:cs="Arial"/>
          <w:b/>
        </w:rPr>
      </w:pPr>
      <w:r w:rsidRPr="00A37197">
        <w:rPr>
          <w:rFonts w:cs="Arial"/>
          <w:b/>
        </w:rPr>
        <w:t>Risk</w:t>
      </w:r>
    </w:p>
    <w:p w14:paraId="58AD729D" w14:textId="77777777" w:rsidR="000A0A69" w:rsidRPr="00A37197" w:rsidRDefault="000A0A69" w:rsidP="000A0A69">
      <w:pPr>
        <w:jc w:val="both"/>
        <w:rPr>
          <w:rFonts w:cs="Arial"/>
        </w:rPr>
      </w:pPr>
    </w:p>
    <w:p w14:paraId="1112E2B4" w14:textId="77777777" w:rsidR="000A0A69" w:rsidRPr="00A37197" w:rsidRDefault="000A0A69" w:rsidP="000A0A69">
      <w:pPr>
        <w:jc w:val="both"/>
        <w:rPr>
          <w:rFonts w:cs="Arial"/>
        </w:rPr>
      </w:pPr>
      <w:r w:rsidRPr="00A37197">
        <w:rPr>
          <w:rFonts w:cs="Arial"/>
        </w:rPr>
        <w:t>The Audit &amp; Risk Committees, consisting of certain Directors, ensure that inherent and emerging risks are identified and managed appropriately in a timely manner. Focus is on monitoring the effectiveness of the Group’s approach to risk identification, classification and mitigation. The Committees meet to review the risk registers for any changes in underlying conditions. The Committees refine and enhance the Groups’ risk management framework and the content of the risk registers and work to ensure consiste</w:t>
      </w:r>
      <w:r w:rsidR="001C3888">
        <w:rPr>
          <w:rFonts w:cs="Arial"/>
        </w:rPr>
        <w:t>n</w:t>
      </w:r>
      <w:r w:rsidRPr="00A37197">
        <w:rPr>
          <w:rFonts w:cs="Arial"/>
        </w:rPr>
        <w:t>cy across all operations. A list of emerging risks is also maintained by the Audit &amp; Risk Committees and considered at each meeting</w:t>
      </w:r>
      <w:r w:rsidR="001C3888">
        <w:rPr>
          <w:rFonts w:cs="Arial"/>
        </w:rPr>
        <w:t>. A</w:t>
      </w:r>
      <w:r w:rsidRPr="00A37197">
        <w:rPr>
          <w:rFonts w:cs="Arial"/>
        </w:rPr>
        <w:t>n emerging risk is included on the risk register once its likelihood and impact of occurrence becomes material to the Group.</w:t>
      </w:r>
    </w:p>
    <w:p w14:paraId="1C8FDBEC" w14:textId="77777777" w:rsidR="000A0A69" w:rsidRPr="00A37197" w:rsidRDefault="000A0A69" w:rsidP="000A0A69">
      <w:pPr>
        <w:jc w:val="both"/>
        <w:rPr>
          <w:rFonts w:cs="Arial"/>
        </w:rPr>
      </w:pPr>
    </w:p>
    <w:p w14:paraId="55F4BFFB" w14:textId="77777777" w:rsidR="000A0A69" w:rsidRPr="00924DA9" w:rsidRDefault="000A0A69" w:rsidP="000A0A69">
      <w:pPr>
        <w:jc w:val="both"/>
        <w:rPr>
          <w:rFonts w:cs="Arial"/>
        </w:rPr>
      </w:pPr>
      <w:r w:rsidRPr="00A37197">
        <w:rPr>
          <w:rFonts w:cs="Arial"/>
        </w:rPr>
        <w:t>The Group’s systems and controls are designed to manage, rather than to entirely eliminate, the risk of failure to achieve business objectives and can only provide reasonable, and not an absolute assurance, against a risk materialising.</w:t>
      </w:r>
    </w:p>
    <w:p w14:paraId="2975D275" w14:textId="77777777" w:rsidR="00C02D6C" w:rsidRPr="00820267" w:rsidRDefault="00C02D6C" w:rsidP="00C02D6C">
      <w:pPr>
        <w:jc w:val="center"/>
        <w:rPr>
          <w:b/>
        </w:rPr>
      </w:pPr>
      <w:r w:rsidRPr="00924DA9">
        <w:rPr>
          <w:b/>
        </w:rPr>
        <w:br w:type="page"/>
      </w:r>
      <w:r w:rsidRPr="00820267">
        <w:rPr>
          <w:b/>
        </w:rPr>
        <w:lastRenderedPageBreak/>
        <w:t>TRANSPORT FOR EDINBURGH LIMITED</w:t>
      </w:r>
    </w:p>
    <w:p w14:paraId="281796EA" w14:textId="77777777" w:rsidR="00C02D6C" w:rsidRPr="00820267" w:rsidRDefault="00C02D6C" w:rsidP="00C02D6C">
      <w:pPr>
        <w:rPr>
          <w:b/>
        </w:rPr>
      </w:pPr>
    </w:p>
    <w:p w14:paraId="2C0562A1" w14:textId="77777777" w:rsidR="00C02D6C" w:rsidRPr="00820267" w:rsidRDefault="00C02D6C" w:rsidP="00C02D6C">
      <w:pPr>
        <w:jc w:val="center"/>
        <w:rPr>
          <w:rFonts w:cs="Arial"/>
        </w:rPr>
      </w:pPr>
      <w:r w:rsidRPr="00820267">
        <w:rPr>
          <w:b/>
        </w:rPr>
        <w:t>Corporate Governance Report (continued)</w:t>
      </w:r>
    </w:p>
    <w:p w14:paraId="65A5893C" w14:textId="77777777" w:rsidR="00C02D6C" w:rsidRPr="00820267" w:rsidRDefault="00C02D6C" w:rsidP="00C02D6C">
      <w:pPr>
        <w:jc w:val="center"/>
        <w:rPr>
          <w:b/>
        </w:rPr>
      </w:pPr>
    </w:p>
    <w:p w14:paraId="1A8EBF55" w14:textId="77777777" w:rsidR="00C02D6C" w:rsidRPr="00820267" w:rsidRDefault="00D90B89" w:rsidP="00C02D6C">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714ECF02" w14:textId="77777777" w:rsidR="00C02D6C" w:rsidRPr="00C328EF" w:rsidRDefault="00C02D6C" w:rsidP="00C02D6C">
      <w:pPr>
        <w:jc w:val="center"/>
        <w:rPr>
          <w:b/>
          <w:highlight w:val="yellow"/>
        </w:rPr>
      </w:pPr>
    </w:p>
    <w:p w14:paraId="7768633A" w14:textId="51794AF4" w:rsidR="00E24A76" w:rsidRDefault="00E24A76" w:rsidP="00E24A76">
      <w:pPr>
        <w:jc w:val="both"/>
        <w:rPr>
          <w:rFonts w:cs="Arial"/>
          <w:b/>
        </w:rPr>
      </w:pPr>
      <w:r w:rsidRPr="00A37197">
        <w:rPr>
          <w:rFonts w:cs="Arial"/>
          <w:b/>
        </w:rPr>
        <w:t>Principle 4 – Opportunity and Risk</w:t>
      </w:r>
      <w:r w:rsidR="00CF72FF">
        <w:rPr>
          <w:rFonts w:cs="Arial"/>
          <w:b/>
        </w:rPr>
        <w:t xml:space="preserve"> </w:t>
      </w:r>
      <w:r>
        <w:rPr>
          <w:rFonts w:cs="Arial"/>
          <w:b/>
        </w:rPr>
        <w:t xml:space="preserve">(continued) </w:t>
      </w:r>
    </w:p>
    <w:p w14:paraId="7AB3B0A9" w14:textId="77777777" w:rsidR="00CA361F" w:rsidRPr="00A37197" w:rsidRDefault="00CA361F" w:rsidP="00E24A76">
      <w:pPr>
        <w:jc w:val="both"/>
        <w:rPr>
          <w:rFonts w:cs="Arial"/>
          <w:b/>
        </w:rPr>
      </w:pPr>
    </w:p>
    <w:p w14:paraId="5A8D48B1" w14:textId="77777777" w:rsidR="000A0A69" w:rsidRPr="00A37197" w:rsidRDefault="000A0A69" w:rsidP="000A0A69">
      <w:pPr>
        <w:jc w:val="both"/>
        <w:rPr>
          <w:rFonts w:cs="Arial"/>
          <w:b/>
        </w:rPr>
      </w:pPr>
      <w:r w:rsidRPr="00A37197">
        <w:rPr>
          <w:rFonts w:cs="Arial"/>
          <w:b/>
        </w:rPr>
        <w:t>Responsibilities</w:t>
      </w:r>
    </w:p>
    <w:p w14:paraId="792A8D88" w14:textId="77777777" w:rsidR="000A0A69" w:rsidRPr="00A37197" w:rsidRDefault="000A0A69" w:rsidP="000A0A69">
      <w:pPr>
        <w:jc w:val="both"/>
        <w:rPr>
          <w:rFonts w:cs="Arial"/>
        </w:rPr>
      </w:pPr>
    </w:p>
    <w:p w14:paraId="70849570" w14:textId="77777777" w:rsidR="000A0A69" w:rsidRPr="00A37197" w:rsidRDefault="000A0A69" w:rsidP="00A37197">
      <w:pPr>
        <w:jc w:val="both"/>
        <w:rPr>
          <w:rFonts w:cs="Arial"/>
        </w:rPr>
      </w:pPr>
      <w:r w:rsidRPr="00A37197">
        <w:rPr>
          <w:rFonts w:cs="Arial"/>
        </w:rPr>
        <w:t>The Group has an operating framework which encapsulates the Group's operating rules, processes, best practice standards and delegated authorities. It is the fundamental platform to our internal control and governance framework. Specifically, the Boards approve any contract above a certain value (determined by the Boards) or any transaction that requires an unbudgeted allocation of capital, to ensure that the appropriate level of diligence has been performed in understanding the obligations, risks and terms</w:t>
      </w:r>
      <w:r w:rsidR="00A37197">
        <w:rPr>
          <w:rFonts w:cs="Arial"/>
        </w:rPr>
        <w:t xml:space="preserve"> of the contract</w:t>
      </w:r>
      <w:r w:rsidRPr="00A37197">
        <w:rPr>
          <w:rFonts w:cs="Arial"/>
        </w:rPr>
        <w:t>. This enables the Group to protect the integrity and long-term sustainability of all its businesses, to meet its strategic objectives and to create value for its shareholders, customers and suppliers.</w:t>
      </w:r>
    </w:p>
    <w:p w14:paraId="2965CD6B" w14:textId="77777777" w:rsidR="000A0A69" w:rsidRPr="00B77919" w:rsidRDefault="000A0A69" w:rsidP="000A0A69">
      <w:pPr>
        <w:jc w:val="both"/>
        <w:rPr>
          <w:rFonts w:cs="Arial"/>
          <w:highlight w:val="yellow"/>
        </w:rPr>
      </w:pPr>
    </w:p>
    <w:p w14:paraId="418652B8" w14:textId="77777777" w:rsidR="000A0A69" w:rsidRPr="00A37197" w:rsidRDefault="000A0A69" w:rsidP="000A0A69">
      <w:pPr>
        <w:jc w:val="both"/>
        <w:rPr>
          <w:rFonts w:cs="Arial"/>
          <w:b/>
        </w:rPr>
      </w:pPr>
      <w:r w:rsidRPr="00A37197">
        <w:rPr>
          <w:rFonts w:cs="Arial"/>
          <w:b/>
        </w:rPr>
        <w:t>Principle 5 - Remuneration</w:t>
      </w:r>
    </w:p>
    <w:p w14:paraId="5920364F" w14:textId="77777777" w:rsidR="000A0A69" w:rsidRPr="00A37197" w:rsidRDefault="000A0A69" w:rsidP="000A0A69">
      <w:pPr>
        <w:jc w:val="both"/>
        <w:rPr>
          <w:rFonts w:cs="Arial"/>
        </w:rPr>
      </w:pPr>
    </w:p>
    <w:p w14:paraId="43D049E5" w14:textId="77777777" w:rsidR="000A0A69" w:rsidRPr="00A37197" w:rsidRDefault="000A0A69" w:rsidP="000A0A69">
      <w:pPr>
        <w:jc w:val="both"/>
        <w:rPr>
          <w:rFonts w:cs="Arial"/>
        </w:rPr>
      </w:pPr>
      <w:r w:rsidRPr="00A37197">
        <w:rPr>
          <w:rFonts w:cs="Arial"/>
        </w:rPr>
        <w:t>The Group Remuneration Committees’ primary objective is to set remuneration at a level that will enhance the Group's resources by securing and retaining quality senior management who can deliver the Group's strategic ambitions in a manner consistent with both its purpose and the interests of its shareholders.</w:t>
      </w:r>
    </w:p>
    <w:p w14:paraId="28AF9DD3" w14:textId="77777777" w:rsidR="000A0A69" w:rsidRPr="00A37197" w:rsidRDefault="000A0A69" w:rsidP="000A0A69">
      <w:pPr>
        <w:jc w:val="both"/>
        <w:rPr>
          <w:rFonts w:cs="Arial"/>
        </w:rPr>
      </w:pPr>
    </w:p>
    <w:p w14:paraId="74467400" w14:textId="309189E2" w:rsidR="000A0A69" w:rsidRPr="00A37197" w:rsidRDefault="000A0A69" w:rsidP="000A0A69">
      <w:pPr>
        <w:jc w:val="both"/>
        <w:rPr>
          <w:rFonts w:cs="Arial"/>
        </w:rPr>
      </w:pPr>
      <w:r w:rsidRPr="00A37197">
        <w:rPr>
          <w:rFonts w:cs="Arial"/>
        </w:rPr>
        <w:t xml:space="preserve">TfE, Lothian Buses and Edinburgh Trams Remuneration Committees have clearly defined terms of reference and are responsible for making recommendations to the Boards concerning the Group's remuneration strategy, recruitment framework and long-term plans for senior executives. It should be noted that the Board of Edinburgh </w:t>
      </w:r>
      <w:r w:rsidR="005802F1" w:rsidRPr="00A37197">
        <w:rPr>
          <w:rFonts w:cs="Arial"/>
        </w:rPr>
        <w:t>T</w:t>
      </w:r>
      <w:r w:rsidRPr="00A37197">
        <w:rPr>
          <w:rFonts w:cs="Arial"/>
        </w:rPr>
        <w:t xml:space="preserve">rams sits separately as the Edinburgh Trams Remuneration Committee. In doing so, the Committees take advice from independent external consultants from time to time, who provide updates on legislative requirements, market best practice and remuneration benchmarking, drawing on evidence from across the sectors in which the Group operates and from other comparable sectors. Pay is aligned with responsibilities and performance and takes into account fair pay and conditions across the Group's workforce. An independent benchmarking review was last performed in 2022 for Lothian Buses and internally by the Edinburgh Trams Remuneration Committee using data from external experts and recruiters. This highlighted that the remuneration policy for Lothian Buses and Edinburgh Trams Directors and Senior Management is consistent with companies of a similar size and complexity, as well as other companies operating within comparable sectors. Directors' remuneration is disclosed on page </w:t>
      </w:r>
      <w:r w:rsidR="004633FB">
        <w:rPr>
          <w:rFonts w:cs="Arial"/>
        </w:rPr>
        <w:t>4</w:t>
      </w:r>
      <w:r w:rsidR="00B2342D">
        <w:rPr>
          <w:rFonts w:cs="Arial"/>
        </w:rPr>
        <w:t>9</w:t>
      </w:r>
      <w:r w:rsidRPr="00A37197">
        <w:rPr>
          <w:rFonts w:cs="Arial"/>
        </w:rPr>
        <w:t xml:space="preserve"> (note 7).</w:t>
      </w:r>
    </w:p>
    <w:p w14:paraId="4DDD27B9" w14:textId="77777777" w:rsidR="000A0A69" w:rsidRPr="00A37197" w:rsidRDefault="000A0A69" w:rsidP="000A0A69">
      <w:pPr>
        <w:jc w:val="both"/>
        <w:rPr>
          <w:rFonts w:cs="Arial"/>
        </w:rPr>
      </w:pPr>
    </w:p>
    <w:p w14:paraId="3849CAA3" w14:textId="535293BE" w:rsidR="000A0A69" w:rsidRPr="00A37197" w:rsidRDefault="000A0A69" w:rsidP="000A0A69">
      <w:pPr>
        <w:jc w:val="both"/>
        <w:rPr>
          <w:rFonts w:cs="Arial"/>
        </w:rPr>
      </w:pPr>
      <w:r w:rsidRPr="00A37197">
        <w:rPr>
          <w:rFonts w:cs="Arial"/>
        </w:rPr>
        <w:t xml:space="preserve">The Group is an active equal opportunities employer and promotes an environment free from discrimination, harassment and victimisation, where everyone receives equal treatment and career development regardless of age, gender, nationality, ethnic origin, religion, marital status, sexual orientation or disability. All decisions relating to employment practices (including remuneration) are objective, free from bias and based solely upon work criteria and individual merit. </w:t>
      </w:r>
      <w:r w:rsidR="00DB1C16" w:rsidRPr="00A37197">
        <w:rPr>
          <w:rFonts w:cs="Arial"/>
        </w:rPr>
        <w:t>To date,</w:t>
      </w:r>
      <w:r w:rsidRPr="00A37197">
        <w:rPr>
          <w:rFonts w:cs="Arial"/>
        </w:rPr>
        <w:t xml:space="preserve"> </w:t>
      </w:r>
      <w:r w:rsidR="005802F1" w:rsidRPr="00A37197">
        <w:rPr>
          <w:rFonts w:cs="Arial"/>
        </w:rPr>
        <w:t>Lothian Buses</w:t>
      </w:r>
      <w:r w:rsidRPr="00A37197">
        <w:rPr>
          <w:rFonts w:cs="Arial"/>
        </w:rPr>
        <w:t xml:space="preserve"> and Edinburgh Trams </w:t>
      </w:r>
      <w:r w:rsidR="00DB1C16" w:rsidRPr="00A37197">
        <w:rPr>
          <w:rFonts w:cs="Arial"/>
        </w:rPr>
        <w:t xml:space="preserve">have </w:t>
      </w:r>
      <w:r w:rsidR="007A33F8">
        <w:rPr>
          <w:rFonts w:cs="Arial"/>
        </w:rPr>
        <w:t>both</w:t>
      </w:r>
      <w:r w:rsidR="005802F1" w:rsidRPr="00A37197">
        <w:rPr>
          <w:rFonts w:cs="Arial"/>
        </w:rPr>
        <w:t xml:space="preserve"> </w:t>
      </w:r>
      <w:r w:rsidRPr="00A37197">
        <w:rPr>
          <w:rFonts w:cs="Arial"/>
        </w:rPr>
        <w:t>achieved Living Wage Employer accreditation.</w:t>
      </w:r>
    </w:p>
    <w:p w14:paraId="01EF8E4F" w14:textId="77777777" w:rsidR="00C02D6C" w:rsidRPr="00B77919" w:rsidRDefault="00C02D6C" w:rsidP="00C02D6C">
      <w:pPr>
        <w:jc w:val="both"/>
        <w:rPr>
          <w:rFonts w:cs="Arial"/>
          <w:highlight w:val="yellow"/>
        </w:rPr>
      </w:pPr>
    </w:p>
    <w:p w14:paraId="5E331DED" w14:textId="77777777" w:rsidR="00846386" w:rsidRPr="00A37197" w:rsidRDefault="00846386" w:rsidP="00846386">
      <w:pPr>
        <w:jc w:val="both"/>
        <w:rPr>
          <w:rFonts w:cs="Arial"/>
          <w:b/>
        </w:rPr>
      </w:pPr>
      <w:r w:rsidRPr="00A37197">
        <w:rPr>
          <w:rFonts w:cs="Arial"/>
          <w:b/>
        </w:rPr>
        <w:t>Principle 6 – Stakeholders</w:t>
      </w:r>
    </w:p>
    <w:p w14:paraId="6A0FF3E6" w14:textId="77777777" w:rsidR="00846386" w:rsidRPr="00A37197" w:rsidRDefault="00846386" w:rsidP="00846386">
      <w:pPr>
        <w:jc w:val="both"/>
        <w:rPr>
          <w:rFonts w:cs="Arial"/>
        </w:rPr>
      </w:pPr>
    </w:p>
    <w:p w14:paraId="010CB77E" w14:textId="77777777" w:rsidR="00846386" w:rsidRPr="00A37197" w:rsidRDefault="00846386" w:rsidP="00846386">
      <w:pPr>
        <w:jc w:val="both"/>
        <w:rPr>
          <w:rFonts w:cs="Arial"/>
        </w:rPr>
      </w:pPr>
      <w:r w:rsidRPr="00A37197">
        <w:rPr>
          <w:rFonts w:cs="Arial"/>
        </w:rPr>
        <w:t>The Board is clear that good governance and effective communication are essential on a day-to-day basis to deliver our purpose and to protect the Group's brand, reputation and relationships with all of our stakeholder community including shareholders, customers, employees, suppliers and the local communities in which we work and serve.</w:t>
      </w:r>
    </w:p>
    <w:p w14:paraId="5FE816B1" w14:textId="77777777" w:rsidR="00846386" w:rsidRPr="00A37197" w:rsidRDefault="00846386" w:rsidP="00846386">
      <w:pPr>
        <w:jc w:val="both"/>
        <w:rPr>
          <w:rFonts w:cs="Arial"/>
        </w:rPr>
      </w:pPr>
    </w:p>
    <w:p w14:paraId="65BB6DCD" w14:textId="77777777" w:rsidR="00846386" w:rsidRPr="00A37197" w:rsidRDefault="00846386" w:rsidP="00846386">
      <w:pPr>
        <w:jc w:val="both"/>
        <w:rPr>
          <w:rFonts w:cs="Arial"/>
        </w:rPr>
      </w:pPr>
      <w:bookmarkStart w:id="15" w:name="_Hlk204090882"/>
      <w:r w:rsidRPr="00A37197">
        <w:rPr>
          <w:rFonts w:cs="Arial"/>
        </w:rPr>
        <w:t>The Board</w:t>
      </w:r>
      <w:r w:rsidR="008525EA">
        <w:rPr>
          <w:rFonts w:cs="Arial"/>
        </w:rPr>
        <w:t>s of the Company, and going forward Lothian Buses and Edinburgh Trams,</w:t>
      </w:r>
      <w:bookmarkEnd w:id="15"/>
      <w:r w:rsidR="008525EA">
        <w:rPr>
          <w:rFonts w:cs="Arial"/>
        </w:rPr>
        <w:t xml:space="preserve"> </w:t>
      </w:r>
      <w:r w:rsidRPr="00A37197">
        <w:rPr>
          <w:rFonts w:cs="Arial"/>
        </w:rPr>
        <w:t>continue to seek to align the Group's strategic direction with its purpose and to the shareholders' aspirations for sustainability, growth, diversification, environmental targets and policy decisions</w:t>
      </w:r>
    </w:p>
    <w:p w14:paraId="62702D2F" w14:textId="77777777" w:rsidR="00846386" w:rsidRPr="00A37197" w:rsidRDefault="00846386" w:rsidP="00846386">
      <w:pPr>
        <w:jc w:val="both"/>
        <w:rPr>
          <w:rFonts w:cs="Arial"/>
          <w:b/>
        </w:rPr>
      </w:pPr>
    </w:p>
    <w:p w14:paraId="04824A81" w14:textId="77777777" w:rsidR="00846386" w:rsidRPr="00A37197" w:rsidRDefault="00846386" w:rsidP="00846386">
      <w:pPr>
        <w:jc w:val="both"/>
        <w:rPr>
          <w:rFonts w:cs="Arial"/>
          <w:b/>
        </w:rPr>
      </w:pPr>
      <w:r w:rsidRPr="00A37197">
        <w:rPr>
          <w:rFonts w:cs="Arial"/>
          <w:b/>
        </w:rPr>
        <w:t>External Impacts</w:t>
      </w:r>
    </w:p>
    <w:p w14:paraId="1570F5F5" w14:textId="77777777" w:rsidR="00846386" w:rsidRPr="00A37197" w:rsidRDefault="00846386" w:rsidP="00846386">
      <w:pPr>
        <w:jc w:val="both"/>
        <w:rPr>
          <w:rFonts w:cs="Arial"/>
        </w:rPr>
      </w:pPr>
    </w:p>
    <w:p w14:paraId="2998693C" w14:textId="77777777" w:rsidR="00846386" w:rsidRPr="00A37197" w:rsidRDefault="00846386" w:rsidP="00846386">
      <w:pPr>
        <w:jc w:val="both"/>
        <w:rPr>
          <w:rFonts w:cs="Arial"/>
        </w:rPr>
      </w:pPr>
      <w:r w:rsidRPr="00A37197">
        <w:rPr>
          <w:rFonts w:cs="Arial"/>
        </w:rPr>
        <w:t xml:space="preserve">The </w:t>
      </w:r>
      <w:r w:rsidR="008525EA">
        <w:rPr>
          <w:rFonts w:cs="Arial"/>
        </w:rPr>
        <w:t>Group and its Boards are</w:t>
      </w:r>
      <w:r w:rsidRPr="00A37197">
        <w:rPr>
          <w:rFonts w:cs="Arial"/>
        </w:rPr>
        <w:t xml:space="preserve"> committed to social responsibility, community engagement and environmental sustainability. It achieves this in part through its commitment to a positive work culture (ensuring the safety, health and wellbeing of everyone who works in the Group); creating positive environmental and social impact; being an employer of choice where everyone is valued and respected; and seeking new ways to ensure the sustainability of the buildings we operate and maintain.</w:t>
      </w:r>
    </w:p>
    <w:p w14:paraId="5709E33C" w14:textId="77777777" w:rsidR="00C02D6C" w:rsidRPr="00A37197" w:rsidRDefault="00C02D6C" w:rsidP="00C02D6C">
      <w:pPr>
        <w:jc w:val="center"/>
        <w:rPr>
          <w:b/>
        </w:rPr>
      </w:pPr>
      <w:r w:rsidRPr="00A37197">
        <w:rPr>
          <w:b/>
        </w:rPr>
        <w:br w:type="page"/>
      </w:r>
      <w:r w:rsidRPr="00A37197">
        <w:rPr>
          <w:b/>
        </w:rPr>
        <w:lastRenderedPageBreak/>
        <w:t>TRANSPORT FOR EDINBURGH LIMITED</w:t>
      </w:r>
    </w:p>
    <w:p w14:paraId="315F56BB" w14:textId="77777777" w:rsidR="00C02D6C" w:rsidRPr="00A37197" w:rsidRDefault="00C02D6C" w:rsidP="00C02D6C">
      <w:pPr>
        <w:rPr>
          <w:b/>
        </w:rPr>
      </w:pPr>
    </w:p>
    <w:p w14:paraId="318F06EC" w14:textId="77777777" w:rsidR="00C02D6C" w:rsidRPr="00A37197" w:rsidRDefault="00C02D6C" w:rsidP="00C02D6C">
      <w:pPr>
        <w:jc w:val="center"/>
        <w:rPr>
          <w:rFonts w:cs="Arial"/>
        </w:rPr>
      </w:pPr>
      <w:r w:rsidRPr="00A37197">
        <w:rPr>
          <w:b/>
        </w:rPr>
        <w:t>Corporate Governance Report (continued)</w:t>
      </w:r>
    </w:p>
    <w:p w14:paraId="57094E0B" w14:textId="77777777" w:rsidR="00C02D6C" w:rsidRPr="00A37197" w:rsidRDefault="00C02D6C" w:rsidP="00C02D6C">
      <w:pPr>
        <w:jc w:val="center"/>
        <w:rPr>
          <w:b/>
        </w:rPr>
      </w:pPr>
    </w:p>
    <w:p w14:paraId="1B03F2AF" w14:textId="77777777" w:rsidR="00C02D6C" w:rsidRPr="00A37197" w:rsidRDefault="00D90B89" w:rsidP="00C02D6C">
      <w:pPr>
        <w:jc w:val="center"/>
        <w:rPr>
          <w:b/>
        </w:rPr>
      </w:pPr>
      <w:r w:rsidRPr="00A37197">
        <w:rPr>
          <w:b/>
        </w:rPr>
        <w:t>For the period ended 28 December 2024</w:t>
      </w:r>
    </w:p>
    <w:p w14:paraId="0181F2A1" w14:textId="77777777" w:rsidR="00C02D6C" w:rsidRPr="00A37197" w:rsidRDefault="00C02D6C" w:rsidP="00C02D6C">
      <w:pPr>
        <w:jc w:val="center"/>
        <w:rPr>
          <w:b/>
        </w:rPr>
      </w:pPr>
    </w:p>
    <w:p w14:paraId="7145AFCD" w14:textId="206B1327" w:rsidR="00CA361F" w:rsidRPr="00A37197" w:rsidRDefault="00CA361F" w:rsidP="00CA361F">
      <w:pPr>
        <w:jc w:val="both"/>
        <w:rPr>
          <w:rFonts w:cs="Arial"/>
          <w:b/>
        </w:rPr>
      </w:pPr>
      <w:r w:rsidRPr="00A37197">
        <w:rPr>
          <w:rFonts w:cs="Arial"/>
          <w:b/>
        </w:rPr>
        <w:t>Principle 6 – Stakeholders</w:t>
      </w:r>
      <w:r w:rsidR="00F869F7">
        <w:rPr>
          <w:rFonts w:cs="Arial"/>
          <w:b/>
        </w:rPr>
        <w:t xml:space="preserve"> </w:t>
      </w:r>
      <w:r>
        <w:rPr>
          <w:rFonts w:cs="Arial"/>
          <w:b/>
        </w:rPr>
        <w:t>(continued)</w:t>
      </w:r>
    </w:p>
    <w:p w14:paraId="197636D9" w14:textId="77777777" w:rsidR="00CA361F" w:rsidRDefault="00CA361F" w:rsidP="00846386">
      <w:pPr>
        <w:jc w:val="both"/>
        <w:rPr>
          <w:rFonts w:cs="Arial"/>
          <w:b/>
        </w:rPr>
      </w:pPr>
    </w:p>
    <w:p w14:paraId="6722ED15" w14:textId="77777777" w:rsidR="00846386" w:rsidRPr="00A37197" w:rsidRDefault="00846386" w:rsidP="00846386">
      <w:pPr>
        <w:jc w:val="both"/>
        <w:rPr>
          <w:rFonts w:cs="Arial"/>
          <w:b/>
        </w:rPr>
      </w:pPr>
      <w:r w:rsidRPr="00A37197">
        <w:rPr>
          <w:rFonts w:cs="Arial"/>
          <w:b/>
        </w:rPr>
        <w:t>Stakeholders</w:t>
      </w:r>
    </w:p>
    <w:p w14:paraId="41EE3F0E" w14:textId="77777777" w:rsidR="00846386" w:rsidRPr="00A37197" w:rsidRDefault="00846386" w:rsidP="00846386">
      <w:pPr>
        <w:jc w:val="both"/>
        <w:rPr>
          <w:rFonts w:cs="Arial"/>
        </w:rPr>
      </w:pPr>
    </w:p>
    <w:p w14:paraId="6BF5E2A9" w14:textId="77777777" w:rsidR="00846386" w:rsidRPr="00A37197" w:rsidRDefault="00846386" w:rsidP="00846386">
      <w:pPr>
        <w:jc w:val="both"/>
        <w:rPr>
          <w:rFonts w:cs="Arial"/>
        </w:rPr>
      </w:pPr>
      <w:r w:rsidRPr="00A37197">
        <w:rPr>
          <w:rFonts w:cs="Arial"/>
        </w:rPr>
        <w:t xml:space="preserve">The Board promotes accountability and transparency with all external stakeholders and with representatives of government and other opinion leaders, whilst maintaining an open and balanced presence in the media. </w:t>
      </w:r>
    </w:p>
    <w:p w14:paraId="530560C9" w14:textId="77777777" w:rsidR="00846386" w:rsidRPr="00A37197" w:rsidRDefault="00846386" w:rsidP="00846386">
      <w:pPr>
        <w:jc w:val="both"/>
        <w:rPr>
          <w:rFonts w:cs="Arial"/>
        </w:rPr>
      </w:pPr>
    </w:p>
    <w:p w14:paraId="105ECE5F" w14:textId="77777777" w:rsidR="00846386" w:rsidRPr="00A37197" w:rsidRDefault="00846386" w:rsidP="00846386">
      <w:pPr>
        <w:jc w:val="both"/>
        <w:rPr>
          <w:rFonts w:cs="Arial"/>
        </w:rPr>
      </w:pPr>
      <w:r w:rsidRPr="00A37197">
        <w:rPr>
          <w:rFonts w:cs="Arial"/>
        </w:rPr>
        <w:t>The Group uses customer engagement surveys where the findings are used to improve customer engagement with knowledge being shared across all of our companies and divisions.</w:t>
      </w:r>
    </w:p>
    <w:p w14:paraId="201FD3B4" w14:textId="77777777" w:rsidR="00846386" w:rsidRPr="00A37197" w:rsidRDefault="00846386" w:rsidP="00846386">
      <w:pPr>
        <w:jc w:val="both"/>
        <w:rPr>
          <w:rFonts w:cs="Arial"/>
        </w:rPr>
      </w:pPr>
    </w:p>
    <w:p w14:paraId="000954EB" w14:textId="77777777" w:rsidR="00846386" w:rsidRPr="00A37197" w:rsidRDefault="00846386" w:rsidP="00846386">
      <w:pPr>
        <w:jc w:val="both"/>
        <w:rPr>
          <w:rFonts w:cs="Arial"/>
        </w:rPr>
      </w:pPr>
      <w:r w:rsidRPr="00A37197">
        <w:rPr>
          <w:rFonts w:cs="Arial"/>
        </w:rPr>
        <w:t>Lothian Buses has Earned Recognition Status which is an external audit and validation mainly of the Group's ability to perform its MOT testing to DVSA standards.</w:t>
      </w:r>
    </w:p>
    <w:p w14:paraId="010B7B84" w14:textId="77777777" w:rsidR="00846386" w:rsidRPr="00A37197" w:rsidRDefault="00846386" w:rsidP="00846386">
      <w:pPr>
        <w:jc w:val="both"/>
        <w:rPr>
          <w:rFonts w:cs="Arial"/>
        </w:rPr>
      </w:pPr>
    </w:p>
    <w:p w14:paraId="308E16A7" w14:textId="48092B9D" w:rsidR="00846386" w:rsidRPr="00A37197" w:rsidRDefault="00846386" w:rsidP="00846386">
      <w:pPr>
        <w:jc w:val="both"/>
        <w:rPr>
          <w:rFonts w:cs="Arial"/>
        </w:rPr>
      </w:pPr>
      <w:bookmarkStart w:id="16" w:name="_Hlk209611638"/>
      <w:r w:rsidRPr="00A37197">
        <w:rPr>
          <w:rFonts w:cs="Arial"/>
        </w:rPr>
        <w:t xml:space="preserve">The </w:t>
      </w:r>
      <w:r w:rsidR="002221EA">
        <w:rPr>
          <w:rFonts w:cs="Arial"/>
        </w:rPr>
        <w:t xml:space="preserve">Lothian Buses’ </w:t>
      </w:r>
      <w:r w:rsidRPr="00A37197">
        <w:rPr>
          <w:rFonts w:cs="Arial"/>
        </w:rPr>
        <w:t xml:space="preserve">Annual General Meeting held in June each year provides a briefing on </w:t>
      </w:r>
      <w:r w:rsidR="002221EA">
        <w:rPr>
          <w:rFonts w:cs="Arial"/>
        </w:rPr>
        <w:t xml:space="preserve">that </w:t>
      </w:r>
      <w:r w:rsidR="007C02B4">
        <w:rPr>
          <w:rFonts w:cs="Arial"/>
        </w:rPr>
        <w:t>c</w:t>
      </w:r>
      <w:r w:rsidR="002221EA">
        <w:rPr>
          <w:rFonts w:cs="Arial"/>
        </w:rPr>
        <w:t xml:space="preserve">ompany’s </w:t>
      </w:r>
      <w:r w:rsidRPr="00A37197">
        <w:rPr>
          <w:rFonts w:cs="Arial"/>
        </w:rPr>
        <w:t xml:space="preserve">financial performance and allows individuals to raise any questions or concerns. </w:t>
      </w:r>
    </w:p>
    <w:bookmarkEnd w:id="16"/>
    <w:p w14:paraId="5607BF6E" w14:textId="77777777" w:rsidR="00846386" w:rsidRPr="00A37197" w:rsidRDefault="00846386" w:rsidP="00846386">
      <w:pPr>
        <w:jc w:val="both"/>
        <w:rPr>
          <w:rFonts w:cs="Arial"/>
        </w:rPr>
      </w:pPr>
    </w:p>
    <w:p w14:paraId="0247B50F" w14:textId="76968B45" w:rsidR="00846386" w:rsidRPr="00A37197" w:rsidRDefault="00846386" w:rsidP="00846386">
      <w:pPr>
        <w:jc w:val="both"/>
        <w:rPr>
          <w:rFonts w:cs="Arial"/>
        </w:rPr>
      </w:pPr>
      <w:r w:rsidRPr="00A37197">
        <w:rPr>
          <w:rFonts w:cs="Arial"/>
        </w:rPr>
        <w:t xml:space="preserve">The Executive Teams </w:t>
      </w:r>
      <w:r w:rsidR="00716671" w:rsidRPr="00A37197">
        <w:rPr>
          <w:rFonts w:cs="Arial"/>
        </w:rPr>
        <w:t xml:space="preserve">of Lothian Buses and Edinburgh Trams </w:t>
      </w:r>
      <w:r w:rsidRPr="00A37197">
        <w:rPr>
          <w:rFonts w:cs="Arial"/>
        </w:rPr>
        <w:t>meet regularly with Union representatives of the Group to facilitate communication of current issues and the Group’s plans and purpose. There is a Recognition and Procedural Agreement in place. The Board</w:t>
      </w:r>
      <w:r w:rsidR="00BC7F2F">
        <w:rPr>
          <w:rFonts w:cs="Arial"/>
        </w:rPr>
        <w:t>s</w:t>
      </w:r>
      <w:r w:rsidRPr="00A37197">
        <w:rPr>
          <w:rFonts w:cs="Arial"/>
        </w:rPr>
        <w:t xml:space="preserve"> consider positive Union engagement a good barometer of the workforce’s confidence in the Group’s strategic direction, optimism in the future, working conditions and career opportunities. The Executive Teams have taken part in a number of initiatives over the </w:t>
      </w:r>
      <w:r w:rsidR="00883934" w:rsidRPr="00A37197">
        <w:rPr>
          <w:rFonts w:cs="Arial"/>
        </w:rPr>
        <w:t>l</w:t>
      </w:r>
      <w:r w:rsidRPr="00A37197">
        <w:rPr>
          <w:rFonts w:cs="Arial"/>
        </w:rPr>
        <w:t xml:space="preserve">ast </w:t>
      </w:r>
      <w:r w:rsidR="00883934" w:rsidRPr="00A37197">
        <w:rPr>
          <w:rFonts w:cs="Arial"/>
        </w:rPr>
        <w:t xml:space="preserve">few </w:t>
      </w:r>
      <w:r w:rsidRPr="00A37197">
        <w:rPr>
          <w:rFonts w:cs="Arial"/>
        </w:rPr>
        <w:t>year</w:t>
      </w:r>
      <w:r w:rsidR="00883934" w:rsidRPr="00A37197">
        <w:rPr>
          <w:rFonts w:cs="Arial"/>
        </w:rPr>
        <w:t>s</w:t>
      </w:r>
      <w:r w:rsidRPr="00A37197">
        <w:rPr>
          <w:rFonts w:cs="Arial"/>
        </w:rPr>
        <w:t xml:space="preserve"> to further improve employee relations by engaging at both Group and divisional level, improving communication, expanding flexible benefits, encouraging more flexible working practices and wellbeing initiatives where possible and updating the Group’s intranet and internal TV screens as channels of communication to share information, best practice, achievements and success.</w:t>
      </w:r>
    </w:p>
    <w:p w14:paraId="13F9A89D" w14:textId="77777777" w:rsidR="00846386" w:rsidRPr="00A37197" w:rsidRDefault="00846386" w:rsidP="00846386">
      <w:pPr>
        <w:jc w:val="both"/>
        <w:rPr>
          <w:rFonts w:cs="Arial"/>
        </w:rPr>
      </w:pPr>
    </w:p>
    <w:p w14:paraId="6BC6504C" w14:textId="77777777" w:rsidR="00846386" w:rsidRPr="00A37197" w:rsidRDefault="00846386" w:rsidP="00846386">
      <w:pPr>
        <w:jc w:val="both"/>
        <w:rPr>
          <w:rFonts w:cs="Arial"/>
        </w:rPr>
      </w:pPr>
      <w:r w:rsidRPr="00A37197">
        <w:rPr>
          <w:rFonts w:cs="Arial"/>
        </w:rPr>
        <w:t>The Group provides both Gender Pay Reporting and Payment Practices &amp; Performance Reporting, both of which are published externally. The Group maintains the additional analysis required to conduct this reporting and welcomes these routes of reporting as it is constantly looking to improve its engagement with stakeholders.</w:t>
      </w:r>
    </w:p>
    <w:p w14:paraId="32036C78" w14:textId="77777777" w:rsidR="00846386" w:rsidRPr="00A37197" w:rsidRDefault="00846386" w:rsidP="00846386">
      <w:pPr>
        <w:jc w:val="both"/>
        <w:rPr>
          <w:rFonts w:cs="Arial"/>
        </w:rPr>
      </w:pPr>
    </w:p>
    <w:p w14:paraId="486510FC" w14:textId="1932BC67" w:rsidR="00846386" w:rsidRPr="00A37197" w:rsidRDefault="00846386" w:rsidP="00846386">
      <w:pPr>
        <w:jc w:val="both"/>
        <w:rPr>
          <w:rFonts w:cs="Arial"/>
        </w:rPr>
      </w:pPr>
      <w:r w:rsidRPr="00A37197">
        <w:rPr>
          <w:rFonts w:cs="Arial"/>
        </w:rPr>
        <w:t xml:space="preserve">The Group communicates regularly with the Lothian Pension Fund, which operates the </w:t>
      </w:r>
      <w:r w:rsidR="002E2DBA">
        <w:rPr>
          <w:rFonts w:cs="Arial"/>
        </w:rPr>
        <w:t>Lothian Buses</w:t>
      </w:r>
      <w:r w:rsidR="00837E38">
        <w:rPr>
          <w:rFonts w:cs="Arial"/>
        </w:rPr>
        <w:t xml:space="preserve">’ </w:t>
      </w:r>
      <w:r w:rsidRPr="00A37197">
        <w:rPr>
          <w:rFonts w:cs="Arial"/>
        </w:rPr>
        <w:t>defined benefit pension scheme and Scottish Widows which operates</w:t>
      </w:r>
      <w:r w:rsidR="00837E38">
        <w:rPr>
          <w:rFonts w:cs="Arial"/>
        </w:rPr>
        <w:t xml:space="preserve"> Lothian Buses’ and </w:t>
      </w:r>
      <w:r w:rsidR="00657EBF">
        <w:rPr>
          <w:rFonts w:cs="Arial"/>
        </w:rPr>
        <w:t>Edinburgh Trams’</w:t>
      </w:r>
      <w:r w:rsidRPr="00A37197">
        <w:rPr>
          <w:rFonts w:cs="Arial"/>
        </w:rPr>
        <w:t xml:space="preserve"> defined contribution schemes, both of which are wholly independent of the </w:t>
      </w:r>
      <w:r w:rsidR="006F0FA9">
        <w:rPr>
          <w:rFonts w:cs="Arial"/>
        </w:rPr>
        <w:t>Group</w:t>
      </w:r>
      <w:r w:rsidRPr="00A37197">
        <w:rPr>
          <w:rFonts w:cs="Arial"/>
        </w:rPr>
        <w:t xml:space="preserve">. These regular communications are key to ensuring that the decisions made by both the </w:t>
      </w:r>
      <w:r w:rsidR="006F0FA9">
        <w:rPr>
          <w:rFonts w:cs="Arial"/>
        </w:rPr>
        <w:t>Group</w:t>
      </w:r>
      <w:r w:rsidRPr="00A37197">
        <w:rPr>
          <w:rFonts w:cs="Arial"/>
        </w:rPr>
        <w:t xml:space="preserve"> and the schemes reflect the interest of all stakeholders.</w:t>
      </w:r>
    </w:p>
    <w:p w14:paraId="684961C5" w14:textId="77777777" w:rsidR="00846386" w:rsidRPr="00A37197" w:rsidRDefault="00846386" w:rsidP="00846386">
      <w:pPr>
        <w:jc w:val="both"/>
        <w:rPr>
          <w:rFonts w:cs="Arial"/>
        </w:rPr>
      </w:pPr>
    </w:p>
    <w:p w14:paraId="6238B4AE" w14:textId="77777777" w:rsidR="00846386" w:rsidRPr="00924DA9" w:rsidRDefault="00846386" w:rsidP="00846386">
      <w:pPr>
        <w:jc w:val="both"/>
        <w:rPr>
          <w:rFonts w:cs="Arial"/>
        </w:rPr>
      </w:pPr>
      <w:r w:rsidRPr="00A37197">
        <w:rPr>
          <w:rFonts w:cs="Arial"/>
        </w:rPr>
        <w:t>The Group’s main websites, (</w:t>
      </w:r>
      <w:hyperlink r:id="rId23" w:history="1">
        <w:r w:rsidRPr="00A37197">
          <w:rPr>
            <w:rStyle w:val="Hyperlink"/>
            <w:rFonts w:cs="Arial"/>
          </w:rPr>
          <w:t>www.lothianbuses.com</w:t>
        </w:r>
      </w:hyperlink>
      <w:r w:rsidRPr="00A37197">
        <w:rPr>
          <w:rFonts w:cs="Arial"/>
        </w:rPr>
        <w:t>) and (</w:t>
      </w:r>
      <w:hyperlink r:id="rId24" w:history="1">
        <w:r w:rsidRPr="00A37197">
          <w:rPr>
            <w:rStyle w:val="Hyperlink"/>
            <w:rFonts w:cs="Arial"/>
          </w:rPr>
          <w:t>www.edinburghtrams.com</w:t>
        </w:r>
      </w:hyperlink>
      <w:r w:rsidRPr="00A37197">
        <w:rPr>
          <w:rFonts w:cs="Arial"/>
        </w:rPr>
        <w:t>), intranet, TV screens and social media channels provide extensive and up-to-date news on recent developments.</w:t>
      </w:r>
    </w:p>
    <w:p w14:paraId="3478698D" w14:textId="77777777" w:rsidR="00C02D6C" w:rsidRPr="00820267" w:rsidRDefault="00C02D6C" w:rsidP="00C02D6C">
      <w:pPr>
        <w:jc w:val="center"/>
        <w:rPr>
          <w:b/>
        </w:rPr>
      </w:pPr>
      <w:r w:rsidRPr="00C328EF">
        <w:rPr>
          <w:rFonts w:cs="Arial"/>
          <w:highlight w:val="yellow"/>
        </w:rPr>
        <w:br w:type="page"/>
      </w:r>
      <w:r w:rsidRPr="00820267">
        <w:rPr>
          <w:b/>
        </w:rPr>
        <w:lastRenderedPageBreak/>
        <w:t>TRANSPORT FOR EDINBURGH LIMITED</w:t>
      </w:r>
    </w:p>
    <w:p w14:paraId="0A76271C" w14:textId="77777777" w:rsidR="00C02D6C" w:rsidRPr="00820267" w:rsidRDefault="00C02D6C" w:rsidP="00C02D6C">
      <w:pPr>
        <w:rPr>
          <w:b/>
        </w:rPr>
      </w:pPr>
    </w:p>
    <w:p w14:paraId="71C70B53" w14:textId="77777777" w:rsidR="00C02D6C" w:rsidRPr="00820267" w:rsidRDefault="00C02D6C" w:rsidP="00C02D6C">
      <w:pPr>
        <w:jc w:val="center"/>
        <w:rPr>
          <w:rFonts w:cs="Arial"/>
        </w:rPr>
      </w:pPr>
      <w:r w:rsidRPr="00820267">
        <w:rPr>
          <w:b/>
        </w:rPr>
        <w:t>Corporate Governance Report (continued)</w:t>
      </w:r>
    </w:p>
    <w:p w14:paraId="7C0A6B28" w14:textId="77777777" w:rsidR="00C02D6C" w:rsidRPr="00820267" w:rsidRDefault="00C02D6C" w:rsidP="00C02D6C">
      <w:pPr>
        <w:jc w:val="center"/>
        <w:rPr>
          <w:b/>
        </w:rPr>
      </w:pPr>
    </w:p>
    <w:p w14:paraId="36BDCF0C" w14:textId="77777777" w:rsidR="00C02D6C" w:rsidRPr="00820267" w:rsidRDefault="00D90B89" w:rsidP="00C02D6C">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2ABCE065" w14:textId="77777777" w:rsidR="00C02D6C" w:rsidRPr="00820267" w:rsidRDefault="00C02D6C" w:rsidP="00C02D6C">
      <w:pPr>
        <w:jc w:val="center"/>
        <w:rPr>
          <w:b/>
        </w:rPr>
      </w:pPr>
    </w:p>
    <w:p w14:paraId="2AF93EC9" w14:textId="77777777" w:rsidR="00C02D6C" w:rsidRPr="008E2679" w:rsidRDefault="00C02D6C" w:rsidP="00C02D6C">
      <w:pPr>
        <w:jc w:val="both"/>
        <w:rPr>
          <w:rFonts w:cs="Arial"/>
          <w:b/>
        </w:rPr>
      </w:pPr>
      <w:r w:rsidRPr="008E2679">
        <w:rPr>
          <w:rFonts w:cs="Arial"/>
          <w:b/>
        </w:rPr>
        <w:t>Company Board</w:t>
      </w:r>
    </w:p>
    <w:p w14:paraId="36EA726C" w14:textId="77777777" w:rsidR="00C02D6C" w:rsidRPr="008E2679" w:rsidRDefault="00C02D6C" w:rsidP="00C02D6C">
      <w:pPr>
        <w:jc w:val="both"/>
        <w:rPr>
          <w:rFonts w:cs="Arial"/>
        </w:rPr>
      </w:pPr>
    </w:p>
    <w:p w14:paraId="5B34650F" w14:textId="77777777" w:rsidR="00C02D6C" w:rsidRPr="008E2679" w:rsidRDefault="00C02D6C" w:rsidP="00C02D6C">
      <w:pPr>
        <w:jc w:val="both"/>
        <w:rPr>
          <w:rFonts w:cs="Arial"/>
        </w:rPr>
      </w:pPr>
      <w:r w:rsidRPr="008E2679">
        <w:rPr>
          <w:rFonts w:cs="Arial"/>
        </w:rPr>
        <w:t>Details of individual Directors' attendance at Board and Committee meetings in 202</w:t>
      </w:r>
      <w:r w:rsidR="0062645D" w:rsidRPr="008E2679">
        <w:rPr>
          <w:rFonts w:cs="Arial"/>
        </w:rPr>
        <w:t>4</w:t>
      </w:r>
      <w:r w:rsidRPr="008E2679">
        <w:rPr>
          <w:rFonts w:cs="Arial"/>
        </w:rPr>
        <w:t xml:space="preserve"> are shown below:</w:t>
      </w:r>
    </w:p>
    <w:p w14:paraId="0415E9C3" w14:textId="77777777" w:rsidR="00C02D6C" w:rsidRPr="008E2679" w:rsidRDefault="00C02D6C" w:rsidP="00C02D6C">
      <w:pPr>
        <w:jc w:val="both"/>
        <w:rPr>
          <w:rFonts w:cs="Arial"/>
        </w:rPr>
      </w:pPr>
    </w:p>
    <w:p w14:paraId="57B5943D" w14:textId="77777777" w:rsidR="00C02D6C" w:rsidRPr="008E2679" w:rsidRDefault="00C02D6C" w:rsidP="00C02D6C">
      <w:pPr>
        <w:jc w:val="both"/>
        <w:rPr>
          <w:rFonts w:cs="Arial"/>
          <w:b/>
        </w:rPr>
      </w:pP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t>Max no.</w:t>
      </w:r>
      <w:r w:rsidRPr="008E2679">
        <w:rPr>
          <w:rFonts w:cs="Arial"/>
          <w:b/>
        </w:rPr>
        <w:tab/>
      </w:r>
      <w:r w:rsidRPr="008E2679">
        <w:rPr>
          <w:rFonts w:cs="Arial"/>
          <w:b/>
        </w:rPr>
        <w:tab/>
        <w:t xml:space="preserve">    </w:t>
      </w:r>
      <w:r w:rsidRPr="008E2679">
        <w:rPr>
          <w:rFonts w:cs="Arial"/>
          <w:b/>
        </w:rPr>
        <w:tab/>
        <w:t>No.</w:t>
      </w:r>
      <w:r w:rsidRPr="008E2679">
        <w:rPr>
          <w:rFonts w:cs="Arial"/>
          <w:b/>
        </w:rPr>
        <w:tab/>
      </w:r>
      <w:r w:rsidRPr="008E2679">
        <w:rPr>
          <w:rFonts w:cs="Arial"/>
          <w:b/>
        </w:rPr>
        <w:tab/>
      </w:r>
      <w:r w:rsidRPr="008E2679">
        <w:rPr>
          <w:rFonts w:cs="Arial"/>
          <w:b/>
        </w:rPr>
        <w:tab/>
        <w:t>%</w:t>
      </w:r>
    </w:p>
    <w:p w14:paraId="6C04BD0D" w14:textId="77777777" w:rsidR="00C02D6C" w:rsidRPr="008E2679" w:rsidRDefault="00C02D6C" w:rsidP="00C02D6C">
      <w:pPr>
        <w:jc w:val="both"/>
        <w:rPr>
          <w:rFonts w:cs="Arial"/>
          <w:b/>
        </w:rPr>
      </w:pP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t xml:space="preserve">     of Board and</w:t>
      </w:r>
      <w:r w:rsidRPr="008E2679">
        <w:rPr>
          <w:rFonts w:cs="Arial"/>
          <w:b/>
        </w:rPr>
        <w:tab/>
      </w:r>
      <w:r w:rsidRPr="008E2679">
        <w:rPr>
          <w:rFonts w:cs="Arial"/>
          <w:b/>
        </w:rPr>
        <w:tab/>
        <w:t>of Board and</w:t>
      </w:r>
      <w:r w:rsidRPr="008E2679">
        <w:rPr>
          <w:rFonts w:cs="Arial"/>
          <w:b/>
        </w:rPr>
        <w:tab/>
        <w:t>of Board and</w:t>
      </w:r>
    </w:p>
    <w:p w14:paraId="0CD59436" w14:textId="77777777" w:rsidR="00C02D6C" w:rsidRPr="008E2679" w:rsidRDefault="00C02D6C" w:rsidP="00C02D6C">
      <w:pPr>
        <w:jc w:val="both"/>
        <w:rPr>
          <w:rFonts w:cs="Arial"/>
          <w:b/>
        </w:rPr>
      </w:pP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t xml:space="preserve">       Committee</w:t>
      </w:r>
      <w:r w:rsidRPr="008E2679">
        <w:rPr>
          <w:rFonts w:cs="Arial"/>
          <w:b/>
        </w:rPr>
        <w:tab/>
      </w:r>
      <w:r w:rsidRPr="008E2679">
        <w:rPr>
          <w:rFonts w:cs="Arial"/>
          <w:b/>
        </w:rPr>
        <w:tab/>
        <w:t xml:space="preserve">  Committee</w:t>
      </w:r>
      <w:r w:rsidRPr="008E2679">
        <w:rPr>
          <w:rFonts w:cs="Arial"/>
          <w:b/>
        </w:rPr>
        <w:tab/>
        <w:t xml:space="preserve">   Committee</w:t>
      </w:r>
    </w:p>
    <w:p w14:paraId="78A39216" w14:textId="77777777" w:rsidR="00C02D6C" w:rsidRPr="008E2679" w:rsidRDefault="00C02D6C" w:rsidP="00C02D6C">
      <w:pPr>
        <w:jc w:val="both"/>
        <w:rPr>
          <w:rFonts w:cs="Arial"/>
          <w:b/>
        </w:rPr>
      </w:pP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t xml:space="preserve"> Meetings Director</w:t>
      </w:r>
      <w:r w:rsidRPr="008E2679">
        <w:rPr>
          <w:rFonts w:cs="Arial"/>
          <w:b/>
        </w:rPr>
        <w:tab/>
        <w:t xml:space="preserve">    Meetings</w:t>
      </w:r>
      <w:r w:rsidRPr="008E2679">
        <w:rPr>
          <w:rFonts w:cs="Arial"/>
          <w:b/>
        </w:rPr>
        <w:tab/>
      </w:r>
      <w:r w:rsidRPr="008E2679">
        <w:rPr>
          <w:rFonts w:cs="Arial"/>
          <w:b/>
        </w:rPr>
        <w:tab/>
        <w:t xml:space="preserve">     Meetings</w:t>
      </w:r>
    </w:p>
    <w:p w14:paraId="36285838" w14:textId="77777777" w:rsidR="00C02D6C" w:rsidRPr="008E2679" w:rsidRDefault="00C02D6C" w:rsidP="00C02D6C">
      <w:pPr>
        <w:jc w:val="both"/>
        <w:rPr>
          <w:rFonts w:cs="Arial"/>
          <w:b/>
        </w:rPr>
      </w:pPr>
      <w:r w:rsidRPr="008E2679">
        <w:rPr>
          <w:rFonts w:cs="Arial"/>
          <w:b/>
        </w:rPr>
        <w:t>Name of Director</w:t>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r>
      <w:r w:rsidRPr="008E2679">
        <w:rPr>
          <w:rFonts w:cs="Arial"/>
          <w:b/>
        </w:rPr>
        <w:tab/>
        <w:t xml:space="preserve">     could attend</w:t>
      </w:r>
      <w:r w:rsidRPr="008E2679">
        <w:rPr>
          <w:rFonts w:cs="Arial"/>
          <w:b/>
        </w:rPr>
        <w:tab/>
      </w:r>
      <w:r w:rsidRPr="008E2679">
        <w:rPr>
          <w:rFonts w:cs="Arial"/>
          <w:b/>
        </w:rPr>
        <w:tab/>
        <w:t xml:space="preserve">    attended</w:t>
      </w:r>
      <w:r w:rsidRPr="008E2679">
        <w:rPr>
          <w:rFonts w:cs="Arial"/>
          <w:b/>
        </w:rPr>
        <w:tab/>
      </w:r>
      <w:r w:rsidRPr="008E2679">
        <w:rPr>
          <w:rFonts w:cs="Arial"/>
          <w:b/>
        </w:rPr>
        <w:tab/>
        <w:t xml:space="preserve">     attended</w:t>
      </w:r>
    </w:p>
    <w:p w14:paraId="44CD2A7E" w14:textId="77777777" w:rsidR="00C02D6C" w:rsidRPr="008E2679" w:rsidRDefault="00C02D6C" w:rsidP="00C02D6C">
      <w:pPr>
        <w:jc w:val="both"/>
        <w:rPr>
          <w:rFonts w:cs="Arial"/>
          <w:b/>
        </w:rPr>
      </w:pPr>
    </w:p>
    <w:p w14:paraId="0DE40EED" w14:textId="77777777" w:rsidR="00C02D6C" w:rsidRPr="008E2679" w:rsidRDefault="00C02D6C" w:rsidP="00C02D6C">
      <w:pPr>
        <w:jc w:val="both"/>
        <w:rPr>
          <w:rFonts w:cs="Arial"/>
          <w:b/>
        </w:rPr>
      </w:pPr>
      <w:r w:rsidRPr="008E2679">
        <w:rPr>
          <w:rFonts w:cs="Arial"/>
          <w:b/>
        </w:rPr>
        <w:t>Chair</w:t>
      </w:r>
    </w:p>
    <w:p w14:paraId="011D43D6" w14:textId="09A48885" w:rsidR="00C02D6C" w:rsidRPr="008E2679" w:rsidRDefault="00C02D6C" w:rsidP="00C02D6C">
      <w:pPr>
        <w:jc w:val="both"/>
        <w:rPr>
          <w:rFonts w:cs="Arial"/>
        </w:rPr>
      </w:pPr>
      <w:r w:rsidRPr="008E2679">
        <w:rPr>
          <w:rFonts w:cs="Arial"/>
        </w:rPr>
        <w:t>Scott Arthur</w:t>
      </w:r>
      <w:r w:rsidR="00883934" w:rsidRPr="008E2679">
        <w:rPr>
          <w:rFonts w:cs="Arial"/>
        </w:rPr>
        <w:tab/>
      </w:r>
      <w:r w:rsidR="00883934" w:rsidRPr="008E2679">
        <w:rPr>
          <w:rFonts w:cs="Arial"/>
        </w:rPr>
        <w:tab/>
      </w:r>
      <w:r w:rsidR="00883934" w:rsidRPr="008E2679">
        <w:rPr>
          <w:rFonts w:cs="Arial"/>
        </w:rPr>
        <w:tab/>
      </w:r>
      <w:r w:rsidR="00883934" w:rsidRPr="008E2679">
        <w:rPr>
          <w:rFonts w:cs="Arial"/>
        </w:rPr>
        <w:tab/>
      </w:r>
      <w:r w:rsidR="00883934"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008E2679">
        <w:rPr>
          <w:rFonts w:cs="Arial"/>
        </w:rPr>
        <w:t>3</w:t>
      </w:r>
      <w:r w:rsidRPr="008E2679">
        <w:rPr>
          <w:rFonts w:cs="Arial"/>
        </w:rPr>
        <w:tab/>
      </w:r>
      <w:r w:rsidRPr="008E2679">
        <w:rPr>
          <w:rFonts w:cs="Arial"/>
        </w:rPr>
        <w:tab/>
      </w:r>
      <w:r w:rsidRPr="008E2679">
        <w:rPr>
          <w:rFonts w:cs="Arial"/>
        </w:rPr>
        <w:tab/>
      </w:r>
      <w:r w:rsidR="008E2679">
        <w:rPr>
          <w:rFonts w:cs="Arial"/>
        </w:rPr>
        <w:t>3</w:t>
      </w:r>
      <w:r w:rsidR="005F0E69" w:rsidRPr="008E2679">
        <w:rPr>
          <w:rFonts w:cs="Arial"/>
        </w:rPr>
        <w:tab/>
      </w:r>
      <w:r w:rsidRPr="008E2679">
        <w:rPr>
          <w:rFonts w:cs="Arial"/>
        </w:rPr>
        <w:tab/>
      </w:r>
      <w:r w:rsidRPr="008E2679">
        <w:rPr>
          <w:rFonts w:cs="Arial"/>
        </w:rPr>
        <w:tab/>
      </w:r>
      <w:r w:rsidR="008E2679">
        <w:rPr>
          <w:rFonts w:cs="Arial"/>
        </w:rPr>
        <w:t>100</w:t>
      </w:r>
      <w:r w:rsidRPr="008E2679">
        <w:rPr>
          <w:rFonts w:cs="Arial"/>
        </w:rPr>
        <w:t>%</w:t>
      </w:r>
    </w:p>
    <w:p w14:paraId="5AC022E3" w14:textId="77777777" w:rsidR="00C02D6C" w:rsidRPr="008E2679" w:rsidRDefault="00C02D6C" w:rsidP="00C02D6C">
      <w:pPr>
        <w:jc w:val="both"/>
        <w:rPr>
          <w:rFonts w:cs="Arial"/>
        </w:rPr>
      </w:pPr>
    </w:p>
    <w:p w14:paraId="18073682" w14:textId="77777777" w:rsidR="00C02D6C" w:rsidRPr="008E2679" w:rsidRDefault="00C02D6C" w:rsidP="00C02D6C">
      <w:pPr>
        <w:jc w:val="both"/>
        <w:rPr>
          <w:rFonts w:cs="Arial"/>
          <w:b/>
        </w:rPr>
      </w:pPr>
      <w:r w:rsidRPr="008E2679">
        <w:rPr>
          <w:rFonts w:cs="Arial"/>
          <w:b/>
        </w:rPr>
        <w:t>Chief Executive</w:t>
      </w:r>
    </w:p>
    <w:p w14:paraId="67C2E893" w14:textId="10837042" w:rsidR="00C02D6C" w:rsidRPr="008E2679" w:rsidRDefault="00C02D6C" w:rsidP="00C02D6C">
      <w:pPr>
        <w:jc w:val="both"/>
        <w:rPr>
          <w:rFonts w:cs="Arial"/>
        </w:rPr>
      </w:pPr>
      <w:r w:rsidRPr="008E2679">
        <w:rPr>
          <w:rFonts w:cs="Arial"/>
        </w:rPr>
        <w:t>George Lowder</w:t>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008E2679">
        <w:rPr>
          <w:rFonts w:cs="Arial"/>
        </w:rPr>
        <w:t>2</w:t>
      </w:r>
      <w:r w:rsidRPr="008E2679">
        <w:rPr>
          <w:rFonts w:cs="Arial"/>
        </w:rPr>
        <w:tab/>
      </w:r>
      <w:r w:rsidRPr="008E2679">
        <w:rPr>
          <w:rFonts w:cs="Arial"/>
        </w:rPr>
        <w:tab/>
      </w:r>
      <w:r w:rsidRPr="008E2679">
        <w:rPr>
          <w:rFonts w:cs="Arial"/>
        </w:rPr>
        <w:tab/>
      </w:r>
      <w:r w:rsidR="008E2679">
        <w:rPr>
          <w:rFonts w:cs="Arial"/>
        </w:rPr>
        <w:t>2</w:t>
      </w:r>
      <w:r w:rsidRPr="008E2679">
        <w:rPr>
          <w:rFonts w:cs="Arial"/>
        </w:rPr>
        <w:tab/>
      </w:r>
      <w:r w:rsidRPr="008E2679">
        <w:rPr>
          <w:rFonts w:cs="Arial"/>
        </w:rPr>
        <w:tab/>
      </w:r>
      <w:r w:rsidRPr="008E2679">
        <w:rPr>
          <w:rFonts w:cs="Arial"/>
        </w:rPr>
        <w:tab/>
      </w:r>
      <w:r w:rsidR="008E2679">
        <w:rPr>
          <w:rFonts w:cs="Arial"/>
        </w:rPr>
        <w:t>100</w:t>
      </w:r>
      <w:r w:rsidRPr="008E2679">
        <w:rPr>
          <w:rFonts w:cs="Arial"/>
        </w:rPr>
        <w:t>%</w:t>
      </w:r>
    </w:p>
    <w:p w14:paraId="3B6136F4" w14:textId="77777777" w:rsidR="00C02D6C" w:rsidRPr="008E2679" w:rsidRDefault="00C02D6C" w:rsidP="00C02D6C">
      <w:pPr>
        <w:jc w:val="both"/>
        <w:rPr>
          <w:rFonts w:cs="Arial"/>
        </w:rPr>
      </w:pPr>
    </w:p>
    <w:p w14:paraId="1B860988" w14:textId="77777777" w:rsidR="00C02D6C" w:rsidRPr="008E2679" w:rsidRDefault="00C02D6C" w:rsidP="00C02D6C">
      <w:pPr>
        <w:jc w:val="both"/>
        <w:rPr>
          <w:rFonts w:cs="Arial"/>
          <w:b/>
        </w:rPr>
      </w:pPr>
      <w:r w:rsidRPr="008E2679">
        <w:rPr>
          <w:rFonts w:cs="Arial"/>
          <w:b/>
        </w:rPr>
        <w:t>Directors</w:t>
      </w:r>
    </w:p>
    <w:p w14:paraId="0028668D" w14:textId="1779AAED" w:rsidR="00C02D6C" w:rsidRPr="008E2679" w:rsidRDefault="00C02D6C" w:rsidP="00C02D6C">
      <w:pPr>
        <w:jc w:val="both"/>
        <w:rPr>
          <w:rFonts w:cs="Arial"/>
        </w:rPr>
      </w:pPr>
      <w:r w:rsidRPr="008E2679">
        <w:rPr>
          <w:rFonts w:cs="Arial"/>
        </w:rPr>
        <w:t>James McFarlane</w:t>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008E2679">
        <w:rPr>
          <w:rFonts w:cs="Arial"/>
        </w:rPr>
        <w:t>2</w:t>
      </w:r>
      <w:r w:rsidRPr="008E2679">
        <w:rPr>
          <w:rFonts w:cs="Arial"/>
        </w:rPr>
        <w:tab/>
      </w:r>
      <w:r w:rsidRPr="008E2679">
        <w:rPr>
          <w:rFonts w:cs="Arial"/>
        </w:rPr>
        <w:tab/>
      </w:r>
      <w:r w:rsidRPr="008E2679">
        <w:rPr>
          <w:rFonts w:cs="Arial"/>
        </w:rPr>
        <w:tab/>
      </w:r>
      <w:r w:rsidR="008E2679">
        <w:rPr>
          <w:rFonts w:cs="Arial"/>
        </w:rPr>
        <w:t>1</w:t>
      </w:r>
      <w:r w:rsidRPr="008E2679">
        <w:rPr>
          <w:rFonts w:cs="Arial"/>
        </w:rPr>
        <w:tab/>
      </w:r>
      <w:r w:rsidRPr="008E2679">
        <w:rPr>
          <w:rFonts w:cs="Arial"/>
        </w:rPr>
        <w:tab/>
      </w:r>
      <w:r w:rsidRPr="008E2679">
        <w:rPr>
          <w:rFonts w:cs="Arial"/>
        </w:rPr>
        <w:tab/>
      </w:r>
      <w:r w:rsidR="008E2679">
        <w:rPr>
          <w:rFonts w:cs="Arial"/>
        </w:rPr>
        <w:t xml:space="preserve">  50</w:t>
      </w:r>
      <w:r w:rsidRPr="008E2679">
        <w:rPr>
          <w:rFonts w:cs="Arial"/>
        </w:rPr>
        <w:t>%</w:t>
      </w:r>
    </w:p>
    <w:p w14:paraId="28F2CEEB" w14:textId="1FB265CC" w:rsidR="00C02D6C" w:rsidRPr="008E2679" w:rsidRDefault="00883934" w:rsidP="00C02D6C">
      <w:pPr>
        <w:jc w:val="both"/>
        <w:rPr>
          <w:rFonts w:cs="Arial"/>
        </w:rPr>
      </w:pPr>
      <w:r w:rsidRPr="008E2679">
        <w:rPr>
          <w:rFonts w:cs="Arial"/>
        </w:rPr>
        <w:t>Lesley Macinnes</w:t>
      </w:r>
      <w:r w:rsidRPr="008E2679">
        <w:rPr>
          <w:rFonts w:cs="Arial"/>
        </w:rPr>
        <w:tab/>
      </w:r>
      <w:r w:rsidRPr="008E2679">
        <w:rPr>
          <w:rFonts w:cs="Arial"/>
        </w:rPr>
        <w:tab/>
      </w:r>
      <w:r w:rsidRPr="008E2679">
        <w:rPr>
          <w:rFonts w:cs="Arial"/>
        </w:rPr>
        <w:tab/>
      </w:r>
      <w:r w:rsidR="00C02D6C" w:rsidRPr="008E2679">
        <w:rPr>
          <w:rFonts w:cs="Arial"/>
        </w:rPr>
        <w:tab/>
      </w:r>
      <w:r w:rsidR="00C02D6C" w:rsidRPr="008E2679">
        <w:rPr>
          <w:rFonts w:cs="Arial"/>
        </w:rPr>
        <w:tab/>
      </w:r>
      <w:r w:rsidR="00C02D6C" w:rsidRPr="008E2679">
        <w:rPr>
          <w:rFonts w:cs="Arial"/>
        </w:rPr>
        <w:tab/>
      </w:r>
      <w:r w:rsidR="00C02D6C" w:rsidRPr="008E2679">
        <w:rPr>
          <w:rFonts w:cs="Arial"/>
        </w:rPr>
        <w:tab/>
      </w:r>
      <w:r w:rsidR="00C02D6C" w:rsidRPr="008E2679">
        <w:rPr>
          <w:rFonts w:cs="Arial"/>
        </w:rPr>
        <w:tab/>
      </w:r>
      <w:r w:rsidR="008E2679">
        <w:rPr>
          <w:rFonts w:cs="Arial"/>
        </w:rPr>
        <w:t>3</w:t>
      </w:r>
      <w:r w:rsidR="00C02D6C" w:rsidRPr="008E2679">
        <w:rPr>
          <w:rFonts w:cs="Arial"/>
        </w:rPr>
        <w:tab/>
      </w:r>
      <w:r w:rsidR="00C02D6C" w:rsidRPr="008E2679">
        <w:rPr>
          <w:rFonts w:cs="Arial"/>
        </w:rPr>
        <w:tab/>
      </w:r>
      <w:r w:rsidR="00C02D6C" w:rsidRPr="008E2679">
        <w:rPr>
          <w:rFonts w:cs="Arial"/>
        </w:rPr>
        <w:tab/>
      </w:r>
      <w:r w:rsidR="008E2679">
        <w:rPr>
          <w:rFonts w:cs="Arial"/>
        </w:rPr>
        <w:t>2</w:t>
      </w:r>
      <w:r w:rsidR="00C02D6C" w:rsidRPr="008E2679">
        <w:rPr>
          <w:rFonts w:cs="Arial"/>
        </w:rPr>
        <w:tab/>
      </w:r>
      <w:r w:rsidR="00C02D6C" w:rsidRPr="008E2679">
        <w:rPr>
          <w:rFonts w:cs="Arial"/>
        </w:rPr>
        <w:tab/>
      </w:r>
      <w:r w:rsidR="00C02D6C" w:rsidRPr="008E2679">
        <w:rPr>
          <w:rFonts w:cs="Arial"/>
        </w:rPr>
        <w:tab/>
      </w:r>
      <w:r w:rsidR="008E2679">
        <w:rPr>
          <w:rFonts w:cs="Arial"/>
        </w:rPr>
        <w:t xml:space="preserve">  67</w:t>
      </w:r>
      <w:r w:rsidR="00C02D6C" w:rsidRPr="008E2679">
        <w:rPr>
          <w:rFonts w:cs="Arial"/>
        </w:rPr>
        <w:t>%</w:t>
      </w:r>
    </w:p>
    <w:p w14:paraId="37D68DAB" w14:textId="1C8CD843" w:rsidR="00C02D6C" w:rsidRPr="008E2679" w:rsidRDefault="00C02D6C" w:rsidP="00C02D6C">
      <w:pPr>
        <w:jc w:val="both"/>
        <w:rPr>
          <w:rFonts w:cs="Arial"/>
        </w:rPr>
      </w:pPr>
      <w:r w:rsidRPr="008E2679">
        <w:rPr>
          <w:rFonts w:cs="Arial"/>
        </w:rPr>
        <w:t>George Hazel</w:t>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008E2679">
        <w:rPr>
          <w:rFonts w:cs="Arial"/>
        </w:rPr>
        <w:t>4</w:t>
      </w:r>
      <w:r w:rsidRPr="008E2679">
        <w:rPr>
          <w:rFonts w:cs="Arial"/>
        </w:rPr>
        <w:tab/>
      </w:r>
      <w:r w:rsidRPr="008E2679">
        <w:rPr>
          <w:rFonts w:cs="Arial"/>
        </w:rPr>
        <w:tab/>
      </w:r>
      <w:r w:rsidRPr="008E2679">
        <w:rPr>
          <w:rFonts w:cs="Arial"/>
        </w:rPr>
        <w:tab/>
      </w:r>
      <w:r w:rsidR="008E2679">
        <w:rPr>
          <w:rFonts w:cs="Arial"/>
        </w:rPr>
        <w:t>4</w:t>
      </w:r>
      <w:r w:rsidRPr="008E2679">
        <w:rPr>
          <w:rFonts w:cs="Arial"/>
        </w:rPr>
        <w:tab/>
      </w:r>
      <w:r w:rsidRPr="008E2679">
        <w:rPr>
          <w:rFonts w:cs="Arial"/>
        </w:rPr>
        <w:tab/>
      </w:r>
      <w:r w:rsidRPr="008E2679">
        <w:rPr>
          <w:rFonts w:cs="Arial"/>
        </w:rPr>
        <w:tab/>
      </w:r>
      <w:r w:rsidR="008E2679">
        <w:rPr>
          <w:rFonts w:cs="Arial"/>
        </w:rPr>
        <w:t>100</w:t>
      </w:r>
      <w:r w:rsidRPr="008E2679">
        <w:rPr>
          <w:rFonts w:cs="Arial"/>
        </w:rPr>
        <w:t>%</w:t>
      </w:r>
    </w:p>
    <w:p w14:paraId="3D05B2BC" w14:textId="280FB3FD" w:rsidR="00C02D6C" w:rsidRPr="008E2679" w:rsidRDefault="00C02D6C" w:rsidP="00C02D6C">
      <w:pPr>
        <w:jc w:val="both"/>
        <w:rPr>
          <w:rFonts w:cs="Arial"/>
        </w:rPr>
      </w:pPr>
      <w:r w:rsidRPr="008E2679">
        <w:rPr>
          <w:rFonts w:cs="Arial"/>
        </w:rPr>
        <w:t>Andrew Neal</w:t>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008E2679">
        <w:rPr>
          <w:rFonts w:cs="Arial"/>
        </w:rPr>
        <w:t>3</w:t>
      </w:r>
      <w:r w:rsidRPr="008E2679">
        <w:rPr>
          <w:rFonts w:cs="Arial"/>
        </w:rPr>
        <w:tab/>
      </w:r>
      <w:r w:rsidRPr="008E2679">
        <w:rPr>
          <w:rFonts w:cs="Arial"/>
        </w:rPr>
        <w:tab/>
      </w:r>
      <w:r w:rsidRPr="008E2679">
        <w:rPr>
          <w:rFonts w:cs="Arial"/>
        </w:rPr>
        <w:tab/>
      </w:r>
      <w:r w:rsidR="008E2679">
        <w:rPr>
          <w:rFonts w:cs="Arial"/>
        </w:rPr>
        <w:t>3</w:t>
      </w:r>
      <w:r w:rsidRPr="008E2679">
        <w:rPr>
          <w:rFonts w:cs="Arial"/>
        </w:rPr>
        <w:tab/>
      </w:r>
      <w:r w:rsidRPr="008E2679">
        <w:rPr>
          <w:rFonts w:cs="Arial"/>
        </w:rPr>
        <w:tab/>
      </w:r>
      <w:r w:rsidRPr="008E2679">
        <w:rPr>
          <w:rFonts w:cs="Arial"/>
        </w:rPr>
        <w:tab/>
      </w:r>
      <w:r w:rsidR="008E2679">
        <w:rPr>
          <w:rFonts w:cs="Arial"/>
        </w:rPr>
        <w:t>100</w:t>
      </w:r>
      <w:r w:rsidRPr="008E2679">
        <w:rPr>
          <w:rFonts w:cs="Arial"/>
        </w:rPr>
        <w:t>%</w:t>
      </w:r>
    </w:p>
    <w:p w14:paraId="1EA6B96E" w14:textId="509A33DD" w:rsidR="00C02D6C" w:rsidRPr="008E2679" w:rsidRDefault="00C02D6C" w:rsidP="00C02D6C">
      <w:pPr>
        <w:jc w:val="both"/>
        <w:rPr>
          <w:rFonts w:cs="Arial"/>
        </w:rPr>
      </w:pPr>
      <w:bookmarkStart w:id="17" w:name="_Hlk128841356"/>
      <w:r w:rsidRPr="008E2679">
        <w:rPr>
          <w:rFonts w:cs="Arial"/>
        </w:rPr>
        <w:t>Jul</w:t>
      </w:r>
      <w:r w:rsidR="005A607D" w:rsidRPr="008E2679">
        <w:rPr>
          <w:rFonts w:cs="Arial"/>
        </w:rPr>
        <w:t>e</w:t>
      </w:r>
      <w:r w:rsidRPr="008E2679">
        <w:rPr>
          <w:rFonts w:cs="Arial"/>
        </w:rPr>
        <w:t xml:space="preserve"> Bandel</w:t>
      </w:r>
      <w:bookmarkEnd w:id="17"/>
      <w:r w:rsidR="00883934" w:rsidRPr="008E2679">
        <w:rPr>
          <w:rFonts w:cs="Arial"/>
        </w:rPr>
        <w:tab/>
      </w:r>
      <w:r w:rsidR="00883934" w:rsidRPr="008E2679">
        <w:rPr>
          <w:rFonts w:cs="Arial"/>
        </w:rPr>
        <w:tab/>
      </w:r>
      <w:r w:rsidR="00883934" w:rsidRPr="008E2679">
        <w:rPr>
          <w:rFonts w:cs="Arial"/>
        </w:rPr>
        <w:tab/>
      </w:r>
      <w:r w:rsidR="00883934" w:rsidRPr="008E2679">
        <w:rPr>
          <w:rFonts w:cs="Arial"/>
        </w:rPr>
        <w:tab/>
      </w:r>
      <w:r w:rsidR="00883934"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008E2679">
        <w:rPr>
          <w:rFonts w:cs="Arial"/>
        </w:rPr>
        <w:t>4</w:t>
      </w:r>
      <w:r w:rsidRPr="008E2679">
        <w:rPr>
          <w:rFonts w:cs="Arial"/>
        </w:rPr>
        <w:tab/>
      </w:r>
      <w:r w:rsidRPr="008E2679">
        <w:rPr>
          <w:rFonts w:cs="Arial"/>
        </w:rPr>
        <w:tab/>
      </w:r>
      <w:r w:rsidRPr="008E2679">
        <w:rPr>
          <w:rFonts w:cs="Arial"/>
        </w:rPr>
        <w:tab/>
      </w:r>
      <w:r w:rsidR="008E2679">
        <w:rPr>
          <w:rFonts w:cs="Arial"/>
        </w:rPr>
        <w:t>4</w:t>
      </w:r>
      <w:r w:rsidRPr="008E2679">
        <w:rPr>
          <w:rFonts w:cs="Arial"/>
        </w:rPr>
        <w:tab/>
      </w:r>
      <w:r w:rsidRPr="008E2679">
        <w:rPr>
          <w:rFonts w:cs="Arial"/>
        </w:rPr>
        <w:tab/>
      </w:r>
      <w:r w:rsidRPr="008E2679">
        <w:rPr>
          <w:rFonts w:cs="Arial"/>
        </w:rPr>
        <w:tab/>
      </w:r>
      <w:r w:rsidR="008E2679">
        <w:rPr>
          <w:rFonts w:cs="Arial"/>
        </w:rPr>
        <w:t>100</w:t>
      </w:r>
      <w:r w:rsidRPr="008E2679">
        <w:rPr>
          <w:rFonts w:cs="Arial"/>
        </w:rPr>
        <w:t>%</w:t>
      </w:r>
    </w:p>
    <w:p w14:paraId="7D247059" w14:textId="69DB966A" w:rsidR="00C02D6C" w:rsidRPr="008E2679" w:rsidRDefault="00C02D6C" w:rsidP="00C02D6C">
      <w:pPr>
        <w:jc w:val="both"/>
        <w:rPr>
          <w:rFonts w:cs="Arial"/>
        </w:rPr>
      </w:pPr>
      <w:r w:rsidRPr="008E2679">
        <w:rPr>
          <w:rFonts w:cs="Arial"/>
        </w:rPr>
        <w:t>Alan Beal</w:t>
      </w:r>
      <w:r w:rsidR="00883934" w:rsidRPr="008E2679">
        <w:rPr>
          <w:rFonts w:cs="Arial"/>
        </w:rPr>
        <w:tab/>
      </w:r>
      <w:r w:rsidR="00883934" w:rsidRPr="008E2679">
        <w:rPr>
          <w:rFonts w:cs="Arial"/>
        </w:rPr>
        <w:tab/>
      </w:r>
      <w:r w:rsidR="00883934" w:rsidRPr="008E2679">
        <w:rPr>
          <w:rFonts w:cs="Arial"/>
        </w:rPr>
        <w:tab/>
      </w:r>
      <w:r w:rsidR="00883934"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Pr="008E2679">
        <w:rPr>
          <w:rFonts w:cs="Arial"/>
        </w:rPr>
        <w:tab/>
      </w:r>
      <w:r w:rsidR="008E2679">
        <w:rPr>
          <w:rFonts w:cs="Arial"/>
        </w:rPr>
        <w:t>4</w:t>
      </w:r>
      <w:r w:rsidRPr="008E2679">
        <w:rPr>
          <w:rFonts w:cs="Arial"/>
        </w:rPr>
        <w:tab/>
      </w:r>
      <w:r w:rsidRPr="008E2679">
        <w:rPr>
          <w:rFonts w:cs="Arial"/>
        </w:rPr>
        <w:tab/>
      </w:r>
      <w:r w:rsidRPr="008E2679">
        <w:rPr>
          <w:rFonts w:cs="Arial"/>
        </w:rPr>
        <w:tab/>
      </w:r>
      <w:r w:rsidR="008E2679">
        <w:rPr>
          <w:rFonts w:cs="Arial"/>
        </w:rPr>
        <w:t>4</w:t>
      </w:r>
      <w:r w:rsidRPr="008E2679">
        <w:rPr>
          <w:rFonts w:cs="Arial"/>
        </w:rPr>
        <w:tab/>
      </w:r>
      <w:r w:rsidRPr="008E2679">
        <w:rPr>
          <w:rFonts w:cs="Arial"/>
        </w:rPr>
        <w:tab/>
      </w:r>
      <w:r w:rsidRPr="008E2679">
        <w:rPr>
          <w:rFonts w:cs="Arial"/>
        </w:rPr>
        <w:tab/>
      </w:r>
      <w:r w:rsidR="008E2679">
        <w:rPr>
          <w:rFonts w:cs="Arial"/>
        </w:rPr>
        <w:t>100</w:t>
      </w:r>
      <w:r w:rsidRPr="008E2679">
        <w:rPr>
          <w:rFonts w:cs="Arial"/>
        </w:rPr>
        <w:t>%</w:t>
      </w:r>
    </w:p>
    <w:p w14:paraId="79F6F9CB" w14:textId="77777777" w:rsidR="00C02D6C" w:rsidRPr="008E2679" w:rsidRDefault="00C02D6C" w:rsidP="00C02D6C">
      <w:pPr>
        <w:jc w:val="both"/>
        <w:rPr>
          <w:rFonts w:cs="Arial"/>
        </w:rPr>
      </w:pPr>
    </w:p>
    <w:p w14:paraId="12D9DD81" w14:textId="77777777" w:rsidR="00C02D6C" w:rsidRPr="008E2679" w:rsidRDefault="00C02D6C" w:rsidP="00C02D6C">
      <w:pPr>
        <w:jc w:val="both"/>
        <w:rPr>
          <w:rFonts w:cs="Arial"/>
          <w:b/>
        </w:rPr>
      </w:pPr>
      <w:r w:rsidRPr="008E2679">
        <w:rPr>
          <w:rFonts w:cs="Arial"/>
          <w:b/>
        </w:rPr>
        <w:t>Observer</w:t>
      </w:r>
    </w:p>
    <w:p w14:paraId="4B1361F9" w14:textId="0A1EC1D0" w:rsidR="00C02D6C" w:rsidRPr="008E2679" w:rsidRDefault="00C02D6C" w:rsidP="00C02D6C">
      <w:pPr>
        <w:jc w:val="both"/>
        <w:rPr>
          <w:rFonts w:cs="Arial"/>
        </w:rPr>
      </w:pPr>
      <w:bookmarkStart w:id="18" w:name="_Hlk159252014"/>
      <w:r w:rsidRPr="008E2679">
        <w:rPr>
          <w:rFonts w:cs="Arial"/>
        </w:rPr>
        <w:t>Paul Lawrence (City of Edinburgh Council)</w:t>
      </w:r>
      <w:r w:rsidRPr="008E2679">
        <w:rPr>
          <w:rFonts w:cs="Arial"/>
        </w:rPr>
        <w:tab/>
      </w:r>
      <w:r w:rsidRPr="008E2679">
        <w:rPr>
          <w:rFonts w:cs="Arial"/>
        </w:rPr>
        <w:tab/>
      </w:r>
      <w:r w:rsidRPr="008E2679">
        <w:rPr>
          <w:rFonts w:cs="Arial"/>
        </w:rPr>
        <w:tab/>
      </w:r>
      <w:r w:rsidRPr="008E2679">
        <w:rPr>
          <w:rFonts w:cs="Arial"/>
        </w:rPr>
        <w:tab/>
      </w:r>
      <w:r w:rsidR="008E2679">
        <w:rPr>
          <w:rFonts w:cs="Arial"/>
        </w:rPr>
        <w:t>2</w:t>
      </w:r>
      <w:r w:rsidRPr="008E2679">
        <w:rPr>
          <w:rFonts w:cs="Arial"/>
        </w:rPr>
        <w:tab/>
      </w:r>
      <w:r w:rsidRPr="008E2679">
        <w:rPr>
          <w:rFonts w:cs="Arial"/>
        </w:rPr>
        <w:tab/>
      </w:r>
      <w:r w:rsidRPr="008E2679">
        <w:rPr>
          <w:rFonts w:cs="Arial"/>
        </w:rPr>
        <w:tab/>
      </w:r>
      <w:r w:rsidR="008E2679">
        <w:rPr>
          <w:rFonts w:cs="Arial"/>
        </w:rPr>
        <w:t>1</w:t>
      </w:r>
      <w:r w:rsidRPr="008E2679">
        <w:rPr>
          <w:rFonts w:cs="Arial"/>
        </w:rPr>
        <w:tab/>
      </w:r>
      <w:r w:rsidRPr="008E2679">
        <w:rPr>
          <w:rFonts w:cs="Arial"/>
        </w:rPr>
        <w:tab/>
      </w:r>
      <w:r w:rsidRPr="008E2679">
        <w:rPr>
          <w:rFonts w:cs="Arial"/>
        </w:rPr>
        <w:tab/>
      </w:r>
      <w:r w:rsidR="008E2679">
        <w:rPr>
          <w:rFonts w:cs="Arial"/>
        </w:rPr>
        <w:t xml:space="preserve">  50</w:t>
      </w:r>
      <w:r w:rsidRPr="008E2679">
        <w:rPr>
          <w:rFonts w:cs="Arial"/>
        </w:rPr>
        <w:t>%</w:t>
      </w:r>
    </w:p>
    <w:bookmarkEnd w:id="18"/>
    <w:p w14:paraId="41A26B91" w14:textId="674DFB73" w:rsidR="005A607D" w:rsidRPr="008E2679" w:rsidRDefault="008E2679" w:rsidP="005A607D">
      <w:pPr>
        <w:jc w:val="both"/>
        <w:rPr>
          <w:rFonts w:cs="Arial"/>
        </w:rPr>
      </w:pPr>
      <w:r>
        <w:rPr>
          <w:rFonts w:cs="Arial"/>
        </w:rPr>
        <w:t>Hannah Ross</w:t>
      </w:r>
      <w:r w:rsidR="005A607D" w:rsidRPr="008E2679">
        <w:rPr>
          <w:rFonts w:cs="Arial"/>
        </w:rPr>
        <w:t>* (City of Edinburgh Council)</w:t>
      </w:r>
      <w:r w:rsidR="005A607D" w:rsidRPr="008E2679">
        <w:rPr>
          <w:rFonts w:cs="Arial"/>
        </w:rPr>
        <w:tab/>
      </w:r>
      <w:r w:rsidR="005A607D" w:rsidRPr="008E2679">
        <w:rPr>
          <w:rFonts w:cs="Arial"/>
        </w:rPr>
        <w:tab/>
      </w:r>
      <w:r>
        <w:rPr>
          <w:rFonts w:cs="Arial"/>
        </w:rPr>
        <w:t xml:space="preserve">    </w:t>
      </w:r>
      <w:r>
        <w:rPr>
          <w:rFonts w:cs="Arial"/>
        </w:rPr>
        <w:tab/>
      </w:r>
      <w:r w:rsidR="005A607D" w:rsidRPr="008E2679">
        <w:rPr>
          <w:rFonts w:cs="Arial"/>
        </w:rPr>
        <w:tab/>
      </w:r>
      <w:r>
        <w:rPr>
          <w:rFonts w:cs="Arial"/>
        </w:rPr>
        <w:t>-</w:t>
      </w:r>
      <w:r w:rsidR="005A607D" w:rsidRPr="008E2679">
        <w:rPr>
          <w:rFonts w:cs="Arial"/>
        </w:rPr>
        <w:tab/>
      </w:r>
      <w:r w:rsidR="005A607D" w:rsidRPr="008E2679">
        <w:rPr>
          <w:rFonts w:cs="Arial"/>
        </w:rPr>
        <w:tab/>
      </w:r>
      <w:r w:rsidR="005A607D" w:rsidRPr="008E2679">
        <w:rPr>
          <w:rFonts w:cs="Arial"/>
        </w:rPr>
        <w:tab/>
      </w:r>
      <w:r>
        <w:rPr>
          <w:rFonts w:cs="Arial"/>
        </w:rPr>
        <w:t>1</w:t>
      </w:r>
      <w:r w:rsidR="005A607D" w:rsidRPr="008E2679">
        <w:rPr>
          <w:rFonts w:cs="Arial"/>
        </w:rPr>
        <w:tab/>
      </w:r>
      <w:r w:rsidR="005A607D" w:rsidRPr="008E2679">
        <w:rPr>
          <w:rFonts w:cs="Arial"/>
        </w:rPr>
        <w:tab/>
      </w:r>
      <w:r w:rsidR="005A607D" w:rsidRPr="008E2679">
        <w:rPr>
          <w:rFonts w:cs="Arial"/>
        </w:rPr>
        <w:tab/>
      </w:r>
      <w:r>
        <w:rPr>
          <w:rFonts w:cs="Arial"/>
        </w:rPr>
        <w:t>100</w:t>
      </w:r>
      <w:r w:rsidR="005A607D" w:rsidRPr="008E2679">
        <w:rPr>
          <w:rFonts w:cs="Arial"/>
        </w:rPr>
        <w:t>%</w:t>
      </w:r>
    </w:p>
    <w:p w14:paraId="0F0578EA" w14:textId="77777777" w:rsidR="00C02D6C" w:rsidRPr="008E2679" w:rsidRDefault="00C02D6C" w:rsidP="00C02D6C">
      <w:pPr>
        <w:jc w:val="both"/>
        <w:rPr>
          <w:rFonts w:cs="Arial"/>
        </w:rPr>
      </w:pPr>
    </w:p>
    <w:p w14:paraId="5FFC5750" w14:textId="77777777" w:rsidR="005A607D" w:rsidRPr="008E2679" w:rsidRDefault="00B33EB9" w:rsidP="00B33EB9">
      <w:pPr>
        <w:jc w:val="both"/>
        <w:rPr>
          <w:rFonts w:cs="Arial"/>
          <w:sz w:val="16"/>
          <w:szCs w:val="16"/>
        </w:rPr>
      </w:pPr>
      <w:r w:rsidRPr="008E2679">
        <w:rPr>
          <w:rFonts w:cs="Arial"/>
          <w:sz w:val="16"/>
          <w:szCs w:val="16"/>
        </w:rPr>
        <w:t>* Attended in Paul Lawrence’s place</w:t>
      </w:r>
    </w:p>
    <w:p w14:paraId="6EAE7BA4" w14:textId="77777777" w:rsidR="00C02D6C" w:rsidRPr="00C328EF" w:rsidRDefault="00C02D6C" w:rsidP="00C02D6C">
      <w:pPr>
        <w:jc w:val="both"/>
        <w:rPr>
          <w:rFonts w:cs="Arial"/>
          <w:highlight w:val="yellow"/>
        </w:rPr>
      </w:pPr>
    </w:p>
    <w:p w14:paraId="36CA2BC7" w14:textId="77777777" w:rsidR="00846386" w:rsidRPr="00774A96" w:rsidRDefault="00846386" w:rsidP="00846386">
      <w:pPr>
        <w:jc w:val="both"/>
        <w:rPr>
          <w:rFonts w:cs="Arial"/>
          <w:b/>
        </w:rPr>
      </w:pPr>
      <w:r w:rsidRPr="00774A96">
        <w:rPr>
          <w:rFonts w:cs="Arial"/>
          <w:b/>
        </w:rPr>
        <w:t xml:space="preserve">Activities of the Board </w:t>
      </w:r>
      <w:r w:rsidR="005F0E69">
        <w:rPr>
          <w:rFonts w:cs="Arial"/>
          <w:b/>
        </w:rPr>
        <w:t>in</w:t>
      </w:r>
      <w:r w:rsidR="009D0162" w:rsidRPr="00774A96">
        <w:rPr>
          <w:rFonts w:cs="Arial"/>
          <w:b/>
        </w:rPr>
        <w:t xml:space="preserve"> </w:t>
      </w:r>
      <w:r w:rsidRPr="00774A96">
        <w:rPr>
          <w:rFonts w:cs="Arial"/>
          <w:b/>
        </w:rPr>
        <w:t>202</w:t>
      </w:r>
      <w:r w:rsidR="0062645D" w:rsidRPr="00774A96">
        <w:rPr>
          <w:rFonts w:cs="Arial"/>
          <w:b/>
        </w:rPr>
        <w:t>4</w:t>
      </w:r>
    </w:p>
    <w:p w14:paraId="04FE4C09" w14:textId="77777777" w:rsidR="00846386" w:rsidRPr="00774A96" w:rsidRDefault="00846386" w:rsidP="00846386">
      <w:pPr>
        <w:jc w:val="both"/>
        <w:rPr>
          <w:rFonts w:cs="Arial"/>
        </w:rPr>
      </w:pPr>
    </w:p>
    <w:p w14:paraId="2AB7A779" w14:textId="0FDF8106" w:rsidR="00846386" w:rsidRPr="00774A96" w:rsidRDefault="00E87E7F" w:rsidP="00846386">
      <w:pPr>
        <w:jc w:val="both"/>
        <w:rPr>
          <w:rFonts w:cs="Arial"/>
        </w:rPr>
      </w:pPr>
      <w:r>
        <w:rPr>
          <w:rFonts w:cs="Arial"/>
        </w:rPr>
        <w:t>Until May 2024 whe</w:t>
      </w:r>
      <w:r w:rsidR="00E61DC9">
        <w:rPr>
          <w:rFonts w:cs="Arial"/>
        </w:rPr>
        <w:t>n</w:t>
      </w:r>
      <w:r>
        <w:rPr>
          <w:rFonts w:cs="Arial"/>
        </w:rPr>
        <w:t xml:space="preserve"> </w:t>
      </w:r>
      <w:r w:rsidR="00E61DC9">
        <w:rPr>
          <w:rFonts w:cs="Arial"/>
        </w:rPr>
        <w:t>e</w:t>
      </w:r>
      <w:r>
        <w:rPr>
          <w:rFonts w:cs="Arial"/>
        </w:rPr>
        <w:t>xec</w:t>
      </w:r>
      <w:r w:rsidR="00847ED8">
        <w:rPr>
          <w:rFonts w:cs="Arial"/>
        </w:rPr>
        <w:t>utive functionality was transferred to the Boards of Lothian Buses</w:t>
      </w:r>
      <w:r w:rsidR="00E61DC9">
        <w:rPr>
          <w:rFonts w:cs="Arial"/>
        </w:rPr>
        <w:t xml:space="preserve"> and Edinburgh Trams, t</w:t>
      </w:r>
      <w:r w:rsidR="00846386" w:rsidRPr="00774A96">
        <w:rPr>
          <w:rFonts w:cs="Arial"/>
        </w:rPr>
        <w:t xml:space="preserve">he </w:t>
      </w:r>
      <w:r w:rsidR="00E61DC9">
        <w:rPr>
          <w:rFonts w:cs="Arial"/>
        </w:rPr>
        <w:t xml:space="preserve">TfE </w:t>
      </w:r>
      <w:r w:rsidR="00846386" w:rsidRPr="00774A96">
        <w:rPr>
          <w:rFonts w:cs="Arial"/>
        </w:rPr>
        <w:t>Board operate</w:t>
      </w:r>
      <w:r w:rsidR="00A37F52">
        <w:rPr>
          <w:rFonts w:cs="Arial"/>
        </w:rPr>
        <w:t>d</w:t>
      </w:r>
      <w:r w:rsidR="00846386" w:rsidRPr="00774A96">
        <w:rPr>
          <w:rFonts w:cs="Arial"/>
        </w:rPr>
        <w:t xml:space="preserve"> a forward agenda of standing items appropriate to the Group's operating and reporting cycles. Items requiring Board approval or endorsement </w:t>
      </w:r>
      <w:r w:rsidR="00E61DC9">
        <w:rPr>
          <w:rFonts w:cs="Arial"/>
        </w:rPr>
        <w:t>were</w:t>
      </w:r>
      <w:r w:rsidR="00846386" w:rsidRPr="00774A96">
        <w:rPr>
          <w:rFonts w:cs="Arial"/>
        </w:rPr>
        <w:t xml:space="preserve"> highlighted clearly</w:t>
      </w:r>
      <w:r w:rsidR="009C3611">
        <w:rPr>
          <w:rFonts w:cs="Arial"/>
        </w:rPr>
        <w:t>, with other items</w:t>
      </w:r>
      <w:r w:rsidR="004362C9">
        <w:rPr>
          <w:rFonts w:cs="Arial"/>
        </w:rPr>
        <w:t xml:space="preserve"> focused on</w:t>
      </w:r>
      <w:r w:rsidR="00846386" w:rsidRPr="00774A96">
        <w:rPr>
          <w:rFonts w:cs="Arial"/>
        </w:rPr>
        <w:t xml:space="preserve"> monitoring or reviewing progress against strategic priorities, risk management or the effectiveness of internal controls.</w:t>
      </w:r>
    </w:p>
    <w:p w14:paraId="62A09B41" w14:textId="77777777" w:rsidR="00C02D6C" w:rsidRPr="00774A96" w:rsidRDefault="00C02D6C" w:rsidP="00C02D6C">
      <w:pPr>
        <w:jc w:val="both"/>
        <w:rPr>
          <w:rFonts w:cs="Arial"/>
        </w:rPr>
      </w:pPr>
    </w:p>
    <w:p w14:paraId="467105B3" w14:textId="77777777" w:rsidR="00846386" w:rsidRPr="00313F17" w:rsidRDefault="00846386" w:rsidP="00846386">
      <w:pPr>
        <w:jc w:val="both"/>
        <w:rPr>
          <w:rFonts w:cs="Arial"/>
        </w:rPr>
      </w:pPr>
      <w:r w:rsidRPr="00313F17">
        <w:rPr>
          <w:rFonts w:cs="Arial"/>
          <w:b/>
        </w:rPr>
        <w:t>During 202</w:t>
      </w:r>
      <w:r w:rsidR="0062645D" w:rsidRPr="00313F17">
        <w:rPr>
          <w:rFonts w:cs="Arial"/>
          <w:b/>
        </w:rPr>
        <w:t>4</w:t>
      </w:r>
      <w:r w:rsidRPr="00313F17">
        <w:rPr>
          <w:rFonts w:cs="Arial"/>
          <w:b/>
        </w:rPr>
        <w:t xml:space="preserve"> the Board:</w:t>
      </w:r>
    </w:p>
    <w:p w14:paraId="78F46BE1" w14:textId="77777777" w:rsidR="00846386" w:rsidRPr="00FC284E" w:rsidRDefault="00846386" w:rsidP="00846386">
      <w:pPr>
        <w:jc w:val="both"/>
        <w:rPr>
          <w:rFonts w:cs="Arial"/>
          <w:highlight w:val="yellow"/>
        </w:rPr>
      </w:pPr>
    </w:p>
    <w:p w14:paraId="53DB9E5C" w14:textId="3FEDBD70" w:rsidR="00846386" w:rsidRPr="00CA2FCE" w:rsidRDefault="00846386" w:rsidP="00CA2FCE">
      <w:pPr>
        <w:pStyle w:val="ListParagraph"/>
        <w:numPr>
          <w:ilvl w:val="0"/>
          <w:numId w:val="59"/>
        </w:numPr>
        <w:jc w:val="both"/>
        <w:rPr>
          <w:rFonts w:cs="Arial"/>
        </w:rPr>
      </w:pPr>
      <w:r w:rsidRPr="00CA2FCE">
        <w:rPr>
          <w:rFonts w:cs="Arial"/>
        </w:rPr>
        <w:t>Approved the 202</w:t>
      </w:r>
      <w:r w:rsidR="0062645D" w:rsidRPr="00CA2FCE">
        <w:rPr>
          <w:rFonts w:cs="Arial"/>
        </w:rPr>
        <w:t>3</w:t>
      </w:r>
      <w:r w:rsidRPr="00CA2FCE">
        <w:rPr>
          <w:rFonts w:cs="Arial"/>
        </w:rPr>
        <w:t xml:space="preserve"> Annual Accounts and Reports.</w:t>
      </w:r>
    </w:p>
    <w:p w14:paraId="5F164E29" w14:textId="1110E0D8" w:rsidR="00846386" w:rsidRPr="00CA2FCE" w:rsidRDefault="00846386" w:rsidP="00CA2FCE">
      <w:pPr>
        <w:pStyle w:val="ListParagraph"/>
        <w:numPr>
          <w:ilvl w:val="0"/>
          <w:numId w:val="59"/>
        </w:numPr>
        <w:jc w:val="both"/>
        <w:rPr>
          <w:rFonts w:cs="Arial"/>
        </w:rPr>
      </w:pPr>
      <w:r w:rsidRPr="00CA2FCE">
        <w:rPr>
          <w:rFonts w:cs="Arial"/>
        </w:rPr>
        <w:t xml:space="preserve">Progressed the Group’s </w:t>
      </w:r>
      <w:r w:rsidR="00F121AD" w:rsidRPr="00CA2FCE">
        <w:rPr>
          <w:rFonts w:cs="Arial"/>
        </w:rPr>
        <w:t>business</w:t>
      </w:r>
      <w:r w:rsidRPr="00CA2FCE">
        <w:rPr>
          <w:rFonts w:cs="Arial"/>
        </w:rPr>
        <w:t xml:space="preserve"> plan.</w:t>
      </w:r>
    </w:p>
    <w:p w14:paraId="75C16A63" w14:textId="23E6BF17" w:rsidR="00846386" w:rsidRPr="00CA2FCE" w:rsidRDefault="00846386" w:rsidP="00CA2FCE">
      <w:pPr>
        <w:pStyle w:val="ListParagraph"/>
        <w:numPr>
          <w:ilvl w:val="0"/>
          <w:numId w:val="59"/>
        </w:numPr>
        <w:jc w:val="both"/>
        <w:rPr>
          <w:rFonts w:cs="Arial"/>
        </w:rPr>
      </w:pPr>
      <w:r w:rsidRPr="00CA2FCE">
        <w:rPr>
          <w:rFonts w:cs="Arial"/>
        </w:rPr>
        <w:t>Received detailed reports on the Group’s operating and financial performance.</w:t>
      </w:r>
    </w:p>
    <w:p w14:paraId="181B3C99" w14:textId="24612A32" w:rsidR="00846386" w:rsidRPr="00CA2FCE" w:rsidRDefault="00846386" w:rsidP="00CA2FCE">
      <w:pPr>
        <w:pStyle w:val="ListParagraph"/>
        <w:numPr>
          <w:ilvl w:val="0"/>
          <w:numId w:val="59"/>
        </w:numPr>
        <w:jc w:val="both"/>
        <w:rPr>
          <w:rFonts w:cs="Arial"/>
        </w:rPr>
      </w:pPr>
      <w:r w:rsidRPr="00CA2FCE">
        <w:rPr>
          <w:rFonts w:cs="Arial"/>
        </w:rPr>
        <w:t>Gave due consideration to the Group’s health and safety performance.</w:t>
      </w:r>
    </w:p>
    <w:p w14:paraId="5D9F6FE3" w14:textId="77777777" w:rsidR="003C6F31" w:rsidRDefault="00846386" w:rsidP="00CA2FCE">
      <w:pPr>
        <w:pStyle w:val="ListParagraph"/>
        <w:numPr>
          <w:ilvl w:val="0"/>
          <w:numId w:val="60"/>
        </w:numPr>
        <w:jc w:val="both"/>
        <w:rPr>
          <w:rFonts w:cs="Arial"/>
        </w:rPr>
      </w:pPr>
      <w:r w:rsidRPr="007D5066">
        <w:rPr>
          <w:rFonts w:cs="Arial"/>
        </w:rPr>
        <w:t>Received updates on progress against strategic programmes</w:t>
      </w:r>
      <w:r w:rsidR="007D5066">
        <w:rPr>
          <w:rFonts w:cs="Arial"/>
        </w:rPr>
        <w:t>.</w:t>
      </w:r>
      <w:r w:rsidRPr="007D5066">
        <w:rPr>
          <w:rFonts w:cs="Arial"/>
        </w:rPr>
        <w:t xml:space="preserve"> </w:t>
      </w:r>
    </w:p>
    <w:p w14:paraId="2B0A9E96" w14:textId="0065D4C0" w:rsidR="00846386" w:rsidRPr="00CA2FCE" w:rsidRDefault="00846386" w:rsidP="00CA2FCE">
      <w:pPr>
        <w:pStyle w:val="ListParagraph"/>
        <w:numPr>
          <w:ilvl w:val="0"/>
          <w:numId w:val="60"/>
        </w:numPr>
        <w:jc w:val="both"/>
        <w:rPr>
          <w:rFonts w:cs="Arial"/>
        </w:rPr>
      </w:pPr>
      <w:r w:rsidRPr="00CA2FCE">
        <w:rPr>
          <w:rFonts w:cs="Arial"/>
        </w:rPr>
        <w:t>Regularly reviewed key risks, together with the adequacy of mitigation controls.</w:t>
      </w:r>
    </w:p>
    <w:p w14:paraId="396040AE" w14:textId="60C8F429" w:rsidR="00846386" w:rsidRPr="00CA2FCE" w:rsidRDefault="00846386" w:rsidP="00CA2FCE">
      <w:pPr>
        <w:pStyle w:val="ListParagraph"/>
        <w:numPr>
          <w:ilvl w:val="0"/>
          <w:numId w:val="60"/>
        </w:numPr>
        <w:jc w:val="both"/>
        <w:rPr>
          <w:rFonts w:cs="Arial"/>
        </w:rPr>
      </w:pPr>
      <w:r w:rsidRPr="00CA2FCE">
        <w:rPr>
          <w:rFonts w:cs="Arial"/>
        </w:rPr>
        <w:t>Received regular updates and reports from the Chairs of the Audit and Risk and Remuneration and Committees on activities and recommendations of the Committees.</w:t>
      </w:r>
    </w:p>
    <w:p w14:paraId="3C9E30B9" w14:textId="77777777" w:rsidR="00C02D6C" w:rsidRPr="00CA2FCE" w:rsidRDefault="00C02D6C" w:rsidP="00C02D6C">
      <w:pPr>
        <w:jc w:val="center"/>
        <w:rPr>
          <w:b/>
        </w:rPr>
      </w:pPr>
      <w:r w:rsidRPr="00CA2FCE">
        <w:rPr>
          <w:rFonts w:cs="Arial"/>
        </w:rPr>
        <w:br w:type="page"/>
      </w:r>
      <w:r w:rsidRPr="00CA2FCE">
        <w:rPr>
          <w:b/>
        </w:rPr>
        <w:lastRenderedPageBreak/>
        <w:t>TRANSPORT FOR EDINBURGH LIMITED</w:t>
      </w:r>
    </w:p>
    <w:p w14:paraId="1BBFF70F" w14:textId="77777777" w:rsidR="00C02D6C" w:rsidRPr="00CA2FCE" w:rsidRDefault="00C02D6C" w:rsidP="00C02D6C">
      <w:pPr>
        <w:rPr>
          <w:b/>
        </w:rPr>
      </w:pPr>
    </w:p>
    <w:p w14:paraId="2E75C9BA" w14:textId="77777777" w:rsidR="00C02D6C" w:rsidRPr="00CA2FCE" w:rsidRDefault="00C02D6C" w:rsidP="00C02D6C">
      <w:pPr>
        <w:jc w:val="center"/>
        <w:rPr>
          <w:rFonts w:cs="Arial"/>
        </w:rPr>
      </w:pPr>
      <w:r w:rsidRPr="00CA2FCE">
        <w:rPr>
          <w:b/>
        </w:rPr>
        <w:t>Corporate Governance Report (continued)</w:t>
      </w:r>
    </w:p>
    <w:p w14:paraId="77C89EC9" w14:textId="77777777" w:rsidR="00C02D6C" w:rsidRPr="00CA2FCE" w:rsidRDefault="00C02D6C" w:rsidP="00C02D6C">
      <w:pPr>
        <w:jc w:val="center"/>
        <w:rPr>
          <w:b/>
        </w:rPr>
      </w:pPr>
    </w:p>
    <w:p w14:paraId="66808A64" w14:textId="77777777" w:rsidR="00C02D6C" w:rsidRPr="00CA2FCE" w:rsidRDefault="00D90B89" w:rsidP="00C02D6C">
      <w:pPr>
        <w:jc w:val="center"/>
        <w:rPr>
          <w:b/>
        </w:rPr>
      </w:pPr>
      <w:r w:rsidRPr="00CA2FCE">
        <w:rPr>
          <w:b/>
        </w:rPr>
        <w:t>For the period ended 28 December 2024</w:t>
      </w:r>
    </w:p>
    <w:p w14:paraId="6C4A0474" w14:textId="77777777" w:rsidR="00C02D6C" w:rsidRPr="00CA2FCE" w:rsidRDefault="00C02D6C" w:rsidP="00C02D6C">
      <w:pPr>
        <w:jc w:val="center"/>
        <w:rPr>
          <w:b/>
        </w:rPr>
      </w:pPr>
    </w:p>
    <w:p w14:paraId="6E99C615" w14:textId="77777777" w:rsidR="00846386" w:rsidRPr="00CA2FCE" w:rsidRDefault="00846386" w:rsidP="00846386">
      <w:pPr>
        <w:jc w:val="both"/>
        <w:rPr>
          <w:rFonts w:cs="Arial"/>
          <w:b/>
        </w:rPr>
      </w:pPr>
      <w:r w:rsidRPr="00CA2FCE">
        <w:rPr>
          <w:rFonts w:cs="Arial"/>
          <w:b/>
        </w:rPr>
        <w:t>During 202</w:t>
      </w:r>
      <w:r w:rsidR="0062645D" w:rsidRPr="00CA2FCE">
        <w:rPr>
          <w:rFonts w:cs="Arial"/>
          <w:b/>
        </w:rPr>
        <w:t>4</w:t>
      </w:r>
      <w:r w:rsidRPr="00CA2FCE">
        <w:rPr>
          <w:rFonts w:cs="Arial"/>
          <w:b/>
        </w:rPr>
        <w:t xml:space="preserve"> the Board (continued):</w:t>
      </w:r>
    </w:p>
    <w:p w14:paraId="1C50FBDB" w14:textId="77777777" w:rsidR="00846386" w:rsidRPr="00CA2FCE" w:rsidRDefault="00846386" w:rsidP="00846386">
      <w:pPr>
        <w:jc w:val="both"/>
        <w:rPr>
          <w:rFonts w:cs="Arial"/>
          <w:b/>
        </w:rPr>
      </w:pPr>
    </w:p>
    <w:p w14:paraId="0A0AE2F9" w14:textId="37761AFC" w:rsidR="00846386" w:rsidRPr="00CA2FCE" w:rsidRDefault="00846386" w:rsidP="00CA2FCE">
      <w:pPr>
        <w:pStyle w:val="ListParagraph"/>
        <w:numPr>
          <w:ilvl w:val="0"/>
          <w:numId w:val="60"/>
        </w:numPr>
        <w:jc w:val="both"/>
        <w:rPr>
          <w:rFonts w:cs="Arial"/>
        </w:rPr>
      </w:pPr>
      <w:r w:rsidRPr="00CA2FCE">
        <w:rPr>
          <w:rFonts w:cs="Arial"/>
        </w:rPr>
        <w:t>Reviewed the remuneration of the Chief Executive to ensure alignment with policy and shareholder returns.</w:t>
      </w:r>
    </w:p>
    <w:p w14:paraId="47FA199A" w14:textId="5D378A1F" w:rsidR="00846386" w:rsidRPr="00CA2FCE" w:rsidRDefault="00846386" w:rsidP="00CA2FCE">
      <w:pPr>
        <w:pStyle w:val="ListParagraph"/>
        <w:numPr>
          <w:ilvl w:val="0"/>
          <w:numId w:val="60"/>
        </w:numPr>
        <w:jc w:val="both"/>
        <w:rPr>
          <w:rFonts w:cs="Arial"/>
        </w:rPr>
      </w:pPr>
      <w:r w:rsidRPr="00CA2FCE">
        <w:rPr>
          <w:rFonts w:cs="Arial"/>
        </w:rPr>
        <w:t>Received updates on ALEO reform proposals and the activities of the related working groups.</w:t>
      </w:r>
    </w:p>
    <w:p w14:paraId="0D38F342" w14:textId="2B2FBFCC" w:rsidR="00882726" w:rsidRPr="00CA2FCE" w:rsidRDefault="00882726" w:rsidP="002C3879">
      <w:pPr>
        <w:pStyle w:val="ListParagraph"/>
        <w:numPr>
          <w:ilvl w:val="0"/>
          <w:numId w:val="60"/>
        </w:numPr>
        <w:jc w:val="both"/>
        <w:rPr>
          <w:rFonts w:cs="Arial"/>
        </w:rPr>
      </w:pPr>
      <w:r w:rsidRPr="00CA2FCE">
        <w:rPr>
          <w:rFonts w:cs="Arial"/>
        </w:rPr>
        <w:t xml:space="preserve">Considered and enacted arrangements for TfE to transfer Executive functionality to Lothian Buses and Edinburgh Trams and </w:t>
      </w:r>
      <w:r w:rsidR="00CA2FCE" w:rsidRPr="00CA2FCE">
        <w:rPr>
          <w:rFonts w:cs="Arial"/>
        </w:rPr>
        <w:t>align its revised responsibility as a shareholding entity in accordance with the objectives of ALEO reform</w:t>
      </w:r>
      <w:r w:rsidR="007D5066">
        <w:rPr>
          <w:rFonts w:cs="Arial"/>
        </w:rPr>
        <w:t>.</w:t>
      </w:r>
    </w:p>
    <w:p w14:paraId="1236701D" w14:textId="4CC9EEB2" w:rsidR="00882726" w:rsidRDefault="00882726" w:rsidP="002C3879">
      <w:pPr>
        <w:jc w:val="both"/>
        <w:rPr>
          <w:rFonts w:cs="Arial"/>
        </w:rPr>
      </w:pPr>
    </w:p>
    <w:p w14:paraId="60B50182" w14:textId="77777777" w:rsidR="00C02D6C" w:rsidRPr="00774A96" w:rsidRDefault="00C02D6C" w:rsidP="00846386">
      <w:pPr>
        <w:ind w:left="567"/>
        <w:rPr>
          <w:rFonts w:cs="Arial"/>
        </w:rPr>
      </w:pPr>
    </w:p>
    <w:p w14:paraId="1B07CCE4" w14:textId="77777777" w:rsidR="00846386" w:rsidRPr="00774A96" w:rsidRDefault="00846386" w:rsidP="00846386">
      <w:pPr>
        <w:jc w:val="both"/>
        <w:rPr>
          <w:rFonts w:cs="Arial"/>
          <w:b/>
        </w:rPr>
      </w:pPr>
      <w:r w:rsidRPr="00774A96">
        <w:rPr>
          <w:rFonts w:cs="Arial"/>
          <w:b/>
        </w:rPr>
        <w:t>Audit &amp; Risk Committee</w:t>
      </w:r>
    </w:p>
    <w:p w14:paraId="154C198D" w14:textId="77777777" w:rsidR="00846386" w:rsidRPr="00774A96" w:rsidRDefault="00846386" w:rsidP="00846386">
      <w:pPr>
        <w:jc w:val="both"/>
        <w:rPr>
          <w:rFonts w:cs="Arial"/>
        </w:rPr>
      </w:pPr>
    </w:p>
    <w:p w14:paraId="237CFE15" w14:textId="77777777" w:rsidR="00846386" w:rsidRPr="00774A96" w:rsidRDefault="00846386" w:rsidP="00846386">
      <w:pPr>
        <w:jc w:val="both"/>
        <w:rPr>
          <w:rFonts w:cs="Arial"/>
        </w:rPr>
      </w:pPr>
      <w:r w:rsidRPr="00774A96">
        <w:rPr>
          <w:rFonts w:cs="Arial"/>
        </w:rPr>
        <w:t>The Committee’s primary concerns are the integrity of the Group’s financial statements, the effectiveness of internal controls, the adequacy of internal audit reviews, the performance and independence of the external auditor and the Group’s compliance with legal and regulatory requirements.</w:t>
      </w:r>
    </w:p>
    <w:p w14:paraId="0D2C2687" w14:textId="77777777" w:rsidR="00846386" w:rsidRPr="00774A96" w:rsidRDefault="00846386" w:rsidP="00846386">
      <w:pPr>
        <w:jc w:val="both"/>
        <w:rPr>
          <w:rFonts w:cs="Arial"/>
        </w:rPr>
      </w:pPr>
    </w:p>
    <w:p w14:paraId="71CEB3AD" w14:textId="66D5A9EC" w:rsidR="00846386" w:rsidRPr="00774A96" w:rsidRDefault="00846386" w:rsidP="00846386">
      <w:pPr>
        <w:jc w:val="both"/>
        <w:rPr>
          <w:rFonts w:cs="Arial"/>
        </w:rPr>
      </w:pPr>
      <w:r w:rsidRPr="00774A96">
        <w:rPr>
          <w:rFonts w:cs="Arial"/>
        </w:rPr>
        <w:t>The Committee ha</w:t>
      </w:r>
      <w:r w:rsidR="007D5066">
        <w:rPr>
          <w:rFonts w:cs="Arial"/>
        </w:rPr>
        <w:t>d</w:t>
      </w:r>
      <w:r w:rsidRPr="00774A96">
        <w:rPr>
          <w:rFonts w:cs="Arial"/>
        </w:rPr>
        <w:t xml:space="preserve"> clearly defined terms of reference, which </w:t>
      </w:r>
      <w:r w:rsidR="00A37F52">
        <w:rPr>
          <w:rFonts w:cs="Arial"/>
        </w:rPr>
        <w:t>o</w:t>
      </w:r>
      <w:r w:rsidRPr="00774A96">
        <w:rPr>
          <w:rFonts w:cs="Arial"/>
        </w:rPr>
        <w:t>utline the Committee’s objectives and responsibilities relating to financial reporting, internal controls, risk management and the application of appropriate accounting standards and procedures. Specific responsibilities includ</w:t>
      </w:r>
      <w:r w:rsidR="00774A96">
        <w:rPr>
          <w:rFonts w:cs="Arial"/>
        </w:rPr>
        <w:t>e</w:t>
      </w:r>
      <w:r w:rsidR="007D5066">
        <w:rPr>
          <w:rFonts w:cs="Arial"/>
        </w:rPr>
        <w:t>d</w:t>
      </w:r>
      <w:r w:rsidRPr="00774A96">
        <w:rPr>
          <w:rFonts w:cs="Arial"/>
        </w:rPr>
        <w:t xml:space="preserve"> reviewing and recommending for approval the annual financial statements, reviewing</w:t>
      </w:r>
      <w:r w:rsidR="00774A96">
        <w:rPr>
          <w:rFonts w:cs="Arial"/>
        </w:rPr>
        <w:t xml:space="preserve"> </w:t>
      </w:r>
      <w:r w:rsidRPr="00774A96">
        <w:rPr>
          <w:rFonts w:cs="Arial"/>
        </w:rPr>
        <w:t>the Group’s</w:t>
      </w:r>
      <w:r w:rsidR="00774A96">
        <w:rPr>
          <w:rFonts w:cs="Arial"/>
        </w:rPr>
        <w:t xml:space="preserve"> </w:t>
      </w:r>
      <w:r w:rsidRPr="00774A96">
        <w:rPr>
          <w:rFonts w:cs="Arial"/>
        </w:rPr>
        <w:t xml:space="preserve">accounting policies, reviewing the effectiveness of </w:t>
      </w:r>
      <w:r w:rsidR="00774A96">
        <w:rPr>
          <w:rFonts w:cs="Arial"/>
        </w:rPr>
        <w:t xml:space="preserve">internal </w:t>
      </w:r>
      <w:r w:rsidRPr="00774A96">
        <w:rPr>
          <w:rFonts w:cs="Arial"/>
        </w:rPr>
        <w:t>controls, internal audit and risk management processes and reviewing the scope and results of the external audit.</w:t>
      </w:r>
    </w:p>
    <w:p w14:paraId="21CFDB40" w14:textId="77777777" w:rsidR="00846386" w:rsidRPr="00774A96" w:rsidRDefault="00846386" w:rsidP="00846386">
      <w:pPr>
        <w:jc w:val="both"/>
        <w:rPr>
          <w:rFonts w:cs="Arial"/>
        </w:rPr>
      </w:pPr>
    </w:p>
    <w:p w14:paraId="3E1AF334" w14:textId="03122F68" w:rsidR="00846386" w:rsidRPr="00CA2FCE" w:rsidRDefault="00CA2FCE" w:rsidP="00846386">
      <w:pPr>
        <w:jc w:val="both"/>
        <w:rPr>
          <w:rFonts w:cs="Arial"/>
        </w:rPr>
      </w:pPr>
      <w:r>
        <w:rPr>
          <w:rFonts w:cs="Arial"/>
        </w:rPr>
        <w:t>Alan Beal</w:t>
      </w:r>
      <w:r w:rsidR="00846386" w:rsidRPr="00CA2FCE">
        <w:rPr>
          <w:rFonts w:cs="Arial"/>
        </w:rPr>
        <w:t xml:space="preserve"> </w:t>
      </w:r>
      <w:r w:rsidR="00124B86" w:rsidRPr="00CA2FCE">
        <w:rPr>
          <w:rFonts w:cs="Arial"/>
        </w:rPr>
        <w:t>wa</w:t>
      </w:r>
      <w:r w:rsidR="00846386" w:rsidRPr="00CA2FCE">
        <w:rPr>
          <w:rFonts w:cs="Arial"/>
        </w:rPr>
        <w:t>s the Committee Chair</w:t>
      </w:r>
      <w:r w:rsidR="00124B86" w:rsidRPr="00CA2FCE">
        <w:rPr>
          <w:rFonts w:cs="Arial"/>
        </w:rPr>
        <w:t xml:space="preserve"> during 202</w:t>
      </w:r>
      <w:r w:rsidR="0062645D" w:rsidRPr="00CA2FCE">
        <w:rPr>
          <w:rFonts w:cs="Arial"/>
        </w:rPr>
        <w:t>4</w:t>
      </w:r>
      <w:r w:rsidR="00846386" w:rsidRPr="00CA2FCE">
        <w:rPr>
          <w:rFonts w:cs="Arial"/>
        </w:rPr>
        <w:t>. The Committee comprise</w:t>
      </w:r>
      <w:r w:rsidR="00774A96" w:rsidRPr="00CA2FCE">
        <w:rPr>
          <w:rFonts w:cs="Arial"/>
        </w:rPr>
        <w:t>d</w:t>
      </w:r>
      <w:r w:rsidR="00846386" w:rsidRPr="00CA2FCE">
        <w:rPr>
          <w:rFonts w:cs="Arial"/>
        </w:rPr>
        <w:t xml:space="preserve"> two other independent Non-Executive Directors being Jule Bandel and </w:t>
      </w:r>
      <w:r w:rsidR="002E7816">
        <w:rPr>
          <w:rFonts w:cs="Arial"/>
        </w:rPr>
        <w:t>Ge</w:t>
      </w:r>
      <w:r w:rsidR="007D5066">
        <w:rPr>
          <w:rFonts w:cs="Arial"/>
        </w:rPr>
        <w:t>org</w:t>
      </w:r>
      <w:r w:rsidR="002E7816">
        <w:rPr>
          <w:rFonts w:cs="Arial"/>
        </w:rPr>
        <w:t>e Hazel</w:t>
      </w:r>
      <w:r w:rsidR="00846386" w:rsidRPr="00CA2FCE">
        <w:rPr>
          <w:rFonts w:cs="Arial"/>
        </w:rPr>
        <w:t xml:space="preserve">. </w:t>
      </w:r>
      <w:r w:rsidR="00A06BC2" w:rsidRPr="00CA2FCE">
        <w:rPr>
          <w:rFonts w:cs="Arial"/>
        </w:rPr>
        <w:t>George Lowder also attend</w:t>
      </w:r>
      <w:r w:rsidR="0062645D" w:rsidRPr="00CA2FCE">
        <w:rPr>
          <w:rFonts w:cs="Arial"/>
        </w:rPr>
        <w:t>ed</w:t>
      </w:r>
      <w:r w:rsidR="00A06BC2" w:rsidRPr="00CA2FCE">
        <w:rPr>
          <w:rFonts w:cs="Arial"/>
        </w:rPr>
        <w:t xml:space="preserve">. </w:t>
      </w:r>
      <w:r w:rsidR="00846386" w:rsidRPr="00CA2FCE">
        <w:rPr>
          <w:rFonts w:cs="Arial"/>
        </w:rPr>
        <w:t xml:space="preserve">The Board </w:t>
      </w:r>
      <w:r w:rsidR="002E7816">
        <w:rPr>
          <w:rFonts w:cs="Arial"/>
        </w:rPr>
        <w:t>was</w:t>
      </w:r>
      <w:r w:rsidR="00846386" w:rsidRPr="00CA2FCE">
        <w:rPr>
          <w:rFonts w:cs="Arial"/>
        </w:rPr>
        <w:t xml:space="preserve"> satisfied that the recent and relevant financial and risk experience of the Committee Chair and the Committee’s Members followed the principles of good governance in relation to their skills, knowledge and experience. There were </w:t>
      </w:r>
      <w:r w:rsidR="005F0E69" w:rsidRPr="00CA2FCE">
        <w:rPr>
          <w:rFonts w:cs="Arial"/>
        </w:rPr>
        <w:t>two</w:t>
      </w:r>
      <w:r w:rsidR="00846386" w:rsidRPr="00CA2FCE">
        <w:rPr>
          <w:rFonts w:cs="Arial"/>
        </w:rPr>
        <w:t xml:space="preserve"> meetings during 202</w:t>
      </w:r>
      <w:r w:rsidR="0062645D" w:rsidRPr="00CA2FCE">
        <w:rPr>
          <w:rFonts w:cs="Arial"/>
        </w:rPr>
        <w:t>4</w:t>
      </w:r>
      <w:r w:rsidR="00A37F52" w:rsidRPr="00CA2FCE">
        <w:rPr>
          <w:rFonts w:cs="Arial"/>
        </w:rPr>
        <w:t>.</w:t>
      </w:r>
    </w:p>
    <w:p w14:paraId="2AF0DA46" w14:textId="77777777" w:rsidR="00846386" w:rsidRPr="00CA2FCE" w:rsidRDefault="00846386" w:rsidP="00846386">
      <w:pPr>
        <w:jc w:val="both"/>
        <w:rPr>
          <w:rFonts w:cs="Arial"/>
        </w:rPr>
      </w:pPr>
    </w:p>
    <w:p w14:paraId="74F274BC" w14:textId="77777777" w:rsidR="00846386" w:rsidRPr="00CA2FCE" w:rsidRDefault="00846386" w:rsidP="00846386">
      <w:pPr>
        <w:jc w:val="both"/>
        <w:rPr>
          <w:rFonts w:cs="Arial"/>
          <w:b/>
        </w:rPr>
      </w:pPr>
      <w:r w:rsidRPr="00CA2FCE">
        <w:rPr>
          <w:rFonts w:cs="Arial"/>
          <w:b/>
        </w:rPr>
        <w:t>External Auditors</w:t>
      </w:r>
    </w:p>
    <w:p w14:paraId="1475512D" w14:textId="77777777" w:rsidR="00846386" w:rsidRPr="00CA2FCE" w:rsidRDefault="00846386" w:rsidP="00846386">
      <w:pPr>
        <w:jc w:val="both"/>
        <w:rPr>
          <w:rFonts w:cs="Arial"/>
        </w:rPr>
      </w:pPr>
    </w:p>
    <w:p w14:paraId="73B7EF01" w14:textId="7C19F221" w:rsidR="00846386" w:rsidRPr="004310B2" w:rsidRDefault="00846386" w:rsidP="00846386">
      <w:pPr>
        <w:jc w:val="both"/>
        <w:rPr>
          <w:rFonts w:cs="Arial"/>
        </w:rPr>
      </w:pPr>
      <w:r w:rsidRPr="00CA2FCE">
        <w:rPr>
          <w:rFonts w:cs="Arial"/>
        </w:rPr>
        <w:t>The Board assesses the effectiveness of the</w:t>
      </w:r>
      <w:r w:rsidR="002221EA">
        <w:rPr>
          <w:rFonts w:cs="Arial"/>
        </w:rPr>
        <w:t xml:space="preserve"> external auditors’</w:t>
      </w:r>
      <w:r w:rsidRPr="00CA2FCE">
        <w:rPr>
          <w:rFonts w:cs="Arial"/>
        </w:rPr>
        <w:t xml:space="preserve"> performance every year after completion of the annual audit and each year the Board evaluate their performance in relation to that audit. The evaluation takes the form of speaking to the staff involved in the audit process, including members of the financial, commercial, IT and payroll functions and also members of the Executive Teams. The calibre of the external auditors, their governance, independence and professionalism continue to receive good feedback.</w:t>
      </w:r>
      <w:r w:rsidR="004310B2" w:rsidRPr="00CA2FCE">
        <w:rPr>
          <w:rFonts w:cs="Arial"/>
        </w:rPr>
        <w:t xml:space="preserve"> Bo</w:t>
      </w:r>
      <w:r w:rsidRPr="00CA2FCE">
        <w:rPr>
          <w:rFonts w:cs="Arial"/>
        </w:rPr>
        <w:t>th management and external auditors are committed to a positive working relationship that enhances the effective and efficient execution of the audit process. As a private company, the Group is not subject to external restrictions in terms of non-audit work provided by the external auditors, but for good governance has chosen to implement its own policy in relation to the level of their remuneration and the extent of their non-audit services.</w:t>
      </w:r>
    </w:p>
    <w:p w14:paraId="7258FA63" w14:textId="77777777" w:rsidR="00846386" w:rsidRPr="004310B2" w:rsidRDefault="00846386" w:rsidP="00846386">
      <w:pPr>
        <w:jc w:val="both"/>
        <w:rPr>
          <w:rFonts w:cs="Arial"/>
        </w:rPr>
      </w:pPr>
    </w:p>
    <w:p w14:paraId="5A8AA013" w14:textId="507BAC62" w:rsidR="00846386" w:rsidRPr="004310B2" w:rsidRDefault="00846386" w:rsidP="00846386">
      <w:pPr>
        <w:jc w:val="both"/>
        <w:rPr>
          <w:rFonts w:cs="Arial"/>
        </w:rPr>
      </w:pPr>
      <w:r w:rsidRPr="004310B2">
        <w:rPr>
          <w:rFonts w:cs="Arial"/>
        </w:rPr>
        <w:t xml:space="preserve">At its meeting in </w:t>
      </w:r>
      <w:r w:rsidR="00635B82">
        <w:rPr>
          <w:rFonts w:cs="Arial"/>
        </w:rPr>
        <w:t>April</w:t>
      </w:r>
      <w:r w:rsidRPr="004310B2">
        <w:rPr>
          <w:rFonts w:cs="Arial"/>
        </w:rPr>
        <w:t xml:space="preserve"> 202</w:t>
      </w:r>
      <w:r w:rsidR="00C074F6" w:rsidRPr="004310B2">
        <w:rPr>
          <w:rFonts w:cs="Arial"/>
        </w:rPr>
        <w:t>4</w:t>
      </w:r>
      <w:r w:rsidRPr="004310B2">
        <w:rPr>
          <w:rFonts w:cs="Arial"/>
        </w:rPr>
        <w:t xml:space="preserve"> the Audit &amp; Risk Committee was satisfied that the Group’s external auditors’ engagement policy had been complied with and concluded that the external auditors remained objective and independent and that the audit process was effective and robust.</w:t>
      </w:r>
    </w:p>
    <w:p w14:paraId="132BD957" w14:textId="77777777" w:rsidR="00846386" w:rsidRPr="004310B2" w:rsidRDefault="00846386" w:rsidP="00846386">
      <w:pPr>
        <w:jc w:val="both"/>
        <w:rPr>
          <w:rFonts w:cs="Arial"/>
        </w:rPr>
      </w:pPr>
    </w:p>
    <w:p w14:paraId="143D8951" w14:textId="77777777" w:rsidR="00476D7C" w:rsidRPr="00820267" w:rsidRDefault="00476D7C" w:rsidP="00476D7C">
      <w:pPr>
        <w:jc w:val="center"/>
        <w:rPr>
          <w:b/>
        </w:rPr>
      </w:pPr>
      <w:r w:rsidRPr="004310B2">
        <w:rPr>
          <w:b/>
        </w:rPr>
        <w:br w:type="page"/>
      </w:r>
      <w:r w:rsidRPr="00820267">
        <w:rPr>
          <w:b/>
        </w:rPr>
        <w:lastRenderedPageBreak/>
        <w:t>TRANSPORT FOR EDINBURGH LIMITED</w:t>
      </w:r>
    </w:p>
    <w:p w14:paraId="17C9B06F" w14:textId="77777777" w:rsidR="00476D7C" w:rsidRPr="00820267" w:rsidRDefault="00476D7C" w:rsidP="00476D7C">
      <w:pPr>
        <w:rPr>
          <w:b/>
        </w:rPr>
      </w:pPr>
    </w:p>
    <w:p w14:paraId="2F825B28" w14:textId="77777777" w:rsidR="00476D7C" w:rsidRPr="00820267" w:rsidRDefault="00476D7C" w:rsidP="00476D7C">
      <w:pPr>
        <w:jc w:val="center"/>
        <w:rPr>
          <w:rFonts w:cs="Arial"/>
        </w:rPr>
      </w:pPr>
      <w:r w:rsidRPr="00820267">
        <w:rPr>
          <w:b/>
        </w:rPr>
        <w:t>Corporate Governance Report (continued)</w:t>
      </w:r>
    </w:p>
    <w:p w14:paraId="36EFD64A" w14:textId="77777777" w:rsidR="00476D7C" w:rsidRPr="00820267" w:rsidRDefault="00476D7C" w:rsidP="00476D7C">
      <w:pPr>
        <w:jc w:val="center"/>
        <w:rPr>
          <w:b/>
        </w:rPr>
      </w:pPr>
    </w:p>
    <w:p w14:paraId="29FC96AC" w14:textId="77777777" w:rsidR="00476D7C" w:rsidRPr="00820267" w:rsidRDefault="00D90B89" w:rsidP="00476D7C">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5A2D0A64" w14:textId="77777777" w:rsidR="00476D7C" w:rsidRPr="00820267" w:rsidRDefault="00476D7C" w:rsidP="00476D7C">
      <w:pPr>
        <w:jc w:val="center"/>
        <w:rPr>
          <w:b/>
        </w:rPr>
      </w:pPr>
    </w:p>
    <w:p w14:paraId="0CF48A3A" w14:textId="77777777" w:rsidR="00846386" w:rsidRPr="002E7816" w:rsidRDefault="00846386" w:rsidP="00846386">
      <w:pPr>
        <w:jc w:val="both"/>
        <w:rPr>
          <w:rFonts w:cs="Arial"/>
          <w:b/>
        </w:rPr>
      </w:pPr>
      <w:r w:rsidRPr="002E7816">
        <w:rPr>
          <w:rFonts w:cs="Arial"/>
          <w:b/>
        </w:rPr>
        <w:t>Remuneration Committee</w:t>
      </w:r>
    </w:p>
    <w:p w14:paraId="1C679C21" w14:textId="77777777" w:rsidR="00846386" w:rsidRPr="002E7816" w:rsidRDefault="00846386" w:rsidP="00846386">
      <w:pPr>
        <w:jc w:val="both"/>
        <w:rPr>
          <w:rFonts w:cs="Arial"/>
        </w:rPr>
      </w:pPr>
    </w:p>
    <w:p w14:paraId="4DDD5549" w14:textId="77777777" w:rsidR="00846386" w:rsidRPr="002E7816" w:rsidRDefault="00846386" w:rsidP="00846386">
      <w:pPr>
        <w:jc w:val="both"/>
        <w:rPr>
          <w:rFonts w:cs="Arial"/>
        </w:rPr>
      </w:pPr>
      <w:r w:rsidRPr="002E7816">
        <w:rPr>
          <w:rFonts w:cs="Arial"/>
        </w:rPr>
        <w:t>The Committee's primary objective is to set remuneration at a level that will enhance the Group's resources by attracting, retaining and motivating quality senior management who can deliver the Group's strategic ambitions within a framework that is aligned with shareholder interests.</w:t>
      </w:r>
    </w:p>
    <w:p w14:paraId="3F1DAD4F" w14:textId="77777777" w:rsidR="00846386" w:rsidRPr="002E7816" w:rsidRDefault="00846386" w:rsidP="00846386">
      <w:pPr>
        <w:jc w:val="both"/>
        <w:rPr>
          <w:rFonts w:cs="Arial"/>
        </w:rPr>
      </w:pPr>
    </w:p>
    <w:p w14:paraId="708E76BB" w14:textId="77777777" w:rsidR="00846386" w:rsidRPr="002E7816" w:rsidRDefault="00846386" w:rsidP="00846386">
      <w:pPr>
        <w:jc w:val="both"/>
        <w:rPr>
          <w:rFonts w:cs="Arial"/>
        </w:rPr>
      </w:pPr>
      <w:r w:rsidRPr="002E7816">
        <w:rPr>
          <w:rFonts w:cs="Arial"/>
        </w:rPr>
        <w:t>The Committee firmly believes that the best people on the right remuneration, with an emphasis on performance, strengthens the Group's ability to face challenges emanating from economic and market change, and to deliver long-term sustainable value for all stakeholders.</w:t>
      </w:r>
    </w:p>
    <w:p w14:paraId="246DC544" w14:textId="77777777" w:rsidR="00846386" w:rsidRPr="002E7816" w:rsidRDefault="00846386" w:rsidP="00846386">
      <w:pPr>
        <w:jc w:val="both"/>
        <w:rPr>
          <w:rFonts w:cs="Arial"/>
        </w:rPr>
      </w:pPr>
    </w:p>
    <w:p w14:paraId="223599BF" w14:textId="77777777" w:rsidR="00846386" w:rsidRPr="002E7816" w:rsidRDefault="00846386" w:rsidP="00846386">
      <w:pPr>
        <w:jc w:val="both"/>
        <w:rPr>
          <w:rFonts w:cs="Arial"/>
        </w:rPr>
      </w:pPr>
      <w:r w:rsidRPr="002E7816">
        <w:rPr>
          <w:rFonts w:cs="Arial"/>
        </w:rPr>
        <w:t>The Committee comprise</w:t>
      </w:r>
      <w:r w:rsidR="00A37F52" w:rsidRPr="002E7816">
        <w:rPr>
          <w:rFonts w:cs="Arial"/>
        </w:rPr>
        <w:t>d</w:t>
      </w:r>
      <w:r w:rsidRPr="002E7816">
        <w:rPr>
          <w:rFonts w:cs="Arial"/>
        </w:rPr>
        <w:t xml:space="preserve"> three Independent Non­Executive Directors. In 202</w:t>
      </w:r>
      <w:r w:rsidR="00DA288D" w:rsidRPr="002E7816">
        <w:rPr>
          <w:rFonts w:cs="Arial"/>
        </w:rPr>
        <w:t>4</w:t>
      </w:r>
      <w:r w:rsidRPr="002E7816">
        <w:rPr>
          <w:rFonts w:cs="Arial"/>
        </w:rPr>
        <w:t xml:space="preserve"> the Committee was chaired by Andrew Neal and the two other members were Lesley Macinnes and Scott Arthur. </w:t>
      </w:r>
      <w:r w:rsidR="00A06BC2" w:rsidRPr="002E7816">
        <w:rPr>
          <w:rFonts w:cs="Arial"/>
        </w:rPr>
        <w:t>George Lowder also attend</w:t>
      </w:r>
      <w:r w:rsidR="00DA288D" w:rsidRPr="002E7816">
        <w:rPr>
          <w:rFonts w:cs="Arial"/>
        </w:rPr>
        <w:t>ed</w:t>
      </w:r>
      <w:r w:rsidR="00A06BC2" w:rsidRPr="002E7816">
        <w:rPr>
          <w:rFonts w:cs="Arial"/>
        </w:rPr>
        <w:t xml:space="preserve">. </w:t>
      </w:r>
      <w:r w:rsidRPr="002E7816">
        <w:rPr>
          <w:rFonts w:cs="Arial"/>
        </w:rPr>
        <w:t>There was one meeting during 202</w:t>
      </w:r>
      <w:r w:rsidR="00DA288D" w:rsidRPr="002E7816">
        <w:rPr>
          <w:rFonts w:cs="Arial"/>
        </w:rPr>
        <w:t>4</w:t>
      </w:r>
      <w:r w:rsidRPr="002E7816">
        <w:rPr>
          <w:rFonts w:cs="Arial"/>
        </w:rPr>
        <w:t>.</w:t>
      </w:r>
    </w:p>
    <w:p w14:paraId="7D57F845" w14:textId="77777777" w:rsidR="00846386" w:rsidRPr="00153D27" w:rsidRDefault="00846386" w:rsidP="00846386">
      <w:pPr>
        <w:jc w:val="both"/>
        <w:rPr>
          <w:rFonts w:cs="Arial"/>
          <w:highlight w:val="yellow"/>
        </w:rPr>
      </w:pPr>
    </w:p>
    <w:p w14:paraId="32DC5EA3" w14:textId="77777777" w:rsidR="00846386" w:rsidRPr="004310B2" w:rsidRDefault="00846386" w:rsidP="00846386">
      <w:pPr>
        <w:jc w:val="both"/>
        <w:rPr>
          <w:rFonts w:cs="Arial"/>
          <w:b/>
        </w:rPr>
      </w:pPr>
      <w:r w:rsidRPr="004310B2">
        <w:rPr>
          <w:rFonts w:cs="Arial"/>
          <w:b/>
        </w:rPr>
        <w:t>Nominations Committee</w:t>
      </w:r>
    </w:p>
    <w:p w14:paraId="4B275886" w14:textId="77777777" w:rsidR="00846386" w:rsidRPr="004310B2" w:rsidRDefault="00846386" w:rsidP="00846386">
      <w:pPr>
        <w:jc w:val="both"/>
        <w:rPr>
          <w:rFonts w:cs="Arial"/>
        </w:rPr>
      </w:pPr>
    </w:p>
    <w:p w14:paraId="3F7BE732" w14:textId="77777777" w:rsidR="00846386" w:rsidRPr="004310B2" w:rsidRDefault="00846386" w:rsidP="00846386">
      <w:pPr>
        <w:jc w:val="both"/>
        <w:rPr>
          <w:rFonts w:cs="Arial"/>
        </w:rPr>
      </w:pPr>
      <w:r w:rsidRPr="004310B2">
        <w:rPr>
          <w:rFonts w:cs="Arial"/>
        </w:rPr>
        <w:t xml:space="preserve">The Lothian Buses Board operates a Nominations Committee to ensure that the Board remains balanced and effective, that succession plans are in place, and that its structure, composition and skills remain aligned to the Group's strategic objectives. The Committee's primary objective, when necessary, is to identify and evaluate candidates for future appointments and, in doing so, it takes advice from independent external recruitment consultants. The Committee has no formal schedule of meetings and meets as required. </w:t>
      </w:r>
      <w:r w:rsidRPr="000707B6">
        <w:rPr>
          <w:rFonts w:cs="Arial"/>
        </w:rPr>
        <w:t>There w</w:t>
      </w:r>
      <w:r w:rsidR="009D0162" w:rsidRPr="000707B6">
        <w:rPr>
          <w:rFonts w:cs="Arial"/>
        </w:rPr>
        <w:t>ere</w:t>
      </w:r>
      <w:r w:rsidRPr="000707B6">
        <w:rPr>
          <w:rFonts w:cs="Arial"/>
        </w:rPr>
        <w:t xml:space="preserve"> </w:t>
      </w:r>
      <w:r w:rsidR="009D0162" w:rsidRPr="000707B6">
        <w:rPr>
          <w:rFonts w:cs="Arial"/>
        </w:rPr>
        <w:t>seven</w:t>
      </w:r>
      <w:r w:rsidRPr="000707B6">
        <w:rPr>
          <w:rFonts w:cs="Arial"/>
        </w:rPr>
        <w:t xml:space="preserve"> meeting</w:t>
      </w:r>
      <w:r w:rsidR="009D0162" w:rsidRPr="000707B6">
        <w:rPr>
          <w:rFonts w:cs="Arial"/>
        </w:rPr>
        <w:t>s</w:t>
      </w:r>
      <w:r w:rsidRPr="000707B6">
        <w:rPr>
          <w:rFonts w:cs="Arial"/>
        </w:rPr>
        <w:t xml:space="preserve"> held in 202</w:t>
      </w:r>
      <w:r w:rsidR="002C2927" w:rsidRPr="000707B6">
        <w:rPr>
          <w:rFonts w:cs="Arial"/>
        </w:rPr>
        <w:t>4</w:t>
      </w:r>
      <w:r w:rsidR="005F0E69" w:rsidRPr="000707B6">
        <w:rPr>
          <w:rFonts w:cs="Arial"/>
        </w:rPr>
        <w:t>, p</w:t>
      </w:r>
      <w:r w:rsidR="009D0162" w:rsidRPr="000707B6">
        <w:rPr>
          <w:rFonts w:cs="Arial"/>
        </w:rPr>
        <w:t>rimarily focused on Non-Executive recruitment.</w:t>
      </w:r>
    </w:p>
    <w:p w14:paraId="0F612CD4" w14:textId="77777777" w:rsidR="00846386" w:rsidRPr="004310B2" w:rsidRDefault="00846386" w:rsidP="00846386">
      <w:pPr>
        <w:jc w:val="both"/>
        <w:rPr>
          <w:rFonts w:cs="Arial"/>
        </w:rPr>
      </w:pPr>
    </w:p>
    <w:p w14:paraId="1E017551" w14:textId="77777777" w:rsidR="00846386" w:rsidRPr="004310B2" w:rsidRDefault="00846386" w:rsidP="00846386">
      <w:pPr>
        <w:jc w:val="both"/>
        <w:rPr>
          <w:rFonts w:cs="Arial"/>
          <w:b/>
        </w:rPr>
      </w:pPr>
      <w:r w:rsidRPr="004310B2">
        <w:rPr>
          <w:rFonts w:cs="Arial"/>
          <w:b/>
        </w:rPr>
        <w:t>Executive Teams</w:t>
      </w:r>
    </w:p>
    <w:p w14:paraId="38FE7606" w14:textId="77777777" w:rsidR="00846386" w:rsidRPr="004310B2" w:rsidRDefault="00846386" w:rsidP="00846386">
      <w:pPr>
        <w:jc w:val="both"/>
        <w:rPr>
          <w:rFonts w:cs="Arial"/>
        </w:rPr>
      </w:pPr>
    </w:p>
    <w:p w14:paraId="1502969B" w14:textId="2B699453" w:rsidR="00846386" w:rsidRPr="004310B2" w:rsidRDefault="00846386" w:rsidP="00846386">
      <w:pPr>
        <w:jc w:val="both"/>
        <w:rPr>
          <w:rFonts w:cs="Arial"/>
        </w:rPr>
      </w:pPr>
      <w:r w:rsidRPr="004310B2">
        <w:rPr>
          <w:rFonts w:cs="Arial"/>
        </w:rPr>
        <w:t xml:space="preserve">The Executive Teams are responsible for the day-to-day management of the Group's business affairs under leadership of the </w:t>
      </w:r>
      <w:r w:rsidR="009D0162">
        <w:rPr>
          <w:rFonts w:cs="Arial"/>
        </w:rPr>
        <w:t>Managing Directors</w:t>
      </w:r>
      <w:r w:rsidRPr="004310B2">
        <w:rPr>
          <w:rFonts w:cs="Arial"/>
        </w:rPr>
        <w:t xml:space="preserve"> of each Company in the Group. The Teams</w:t>
      </w:r>
      <w:r w:rsidR="00966A06">
        <w:rPr>
          <w:rFonts w:cs="Arial"/>
        </w:rPr>
        <w:t>’</w:t>
      </w:r>
      <w:r w:rsidRPr="004310B2">
        <w:rPr>
          <w:rFonts w:cs="Arial"/>
        </w:rPr>
        <w:t xml:space="preserve"> duties include formulating strategy proposals for Board approval and ensuring that the agreed strategy is implemented in a timely and effective manner. The Executive Teams consist of individuals responsible for the key business units and functions. The Teams include the Directors and Heads of Department.</w:t>
      </w:r>
    </w:p>
    <w:p w14:paraId="1F58644B" w14:textId="77777777" w:rsidR="00846386" w:rsidRPr="004310B2" w:rsidRDefault="00846386" w:rsidP="00846386">
      <w:pPr>
        <w:jc w:val="both"/>
        <w:rPr>
          <w:rFonts w:cs="Arial"/>
          <w:b/>
        </w:rPr>
      </w:pPr>
    </w:p>
    <w:p w14:paraId="1D0C5CA0" w14:textId="77777777" w:rsidR="00846386" w:rsidRPr="004310B2" w:rsidRDefault="00846386" w:rsidP="00846386">
      <w:pPr>
        <w:jc w:val="both"/>
        <w:rPr>
          <w:rFonts w:cs="Arial"/>
          <w:b/>
        </w:rPr>
      </w:pPr>
      <w:r w:rsidRPr="004310B2">
        <w:rPr>
          <w:rFonts w:cs="Arial"/>
          <w:b/>
        </w:rPr>
        <w:t>Risk Register</w:t>
      </w:r>
    </w:p>
    <w:p w14:paraId="7E4A359F" w14:textId="77777777" w:rsidR="00846386" w:rsidRPr="004310B2" w:rsidRDefault="00846386" w:rsidP="00846386">
      <w:pPr>
        <w:jc w:val="both"/>
        <w:rPr>
          <w:rFonts w:cs="Arial"/>
          <w:b/>
        </w:rPr>
      </w:pPr>
    </w:p>
    <w:p w14:paraId="7FF80A3F" w14:textId="77777777" w:rsidR="00846386" w:rsidRPr="004310B2" w:rsidRDefault="00846386" w:rsidP="00846386">
      <w:pPr>
        <w:jc w:val="both"/>
        <w:rPr>
          <w:rFonts w:cs="Arial"/>
        </w:rPr>
      </w:pPr>
      <w:r w:rsidRPr="004310B2">
        <w:rPr>
          <w:rFonts w:cs="Arial"/>
        </w:rPr>
        <w:t>The Group operates a Risk Register to ensure that inherent and emerging risks are identified and managed in a timely manner and at an appropriate level. The Audit &amp; Risk Committee</w:t>
      </w:r>
      <w:r w:rsidR="004310B2">
        <w:rPr>
          <w:rFonts w:cs="Arial"/>
        </w:rPr>
        <w:t>s</w:t>
      </w:r>
      <w:r w:rsidRPr="004310B2">
        <w:rPr>
          <w:rFonts w:cs="Arial"/>
        </w:rPr>
        <w:t xml:space="preserve"> and the Board</w:t>
      </w:r>
      <w:r w:rsidR="004310B2">
        <w:rPr>
          <w:rFonts w:cs="Arial"/>
        </w:rPr>
        <w:t>s</w:t>
      </w:r>
      <w:r w:rsidRPr="004310B2">
        <w:rPr>
          <w:rFonts w:cs="Arial"/>
        </w:rPr>
        <w:t xml:space="preserve"> review the Risk Register which is updated by the Executive Teams for each meeting. The Committee</w:t>
      </w:r>
      <w:r w:rsidR="004310B2">
        <w:rPr>
          <w:rFonts w:cs="Arial"/>
        </w:rPr>
        <w:t>s</w:t>
      </w:r>
      <w:r w:rsidRPr="004310B2">
        <w:rPr>
          <w:rFonts w:cs="Arial"/>
        </w:rPr>
        <w:t xml:space="preserve"> and Board</w:t>
      </w:r>
      <w:r w:rsidR="004310B2">
        <w:rPr>
          <w:rFonts w:cs="Arial"/>
        </w:rPr>
        <w:t>s</w:t>
      </w:r>
      <w:r w:rsidRPr="004310B2">
        <w:rPr>
          <w:rFonts w:cs="Arial"/>
        </w:rPr>
        <w:t xml:space="preserve"> respond to specific areas of risk and approve and promote standards and best practice processes where control weaknesses are considered to exist. The Risk Register allows the Group's approach to risk management and mitigation to be focused on the key risks affecting the main financial and operational performance issues.</w:t>
      </w:r>
    </w:p>
    <w:p w14:paraId="550B3784" w14:textId="77777777" w:rsidR="00476D7C" w:rsidRPr="00820267" w:rsidRDefault="00476D7C" w:rsidP="00C02D6C">
      <w:pPr>
        <w:jc w:val="center"/>
        <w:rPr>
          <w:b/>
        </w:rPr>
      </w:pPr>
      <w:r w:rsidRPr="004310B2">
        <w:rPr>
          <w:rFonts w:cs="Arial"/>
        </w:rPr>
        <w:br w:type="page"/>
      </w:r>
      <w:bookmarkStart w:id="19" w:name="_Hlk33101568"/>
      <w:r w:rsidRPr="00820267">
        <w:rPr>
          <w:b/>
        </w:rPr>
        <w:lastRenderedPageBreak/>
        <w:t>TRANSPORT FOR EDINBURGH LIMITED</w:t>
      </w:r>
    </w:p>
    <w:p w14:paraId="2A5DAF4D" w14:textId="77777777" w:rsidR="00476D7C" w:rsidRPr="00820267" w:rsidRDefault="00476D7C" w:rsidP="00476D7C">
      <w:pPr>
        <w:rPr>
          <w:b/>
        </w:rPr>
      </w:pPr>
    </w:p>
    <w:p w14:paraId="671AE979" w14:textId="77777777" w:rsidR="00476D7C" w:rsidRPr="00820267" w:rsidRDefault="00D90B89" w:rsidP="00476D7C">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0E7BB242" w14:textId="77777777" w:rsidR="00476D7C" w:rsidRPr="00820267" w:rsidRDefault="00476D7C" w:rsidP="00476D7C">
      <w:pPr>
        <w:jc w:val="center"/>
        <w:rPr>
          <w:b/>
        </w:rPr>
      </w:pPr>
    </w:p>
    <w:p w14:paraId="3A7245A6" w14:textId="77777777" w:rsidR="00476D7C" w:rsidRPr="00820267" w:rsidRDefault="00476D7C" w:rsidP="00476D7C">
      <w:pPr>
        <w:jc w:val="center"/>
        <w:rPr>
          <w:b/>
        </w:rPr>
      </w:pPr>
      <w:r w:rsidRPr="00820267">
        <w:rPr>
          <w:b/>
        </w:rPr>
        <w:t>Directors’ Report</w:t>
      </w:r>
    </w:p>
    <w:p w14:paraId="4CE6C992" w14:textId="77777777" w:rsidR="00271408" w:rsidRPr="00C328EF" w:rsidRDefault="00271408" w:rsidP="00476D7C">
      <w:pPr>
        <w:jc w:val="center"/>
        <w:rPr>
          <w:b/>
          <w:highlight w:val="yellow"/>
        </w:rPr>
      </w:pPr>
    </w:p>
    <w:bookmarkEnd w:id="19"/>
    <w:p w14:paraId="4CCFBED4" w14:textId="77777777" w:rsidR="00846386" w:rsidRPr="004310B2" w:rsidRDefault="00846386" w:rsidP="00846386">
      <w:pPr>
        <w:jc w:val="both"/>
        <w:outlineLvl w:val="0"/>
        <w:rPr>
          <w:rFonts w:cs="Arial"/>
        </w:rPr>
      </w:pPr>
      <w:r w:rsidRPr="004310B2">
        <w:rPr>
          <w:rFonts w:cs="Arial"/>
          <w:b/>
        </w:rPr>
        <w:t>Directors</w:t>
      </w:r>
    </w:p>
    <w:p w14:paraId="58D8AE38" w14:textId="77777777" w:rsidR="00846386" w:rsidRPr="004310B2" w:rsidRDefault="00846386" w:rsidP="00846386">
      <w:pPr>
        <w:jc w:val="both"/>
        <w:rPr>
          <w:rFonts w:cs="Arial"/>
        </w:rPr>
      </w:pPr>
    </w:p>
    <w:p w14:paraId="0BA08711" w14:textId="77777777" w:rsidR="00846386" w:rsidRPr="004310B2" w:rsidRDefault="00846386" w:rsidP="00846386">
      <w:pPr>
        <w:jc w:val="both"/>
        <w:rPr>
          <w:rFonts w:cs="Arial"/>
        </w:rPr>
      </w:pPr>
      <w:r w:rsidRPr="004310B2">
        <w:rPr>
          <w:rFonts w:cs="Arial"/>
        </w:rPr>
        <w:t>The Directors are as set out on page 2.</w:t>
      </w:r>
    </w:p>
    <w:p w14:paraId="286A6028" w14:textId="77777777" w:rsidR="00846386" w:rsidRPr="004310B2" w:rsidRDefault="00846386" w:rsidP="00846386">
      <w:pPr>
        <w:jc w:val="both"/>
        <w:rPr>
          <w:rFonts w:cs="Arial"/>
        </w:rPr>
      </w:pPr>
    </w:p>
    <w:p w14:paraId="13F7B53A" w14:textId="77777777" w:rsidR="00846386" w:rsidRPr="004310B2" w:rsidRDefault="00846386" w:rsidP="00846386">
      <w:pPr>
        <w:jc w:val="both"/>
        <w:outlineLvl w:val="0"/>
        <w:rPr>
          <w:rFonts w:cs="Arial"/>
        </w:rPr>
      </w:pPr>
      <w:r w:rsidRPr="004310B2">
        <w:rPr>
          <w:rFonts w:cs="Arial"/>
        </w:rPr>
        <w:t xml:space="preserve">None of the Directors had any interest in the issued share capital during the </w:t>
      </w:r>
      <w:r w:rsidR="002C2927" w:rsidRPr="004310B2">
        <w:rPr>
          <w:rFonts w:cs="Arial"/>
        </w:rPr>
        <w:t>period</w:t>
      </w:r>
      <w:r w:rsidRPr="004310B2">
        <w:rPr>
          <w:rFonts w:cs="Arial"/>
        </w:rPr>
        <w:t>.</w:t>
      </w:r>
    </w:p>
    <w:p w14:paraId="20F02B9E" w14:textId="77777777" w:rsidR="00846386" w:rsidRPr="00344DE2" w:rsidRDefault="00846386" w:rsidP="00846386">
      <w:pPr>
        <w:jc w:val="both"/>
        <w:rPr>
          <w:rFonts w:cs="Arial"/>
          <w:b/>
          <w:highlight w:val="yellow"/>
        </w:rPr>
      </w:pPr>
    </w:p>
    <w:p w14:paraId="38C6130E" w14:textId="77777777" w:rsidR="00846386" w:rsidRPr="004310B2" w:rsidRDefault="00846386" w:rsidP="00846386">
      <w:pPr>
        <w:jc w:val="both"/>
        <w:rPr>
          <w:rFonts w:cs="Arial"/>
          <w:b/>
        </w:rPr>
      </w:pPr>
      <w:r w:rsidRPr="004310B2">
        <w:rPr>
          <w:rFonts w:cs="Arial"/>
          <w:b/>
        </w:rPr>
        <w:t>Conflicts of Interest</w:t>
      </w:r>
    </w:p>
    <w:p w14:paraId="21D5E4F1" w14:textId="77777777" w:rsidR="00846386" w:rsidRPr="004310B2" w:rsidRDefault="00846386" w:rsidP="00846386">
      <w:pPr>
        <w:jc w:val="both"/>
        <w:rPr>
          <w:rFonts w:cs="Arial"/>
        </w:rPr>
      </w:pPr>
    </w:p>
    <w:p w14:paraId="25BCB7C3" w14:textId="77777777" w:rsidR="00846386" w:rsidRPr="004310B2" w:rsidRDefault="00846386" w:rsidP="00846386">
      <w:pPr>
        <w:jc w:val="both"/>
        <w:rPr>
          <w:rFonts w:cs="Arial"/>
        </w:rPr>
      </w:pPr>
      <w:r w:rsidRPr="004310B2">
        <w:rPr>
          <w:rFonts w:cs="Arial"/>
        </w:rPr>
        <w:t>The Company’s Articles permit the Board to consider and, if deemed fit, to authorise situations where a Director has an interest that conflicts, or may possibly conflict, with the interests of the Company. In the event that a Director becomes aware that they have an interest that may arise in a conflict they are required to notify the Board in writing. Internal controls are in place to ensure that any related party transactions involving Directors are conducted on an arm’s length basis. Directors have a co</w:t>
      </w:r>
      <w:r w:rsidR="00D1188F">
        <w:rPr>
          <w:rFonts w:cs="Arial"/>
        </w:rPr>
        <w:t>ntinuing</w:t>
      </w:r>
      <w:r w:rsidRPr="004310B2">
        <w:rPr>
          <w:rFonts w:cs="Arial"/>
        </w:rPr>
        <w:t xml:space="preserve"> duty to update changes to these conflicts. The Board considers that the procedures in place for reporting and considering conflicts of interest are effective.</w:t>
      </w:r>
    </w:p>
    <w:p w14:paraId="53E26EE2" w14:textId="77777777" w:rsidR="00846386" w:rsidRPr="004310B2" w:rsidRDefault="00846386" w:rsidP="00846386">
      <w:pPr>
        <w:jc w:val="both"/>
        <w:rPr>
          <w:rFonts w:cs="Arial"/>
        </w:rPr>
      </w:pPr>
    </w:p>
    <w:p w14:paraId="30C4B309" w14:textId="77777777" w:rsidR="00846386" w:rsidRPr="004310B2" w:rsidRDefault="00846386" w:rsidP="00846386">
      <w:pPr>
        <w:jc w:val="both"/>
        <w:rPr>
          <w:rFonts w:cs="Arial"/>
          <w:b/>
        </w:rPr>
      </w:pPr>
      <w:r w:rsidRPr="004310B2">
        <w:rPr>
          <w:rFonts w:cs="Arial"/>
          <w:b/>
        </w:rPr>
        <w:t>Corporate Responsibility</w:t>
      </w:r>
    </w:p>
    <w:p w14:paraId="05153F6F" w14:textId="77777777" w:rsidR="00846386" w:rsidRPr="004310B2" w:rsidRDefault="00846386" w:rsidP="00846386">
      <w:pPr>
        <w:jc w:val="both"/>
        <w:rPr>
          <w:rFonts w:cs="Arial"/>
        </w:rPr>
      </w:pPr>
    </w:p>
    <w:p w14:paraId="1B2F2CAA" w14:textId="77777777" w:rsidR="00846386" w:rsidRPr="004310B2" w:rsidRDefault="00846386" w:rsidP="00846386">
      <w:pPr>
        <w:jc w:val="both"/>
        <w:rPr>
          <w:rFonts w:cs="Arial"/>
        </w:rPr>
      </w:pPr>
      <w:r w:rsidRPr="004310B2">
        <w:rPr>
          <w:rFonts w:cs="Arial"/>
        </w:rPr>
        <w:t>Corporate responsibility continues to remain an integral part of the Group’s business and long-term strategic plans. The Group’s approach, priorities and objectives in the corporate responsibility arena, specific to the environment and communities in which we serve and operate, are communicated and embedded within the business as part of the Group’s overarching strategic objectives.</w:t>
      </w:r>
    </w:p>
    <w:p w14:paraId="7BD13718" w14:textId="77777777" w:rsidR="00846386" w:rsidRPr="004310B2" w:rsidRDefault="00846386" w:rsidP="00846386">
      <w:pPr>
        <w:jc w:val="both"/>
        <w:rPr>
          <w:rFonts w:cs="Arial"/>
        </w:rPr>
      </w:pPr>
    </w:p>
    <w:p w14:paraId="243B7C8C" w14:textId="77777777" w:rsidR="00846386" w:rsidRPr="004310B2" w:rsidRDefault="00846386" w:rsidP="00846386">
      <w:pPr>
        <w:jc w:val="both"/>
        <w:rPr>
          <w:rFonts w:cs="Arial"/>
          <w:b/>
        </w:rPr>
      </w:pPr>
      <w:r w:rsidRPr="004310B2">
        <w:rPr>
          <w:rFonts w:cs="Arial"/>
          <w:b/>
        </w:rPr>
        <w:t>Promoting the Success of the Company</w:t>
      </w:r>
    </w:p>
    <w:p w14:paraId="1925BED5" w14:textId="77777777" w:rsidR="00846386" w:rsidRPr="004310B2" w:rsidRDefault="00846386" w:rsidP="00846386">
      <w:pPr>
        <w:jc w:val="both"/>
        <w:rPr>
          <w:rFonts w:cs="Arial"/>
        </w:rPr>
      </w:pPr>
    </w:p>
    <w:p w14:paraId="5816BF27" w14:textId="156AA241" w:rsidR="00846386" w:rsidRPr="00D5303F" w:rsidRDefault="00846386" w:rsidP="00846386">
      <w:pPr>
        <w:jc w:val="both"/>
        <w:rPr>
          <w:rFonts w:cs="Arial"/>
        </w:rPr>
      </w:pPr>
      <w:r w:rsidRPr="004310B2">
        <w:rPr>
          <w:rFonts w:cs="Arial"/>
        </w:rPr>
        <w:t>Under Section 172 of the Companies Act 2006 the Directors have regard to responsible behaviour in the Company. The Directors have regard to the likely long-term consequences of decisions made, the interest</w:t>
      </w:r>
      <w:r w:rsidR="0001769C">
        <w:rPr>
          <w:rFonts w:cs="Arial"/>
        </w:rPr>
        <w:t>s</w:t>
      </w:r>
      <w:r w:rsidRPr="004310B2">
        <w:rPr>
          <w:rFonts w:cs="Arial"/>
        </w:rPr>
        <w:t xml:space="preserve"> of the Company’s employees, the Company’s business relationships with suppliers, customers and other stakeholders, the impact of the Company’s operations on the local community and the environment, the Company’s reputation for high standards of business conduct and the need to act fairly as between members of the Company.</w:t>
      </w:r>
    </w:p>
    <w:p w14:paraId="7BB029D5" w14:textId="77777777" w:rsidR="00846386" w:rsidRPr="00D5303F" w:rsidRDefault="00846386" w:rsidP="00846386">
      <w:pPr>
        <w:jc w:val="both"/>
        <w:rPr>
          <w:rFonts w:cs="Arial"/>
        </w:rPr>
      </w:pPr>
    </w:p>
    <w:p w14:paraId="3041DB72" w14:textId="77777777" w:rsidR="00846386" w:rsidRPr="00D5303F" w:rsidRDefault="00846386" w:rsidP="00846386">
      <w:pPr>
        <w:rPr>
          <w:b/>
        </w:rPr>
      </w:pPr>
      <w:r w:rsidRPr="00D5303F">
        <w:rPr>
          <w:b/>
        </w:rPr>
        <w:t>Statement of Directors’ Responsibilities</w:t>
      </w:r>
    </w:p>
    <w:p w14:paraId="698C830C" w14:textId="77777777" w:rsidR="00846386" w:rsidRPr="00D5303F" w:rsidRDefault="00846386" w:rsidP="00846386"/>
    <w:p w14:paraId="4E8C4D02" w14:textId="77777777" w:rsidR="00344DE2" w:rsidRPr="00D5303F" w:rsidRDefault="00344DE2" w:rsidP="00344DE2">
      <w:pPr>
        <w:jc w:val="both"/>
        <w:rPr>
          <w:rFonts w:cs="Arial"/>
          <w:bCs/>
        </w:rPr>
      </w:pPr>
      <w:r w:rsidRPr="00D5303F">
        <w:rPr>
          <w:rFonts w:cs="Arial"/>
          <w:bCs/>
        </w:rPr>
        <w:t xml:space="preserve">The Directors are responsible for preparing the </w:t>
      </w:r>
      <w:r>
        <w:rPr>
          <w:rFonts w:cs="Arial"/>
          <w:bCs/>
        </w:rPr>
        <w:t xml:space="preserve">Strategic Report, Corporate Governance Report, </w:t>
      </w:r>
      <w:r w:rsidRPr="00D5303F">
        <w:rPr>
          <w:rFonts w:cs="Arial"/>
          <w:bCs/>
        </w:rPr>
        <w:t>Directors’ Report and the financial statements in accordance with applicable law and regulations.</w:t>
      </w:r>
    </w:p>
    <w:p w14:paraId="777323E9" w14:textId="77777777" w:rsidR="00344DE2" w:rsidRPr="00D5303F" w:rsidRDefault="00344DE2" w:rsidP="00344DE2">
      <w:pPr>
        <w:rPr>
          <w:rFonts w:cs="Arial"/>
          <w:bCs/>
        </w:rPr>
      </w:pPr>
    </w:p>
    <w:p w14:paraId="173587D9" w14:textId="77777777" w:rsidR="00344DE2" w:rsidRPr="00D5303F" w:rsidRDefault="00344DE2" w:rsidP="00344DE2">
      <w:pPr>
        <w:jc w:val="both"/>
        <w:rPr>
          <w:rFonts w:cs="Arial"/>
          <w:bCs/>
        </w:rPr>
      </w:pPr>
      <w:r w:rsidRPr="00D5303F">
        <w:rPr>
          <w:rFonts w:cs="Arial"/>
          <w:bCs/>
        </w:rPr>
        <w:t xml:space="preserve">Company law requires the Directors to prepare financial statements for each financial </w:t>
      </w:r>
      <w:r>
        <w:rPr>
          <w:rFonts w:cs="Arial"/>
          <w:bCs/>
        </w:rPr>
        <w:t>period</w:t>
      </w:r>
      <w:r w:rsidRPr="00D5303F">
        <w:rPr>
          <w:rFonts w:cs="Arial"/>
          <w:bCs/>
        </w:rPr>
        <w:t xml:space="preserve">. Under that law the Directors have prepared the Group and </w:t>
      </w:r>
      <w:r>
        <w:rPr>
          <w:rFonts w:cs="Arial"/>
          <w:bCs/>
        </w:rPr>
        <w:t>P</w:t>
      </w:r>
      <w:r w:rsidRPr="00D5303F">
        <w:rPr>
          <w:rFonts w:cs="Arial"/>
          <w:bCs/>
        </w:rPr>
        <w:t xml:space="preserve">arent Company financial statements in accordance with UK adopted International Accounting Standards. Under Company Law the Directors must not approve the financial statements unless they are satisfied that they give a true and fair view of the state of affairs of the Group and the </w:t>
      </w:r>
      <w:r>
        <w:rPr>
          <w:rFonts w:cs="Arial"/>
          <w:bCs/>
        </w:rPr>
        <w:t xml:space="preserve">Parent </w:t>
      </w:r>
      <w:r w:rsidRPr="00D5303F">
        <w:rPr>
          <w:rFonts w:cs="Arial"/>
          <w:bCs/>
        </w:rPr>
        <w:t>Company and of the profit or loss of the Group for that period. In preparing these financial statements, the Directors are required to:</w:t>
      </w:r>
    </w:p>
    <w:p w14:paraId="7BA96060" w14:textId="77777777" w:rsidR="00344DE2" w:rsidRPr="00D5303F" w:rsidRDefault="00344DE2" w:rsidP="00344DE2">
      <w:pPr>
        <w:ind w:right="-397"/>
        <w:rPr>
          <w:rFonts w:cs="Arial"/>
          <w:bCs/>
        </w:rPr>
      </w:pPr>
    </w:p>
    <w:p w14:paraId="2BE34D32" w14:textId="77777777" w:rsidR="00344DE2" w:rsidRPr="00D5303F" w:rsidRDefault="00344DE2" w:rsidP="00A5227C">
      <w:pPr>
        <w:numPr>
          <w:ilvl w:val="0"/>
          <w:numId w:val="14"/>
        </w:numPr>
        <w:spacing w:after="200"/>
        <w:ind w:left="340"/>
        <w:jc w:val="both"/>
        <w:rPr>
          <w:rFonts w:cs="Arial"/>
          <w:bCs/>
        </w:rPr>
      </w:pPr>
      <w:r w:rsidRPr="00D5303F">
        <w:rPr>
          <w:rFonts w:cs="Arial"/>
          <w:bCs/>
        </w:rPr>
        <w:t>select suitable accounting policies and then apply them consistently;</w:t>
      </w:r>
    </w:p>
    <w:p w14:paraId="4A1536A1" w14:textId="77777777" w:rsidR="00344DE2" w:rsidRPr="00D5303F" w:rsidRDefault="00344DE2" w:rsidP="00A5227C">
      <w:pPr>
        <w:numPr>
          <w:ilvl w:val="0"/>
          <w:numId w:val="14"/>
        </w:numPr>
        <w:spacing w:after="200"/>
        <w:ind w:left="340"/>
        <w:jc w:val="both"/>
        <w:rPr>
          <w:rFonts w:cs="Arial"/>
          <w:bCs/>
        </w:rPr>
      </w:pPr>
      <w:r w:rsidRPr="00D5303F">
        <w:rPr>
          <w:rFonts w:cs="Arial"/>
          <w:bCs/>
        </w:rPr>
        <w:t>make judgements and accounting estimates that are reasonable and prudent;</w:t>
      </w:r>
    </w:p>
    <w:p w14:paraId="2ADD928F" w14:textId="6545A550" w:rsidR="00344DE2" w:rsidRPr="00D5303F" w:rsidRDefault="00344DE2" w:rsidP="00A5227C">
      <w:pPr>
        <w:numPr>
          <w:ilvl w:val="0"/>
          <w:numId w:val="14"/>
        </w:numPr>
        <w:spacing w:after="200"/>
        <w:ind w:left="340" w:hanging="301"/>
        <w:jc w:val="both"/>
        <w:rPr>
          <w:rFonts w:cs="Arial"/>
          <w:bCs/>
        </w:rPr>
      </w:pPr>
      <w:r w:rsidRPr="00D5303F">
        <w:rPr>
          <w:rFonts w:cs="Arial"/>
          <w:bCs/>
        </w:rPr>
        <w:t xml:space="preserve">state whether applicable </w:t>
      </w:r>
      <w:r w:rsidR="00900D98">
        <w:rPr>
          <w:rFonts w:cs="Arial"/>
          <w:bCs/>
        </w:rPr>
        <w:t>International Accounting Standards (</w:t>
      </w:r>
      <w:r w:rsidRPr="00D5303F">
        <w:rPr>
          <w:rFonts w:cs="Arial"/>
          <w:bCs/>
        </w:rPr>
        <w:t>IFRSs</w:t>
      </w:r>
      <w:r w:rsidR="00900D98">
        <w:rPr>
          <w:rFonts w:cs="Arial"/>
          <w:bCs/>
        </w:rPr>
        <w:t>)</w:t>
      </w:r>
      <w:r w:rsidR="001F5D0F">
        <w:rPr>
          <w:rFonts w:cs="Arial"/>
          <w:bCs/>
        </w:rPr>
        <w:t xml:space="preserve"> as adopted by the UK</w:t>
      </w:r>
      <w:r w:rsidRPr="00D5303F">
        <w:rPr>
          <w:rFonts w:cs="Arial"/>
          <w:bCs/>
        </w:rPr>
        <w:t xml:space="preserve"> have been followed, subject to any material departures disclosed and explained in the financial statements;</w:t>
      </w:r>
      <w:r>
        <w:rPr>
          <w:rFonts w:cs="Arial"/>
          <w:bCs/>
        </w:rPr>
        <w:t xml:space="preserve"> and</w:t>
      </w:r>
    </w:p>
    <w:p w14:paraId="114C4A26" w14:textId="77777777" w:rsidR="00344DE2" w:rsidRPr="00D5303F" w:rsidRDefault="00344DE2" w:rsidP="00A5227C">
      <w:pPr>
        <w:numPr>
          <w:ilvl w:val="0"/>
          <w:numId w:val="14"/>
        </w:numPr>
        <w:spacing w:after="200"/>
        <w:ind w:left="340" w:hanging="303"/>
        <w:jc w:val="both"/>
        <w:rPr>
          <w:rFonts w:cs="Arial"/>
          <w:bCs/>
        </w:rPr>
      </w:pPr>
      <w:r w:rsidRPr="00D5303F">
        <w:rPr>
          <w:rFonts w:cs="Arial"/>
          <w:bCs/>
        </w:rPr>
        <w:t xml:space="preserve">prepare the financial statements on the going concern basis unless it is inappropriate to presume that the </w:t>
      </w:r>
      <w:r>
        <w:rPr>
          <w:rFonts w:cs="Arial"/>
          <w:bCs/>
        </w:rPr>
        <w:t xml:space="preserve">Group and Parent </w:t>
      </w:r>
      <w:r w:rsidRPr="00D5303F">
        <w:rPr>
          <w:rFonts w:cs="Arial"/>
          <w:bCs/>
        </w:rPr>
        <w:t>Company will continue in business.</w:t>
      </w:r>
    </w:p>
    <w:p w14:paraId="36C5513F" w14:textId="77777777" w:rsidR="00344DE2" w:rsidRPr="00D5303F" w:rsidRDefault="00344DE2" w:rsidP="00344DE2">
      <w:pPr>
        <w:jc w:val="both"/>
        <w:rPr>
          <w:b/>
        </w:rPr>
      </w:pPr>
      <w:r w:rsidRPr="00D5303F">
        <w:rPr>
          <w:rFonts w:cs="Arial"/>
          <w:bCs/>
        </w:rPr>
        <w:t xml:space="preserve">The Directors are responsible for keeping adequate accounting records that are sufficient to show and explain the </w:t>
      </w:r>
      <w:r>
        <w:rPr>
          <w:rFonts w:cs="Arial"/>
          <w:bCs/>
        </w:rPr>
        <w:t xml:space="preserve">Parent </w:t>
      </w:r>
      <w:r w:rsidRPr="00D5303F">
        <w:rPr>
          <w:rFonts w:cs="Arial"/>
          <w:bCs/>
        </w:rPr>
        <w:t xml:space="preserve">Company’s transactions and disclose with reasonable accuracy at any time the financial position of the </w:t>
      </w:r>
      <w:r>
        <w:rPr>
          <w:rFonts w:cs="Arial"/>
          <w:bCs/>
        </w:rPr>
        <w:t xml:space="preserve">Group and Parent </w:t>
      </w:r>
      <w:r w:rsidRPr="00D5303F">
        <w:rPr>
          <w:rFonts w:cs="Arial"/>
          <w:bCs/>
        </w:rPr>
        <w:t xml:space="preserve">Company and enable them to ensure that the financial statements comply with the Companies Act 2006. They are also responsible for safeguarding the assets of the </w:t>
      </w:r>
      <w:r>
        <w:rPr>
          <w:rFonts w:cs="Arial"/>
          <w:bCs/>
        </w:rPr>
        <w:t xml:space="preserve">Parent </w:t>
      </w:r>
      <w:r w:rsidRPr="00D5303F">
        <w:rPr>
          <w:rFonts w:cs="Arial"/>
          <w:bCs/>
        </w:rPr>
        <w:t>Company and the Group and hence for taking reasonable steps for the prevention and detection of fraud and other irregularities.</w:t>
      </w:r>
    </w:p>
    <w:p w14:paraId="4ACAB5A1" w14:textId="77777777" w:rsidR="00476D7C" w:rsidRPr="00820267" w:rsidRDefault="00476D7C" w:rsidP="00344DE2">
      <w:pPr>
        <w:jc w:val="center"/>
        <w:rPr>
          <w:b/>
        </w:rPr>
      </w:pPr>
      <w:r w:rsidRPr="00C328EF">
        <w:rPr>
          <w:b/>
          <w:highlight w:val="yellow"/>
        </w:rPr>
        <w:br w:type="page"/>
      </w:r>
      <w:r w:rsidRPr="00820267">
        <w:rPr>
          <w:b/>
        </w:rPr>
        <w:lastRenderedPageBreak/>
        <w:t>TRANSPORT FOR EDINBURGH LIMITED</w:t>
      </w:r>
    </w:p>
    <w:p w14:paraId="5DA6AFDD" w14:textId="77777777" w:rsidR="00476D7C" w:rsidRPr="00820267" w:rsidRDefault="00476D7C" w:rsidP="00476D7C">
      <w:pPr>
        <w:rPr>
          <w:b/>
        </w:rPr>
      </w:pPr>
    </w:p>
    <w:p w14:paraId="5EB58AF9" w14:textId="77777777" w:rsidR="00476D7C" w:rsidRPr="00820267" w:rsidRDefault="00D90B89" w:rsidP="00476D7C">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75A15C8D" w14:textId="77777777" w:rsidR="00476D7C" w:rsidRPr="00820267" w:rsidRDefault="00476D7C" w:rsidP="00476D7C">
      <w:pPr>
        <w:jc w:val="center"/>
        <w:rPr>
          <w:b/>
        </w:rPr>
      </w:pPr>
    </w:p>
    <w:p w14:paraId="4A689538" w14:textId="77777777" w:rsidR="00476D7C" w:rsidRPr="00820267" w:rsidRDefault="00476D7C" w:rsidP="00476D7C">
      <w:pPr>
        <w:jc w:val="center"/>
        <w:rPr>
          <w:b/>
        </w:rPr>
      </w:pPr>
      <w:r w:rsidRPr="00820267">
        <w:rPr>
          <w:b/>
        </w:rPr>
        <w:t>Directors’ Report (continued)</w:t>
      </w:r>
    </w:p>
    <w:p w14:paraId="293152E5" w14:textId="77777777" w:rsidR="00271408" w:rsidRPr="00C328EF" w:rsidRDefault="00271408" w:rsidP="00846386">
      <w:pPr>
        <w:jc w:val="both"/>
        <w:rPr>
          <w:b/>
          <w:highlight w:val="yellow"/>
        </w:rPr>
      </w:pPr>
    </w:p>
    <w:p w14:paraId="6445F4F4" w14:textId="77777777" w:rsidR="00846386" w:rsidRPr="004310B2" w:rsidRDefault="00846386" w:rsidP="00846386">
      <w:pPr>
        <w:jc w:val="both"/>
        <w:rPr>
          <w:b/>
        </w:rPr>
      </w:pPr>
      <w:r w:rsidRPr="004310B2">
        <w:rPr>
          <w:b/>
        </w:rPr>
        <w:t>Employees</w:t>
      </w:r>
    </w:p>
    <w:p w14:paraId="6AD325B5" w14:textId="77777777" w:rsidR="00846386" w:rsidRPr="004310B2" w:rsidRDefault="00846386" w:rsidP="00846386">
      <w:pPr>
        <w:jc w:val="both"/>
        <w:rPr>
          <w:b/>
        </w:rPr>
      </w:pPr>
    </w:p>
    <w:p w14:paraId="415A6E44" w14:textId="1CA0A899" w:rsidR="00846386" w:rsidRPr="004310B2" w:rsidRDefault="00846386" w:rsidP="00846386">
      <w:pPr>
        <w:jc w:val="both"/>
      </w:pPr>
      <w:r w:rsidRPr="004310B2">
        <w:t xml:space="preserve">The Group recognises the importance of engaging with employees to help them make their fullest contribution to the Group, which is fundamental to achieving the Group’s strategy and long-term objectives. </w:t>
      </w:r>
      <w:r w:rsidR="00AE36CD">
        <w:t>Lothian Buses and Edinburgh Trams</w:t>
      </w:r>
      <w:r w:rsidRPr="004310B2">
        <w:t xml:space="preserve"> use a variety of media platforms to inform employees about the Group’s activities, plans and developments together with the Group’s purpose, goals and direction and actively take on board employees’ views and opinions. Further communication is achieved through the use of in-house electronic bul</w:t>
      </w:r>
      <w:r w:rsidR="00D1188F">
        <w:t>letins</w:t>
      </w:r>
      <w:r w:rsidRPr="004310B2">
        <w:t xml:space="preserve">, notice boards and social media as well as the </w:t>
      </w:r>
      <w:r w:rsidR="00EA3656">
        <w:t>Lothian Buses</w:t>
      </w:r>
      <w:r w:rsidR="00221EF2">
        <w:t>’</w:t>
      </w:r>
      <w:r w:rsidR="00EA3656">
        <w:t xml:space="preserve"> and Edinburgh Trams</w:t>
      </w:r>
      <w:r w:rsidR="00221EF2">
        <w:t>’</w:t>
      </w:r>
      <w:r w:rsidR="00EA3656">
        <w:t xml:space="preserve"> </w:t>
      </w:r>
      <w:r w:rsidRPr="004310B2">
        <w:t xml:space="preserve"> intranet and website.</w:t>
      </w:r>
    </w:p>
    <w:p w14:paraId="4544F48E" w14:textId="77777777" w:rsidR="00846386" w:rsidRPr="004310B2" w:rsidRDefault="00846386" w:rsidP="00846386">
      <w:pPr>
        <w:jc w:val="both"/>
      </w:pPr>
    </w:p>
    <w:p w14:paraId="0166BADD" w14:textId="77777777" w:rsidR="00846386" w:rsidRPr="004310B2" w:rsidRDefault="00846386" w:rsidP="00846386">
      <w:pPr>
        <w:jc w:val="both"/>
      </w:pPr>
      <w:r w:rsidRPr="004310B2">
        <w:t>The Group is committed to improving the skills of employees through training and development and through nurturing a culture in which employees feel valued for their contribution and motivated to achieve their full potential</w:t>
      </w:r>
      <w:r w:rsidRPr="00FD0B28">
        <w:t xml:space="preserve">. Statistics relating to the average number of people employed by the Group during the </w:t>
      </w:r>
      <w:r w:rsidR="002C2927" w:rsidRPr="00FD0B28">
        <w:t>period</w:t>
      </w:r>
      <w:r w:rsidRPr="00FD0B28">
        <w:t xml:space="preserve"> can be found in note 7 </w:t>
      </w:r>
      <w:r w:rsidRPr="006B5A76">
        <w:t xml:space="preserve">on </w:t>
      </w:r>
      <w:r w:rsidRPr="00FC284E">
        <w:t xml:space="preserve">page </w:t>
      </w:r>
      <w:r w:rsidR="00FD0B28" w:rsidRPr="00FC284E">
        <w:t>49</w:t>
      </w:r>
      <w:r w:rsidRPr="006B5A76">
        <w:t>.</w:t>
      </w:r>
    </w:p>
    <w:p w14:paraId="5D1B6A81" w14:textId="77777777" w:rsidR="00846386" w:rsidRPr="004310B2" w:rsidRDefault="00846386" w:rsidP="00846386">
      <w:pPr>
        <w:jc w:val="both"/>
        <w:rPr>
          <w:b/>
        </w:rPr>
      </w:pPr>
    </w:p>
    <w:p w14:paraId="7FD1B5DF" w14:textId="77777777" w:rsidR="00846386" w:rsidRPr="004310B2" w:rsidRDefault="00846386" w:rsidP="00846386">
      <w:pPr>
        <w:jc w:val="both"/>
        <w:rPr>
          <w:b/>
        </w:rPr>
      </w:pPr>
      <w:r w:rsidRPr="004310B2">
        <w:rPr>
          <w:b/>
        </w:rPr>
        <w:t>Share Capital</w:t>
      </w:r>
    </w:p>
    <w:p w14:paraId="2B3B1D9B" w14:textId="77777777" w:rsidR="00846386" w:rsidRPr="004310B2" w:rsidRDefault="00846386" w:rsidP="00846386">
      <w:pPr>
        <w:jc w:val="both"/>
      </w:pPr>
    </w:p>
    <w:p w14:paraId="15EB84E0" w14:textId="22C8DD09" w:rsidR="00846386" w:rsidRPr="004310B2" w:rsidRDefault="00846386" w:rsidP="00846386">
      <w:pPr>
        <w:jc w:val="both"/>
      </w:pPr>
      <w:r w:rsidRPr="00FD0B28">
        <w:t xml:space="preserve">Details of the Company’s share capital </w:t>
      </w:r>
      <w:r w:rsidR="004D4C8A">
        <w:t xml:space="preserve">is </w:t>
      </w:r>
      <w:r w:rsidRPr="00FD0B28">
        <w:t>set out in note 1</w:t>
      </w:r>
      <w:r w:rsidR="00156CC8" w:rsidRPr="00FD0B28">
        <w:t>8</w:t>
      </w:r>
      <w:r w:rsidRPr="00FD0B28">
        <w:t xml:space="preserve"> </w:t>
      </w:r>
      <w:r w:rsidRPr="006B5A76">
        <w:t xml:space="preserve">on </w:t>
      </w:r>
      <w:r w:rsidRPr="00FC284E">
        <w:t xml:space="preserve">page </w:t>
      </w:r>
      <w:r w:rsidR="009B5D03" w:rsidRPr="00FC284E">
        <w:t>5</w:t>
      </w:r>
      <w:r w:rsidR="00FD0B28" w:rsidRPr="00FC284E">
        <w:t>6</w:t>
      </w:r>
      <w:r w:rsidRPr="00FC284E">
        <w:t>.</w:t>
      </w:r>
    </w:p>
    <w:p w14:paraId="07553662" w14:textId="77777777" w:rsidR="00846386" w:rsidRPr="004310B2" w:rsidRDefault="00846386" w:rsidP="00846386">
      <w:pPr>
        <w:jc w:val="both"/>
      </w:pPr>
    </w:p>
    <w:p w14:paraId="6B13F922" w14:textId="77777777" w:rsidR="0058665F" w:rsidRPr="004310B2" w:rsidRDefault="0058665F" w:rsidP="00846386">
      <w:pPr>
        <w:jc w:val="both"/>
        <w:rPr>
          <w:b/>
        </w:rPr>
      </w:pPr>
      <w:r w:rsidRPr="004310B2">
        <w:rPr>
          <w:b/>
        </w:rPr>
        <w:t>Articles of Association</w:t>
      </w:r>
    </w:p>
    <w:p w14:paraId="78497BA5" w14:textId="77777777" w:rsidR="0058665F" w:rsidRPr="004310B2" w:rsidRDefault="0058665F" w:rsidP="00846386">
      <w:pPr>
        <w:jc w:val="both"/>
      </w:pPr>
    </w:p>
    <w:p w14:paraId="3619512B" w14:textId="77777777" w:rsidR="0058665F" w:rsidRPr="00EB4AB9" w:rsidRDefault="0058665F" w:rsidP="00846386">
      <w:pPr>
        <w:jc w:val="both"/>
      </w:pPr>
      <w:r w:rsidRPr="004310B2">
        <w:t>The Company’s Articles of Association may be amended by a special resolution of the Company’s shareholders.</w:t>
      </w:r>
    </w:p>
    <w:p w14:paraId="044BAB94" w14:textId="77777777" w:rsidR="0058665F" w:rsidRPr="00EB4AB9" w:rsidRDefault="0058665F" w:rsidP="00846386">
      <w:pPr>
        <w:jc w:val="both"/>
      </w:pPr>
    </w:p>
    <w:p w14:paraId="6601EEC8" w14:textId="77777777" w:rsidR="0058665F" w:rsidRPr="00EB4AB9" w:rsidRDefault="0058665F" w:rsidP="00846386">
      <w:pPr>
        <w:autoSpaceDE w:val="0"/>
        <w:autoSpaceDN w:val="0"/>
        <w:adjustRightInd w:val="0"/>
        <w:spacing w:line="240" w:lineRule="atLeast"/>
        <w:jc w:val="both"/>
        <w:rPr>
          <w:rFonts w:cs="Arial"/>
          <w:b/>
          <w:bCs/>
          <w:lang w:eastAsia="en-GB"/>
        </w:rPr>
      </w:pPr>
      <w:r w:rsidRPr="00EB4AB9">
        <w:rPr>
          <w:rFonts w:cs="Arial"/>
          <w:b/>
          <w:bCs/>
          <w:lang w:eastAsia="en-GB"/>
        </w:rPr>
        <w:t>Disclosure of Information to the Auditor</w:t>
      </w:r>
    </w:p>
    <w:p w14:paraId="73325A53" w14:textId="77777777" w:rsidR="0058665F" w:rsidRPr="00EB4AB9" w:rsidRDefault="0058665F" w:rsidP="00846386">
      <w:pPr>
        <w:autoSpaceDE w:val="0"/>
        <w:autoSpaceDN w:val="0"/>
        <w:adjustRightInd w:val="0"/>
        <w:spacing w:line="240" w:lineRule="atLeast"/>
        <w:jc w:val="both"/>
        <w:rPr>
          <w:rFonts w:cs="Arial"/>
          <w:b/>
          <w:bCs/>
          <w:lang w:eastAsia="en-GB"/>
        </w:rPr>
      </w:pPr>
    </w:p>
    <w:p w14:paraId="6DC02307" w14:textId="77777777" w:rsidR="00344DE2" w:rsidRPr="00D5303F" w:rsidRDefault="00344DE2" w:rsidP="00344DE2">
      <w:pPr>
        <w:autoSpaceDE w:val="0"/>
        <w:autoSpaceDN w:val="0"/>
        <w:adjustRightInd w:val="0"/>
        <w:jc w:val="both"/>
        <w:rPr>
          <w:rFonts w:cs="Arial"/>
          <w:lang w:eastAsia="en-GB"/>
        </w:rPr>
      </w:pPr>
      <w:r w:rsidRPr="00EB4AB9">
        <w:rPr>
          <w:rFonts w:cs="Arial"/>
          <w:lang w:eastAsia="en-GB"/>
        </w:rPr>
        <w:t xml:space="preserve">Each of the Directors, whose names and functions are listed on </w:t>
      </w:r>
      <w:r w:rsidRPr="004310B2">
        <w:rPr>
          <w:rFonts w:cs="Arial"/>
          <w:lang w:eastAsia="en-GB"/>
        </w:rPr>
        <w:t>page 2</w:t>
      </w:r>
      <w:r w:rsidRPr="00EB4AB9">
        <w:rPr>
          <w:rFonts w:cs="Arial"/>
          <w:lang w:eastAsia="en-GB"/>
        </w:rPr>
        <w:t xml:space="preserve"> confirm</w:t>
      </w:r>
      <w:r w:rsidRPr="00D5303F">
        <w:rPr>
          <w:rFonts w:cs="Arial"/>
          <w:lang w:eastAsia="en-GB"/>
        </w:rPr>
        <w:t xml:space="preserve"> that, to the best of each person’s knowledge and belief:</w:t>
      </w:r>
    </w:p>
    <w:p w14:paraId="7F0CAD90" w14:textId="77777777" w:rsidR="00344DE2" w:rsidRPr="00D5303F" w:rsidRDefault="00344DE2" w:rsidP="00344DE2">
      <w:pPr>
        <w:autoSpaceDE w:val="0"/>
        <w:autoSpaceDN w:val="0"/>
        <w:adjustRightInd w:val="0"/>
        <w:ind w:left="340"/>
        <w:jc w:val="both"/>
        <w:rPr>
          <w:rFonts w:cs="Arial"/>
          <w:lang w:eastAsia="en-GB"/>
        </w:rPr>
      </w:pPr>
    </w:p>
    <w:p w14:paraId="246B6E6A" w14:textId="77777777" w:rsidR="00344DE2" w:rsidRPr="00D5303F" w:rsidRDefault="00344DE2" w:rsidP="00A5227C">
      <w:pPr>
        <w:numPr>
          <w:ilvl w:val="0"/>
          <w:numId w:val="15"/>
        </w:numPr>
        <w:autoSpaceDE w:val="0"/>
        <w:autoSpaceDN w:val="0"/>
        <w:adjustRightInd w:val="0"/>
        <w:ind w:left="700"/>
        <w:jc w:val="both"/>
        <w:rPr>
          <w:rFonts w:cs="Arial"/>
          <w:lang w:eastAsia="en-GB"/>
        </w:rPr>
      </w:pPr>
      <w:r w:rsidRPr="00D5303F">
        <w:rPr>
          <w:rFonts w:cs="Arial"/>
          <w:lang w:eastAsia="en-GB"/>
        </w:rPr>
        <w:t xml:space="preserve">there is no relevant audit information of which the </w:t>
      </w:r>
      <w:r>
        <w:rPr>
          <w:rFonts w:cs="Arial"/>
          <w:lang w:eastAsia="en-GB"/>
        </w:rPr>
        <w:t xml:space="preserve">Group and Parent </w:t>
      </w:r>
      <w:r w:rsidRPr="00D5303F">
        <w:rPr>
          <w:rFonts w:cs="Arial"/>
          <w:lang w:eastAsia="en-GB"/>
        </w:rPr>
        <w:t>Company’s auditor is unaware;</w:t>
      </w:r>
    </w:p>
    <w:p w14:paraId="4877B126" w14:textId="77777777" w:rsidR="00344DE2" w:rsidRPr="00D5303F" w:rsidRDefault="00344DE2" w:rsidP="00A5227C">
      <w:pPr>
        <w:numPr>
          <w:ilvl w:val="0"/>
          <w:numId w:val="15"/>
        </w:numPr>
        <w:autoSpaceDE w:val="0"/>
        <w:autoSpaceDN w:val="0"/>
        <w:adjustRightInd w:val="0"/>
        <w:ind w:left="700"/>
        <w:jc w:val="both"/>
        <w:rPr>
          <w:rFonts w:cs="Arial"/>
          <w:lang w:eastAsia="en-GB"/>
        </w:rPr>
      </w:pPr>
      <w:r w:rsidRPr="00D5303F">
        <w:rPr>
          <w:rFonts w:cs="Arial"/>
          <w:lang w:eastAsia="en-GB"/>
        </w:rPr>
        <w:t>the Directors have taken all steps that they might have taken to make themselves aware of any relevant audit information and to establish that the auditor is aware of that information;</w:t>
      </w:r>
    </w:p>
    <w:p w14:paraId="32D3D413" w14:textId="6E4C7BDD" w:rsidR="00344DE2" w:rsidRPr="00D5303F" w:rsidRDefault="00344DE2" w:rsidP="00A5227C">
      <w:pPr>
        <w:numPr>
          <w:ilvl w:val="0"/>
          <w:numId w:val="15"/>
        </w:numPr>
        <w:autoSpaceDE w:val="0"/>
        <w:autoSpaceDN w:val="0"/>
        <w:adjustRightInd w:val="0"/>
        <w:ind w:left="700"/>
        <w:jc w:val="both"/>
        <w:rPr>
          <w:rFonts w:cs="Arial"/>
          <w:lang w:eastAsia="en-GB"/>
        </w:rPr>
      </w:pPr>
      <w:r w:rsidRPr="00D5303F">
        <w:rPr>
          <w:rFonts w:cs="Arial"/>
          <w:lang w:eastAsia="en-GB"/>
        </w:rPr>
        <w:t>the financial statements, prepared in accordance with IFRSs</w:t>
      </w:r>
      <w:r w:rsidR="00561496">
        <w:rPr>
          <w:rFonts w:cs="Arial"/>
          <w:lang w:eastAsia="en-GB"/>
        </w:rPr>
        <w:t xml:space="preserve"> as adopted by the UK</w:t>
      </w:r>
      <w:r w:rsidRPr="00D5303F">
        <w:rPr>
          <w:rFonts w:cs="Arial"/>
          <w:lang w:eastAsia="en-GB"/>
        </w:rPr>
        <w:t xml:space="preserve">, give a true and fair view of the assets, liabilities, financial position and results of the Group and </w:t>
      </w:r>
      <w:r>
        <w:rPr>
          <w:rFonts w:cs="Arial"/>
          <w:lang w:eastAsia="en-GB"/>
        </w:rPr>
        <w:t xml:space="preserve">Parent </w:t>
      </w:r>
      <w:r w:rsidRPr="00D5303F">
        <w:rPr>
          <w:rFonts w:cs="Arial"/>
          <w:lang w:eastAsia="en-GB"/>
        </w:rPr>
        <w:t>Company; and</w:t>
      </w:r>
    </w:p>
    <w:p w14:paraId="037BAB82" w14:textId="77777777" w:rsidR="00344DE2" w:rsidRPr="00D5303F" w:rsidRDefault="00344DE2" w:rsidP="00A5227C">
      <w:pPr>
        <w:numPr>
          <w:ilvl w:val="0"/>
          <w:numId w:val="15"/>
        </w:numPr>
        <w:autoSpaceDE w:val="0"/>
        <w:autoSpaceDN w:val="0"/>
        <w:adjustRightInd w:val="0"/>
        <w:ind w:left="700"/>
        <w:jc w:val="both"/>
        <w:rPr>
          <w:rFonts w:cs="Arial"/>
          <w:lang w:eastAsia="en-GB"/>
        </w:rPr>
      </w:pPr>
      <w:r w:rsidRPr="00D5303F">
        <w:rPr>
          <w:rFonts w:cs="Arial"/>
          <w:lang w:eastAsia="en-GB"/>
        </w:rPr>
        <w:t xml:space="preserve">the Strategic Report contained in the annual report includes a fair review of the development and performance of the business and the position of the </w:t>
      </w:r>
      <w:r>
        <w:rPr>
          <w:rFonts w:cs="Arial"/>
          <w:lang w:eastAsia="en-GB"/>
        </w:rPr>
        <w:t xml:space="preserve">Parent </w:t>
      </w:r>
      <w:r w:rsidRPr="00D5303F">
        <w:rPr>
          <w:rFonts w:cs="Arial"/>
          <w:lang w:eastAsia="en-GB"/>
        </w:rPr>
        <w:t>Company and Group, together with a description of the principal risks and uncertainties that they face.</w:t>
      </w:r>
    </w:p>
    <w:p w14:paraId="3A6F3C18" w14:textId="77777777" w:rsidR="00476D7C" w:rsidRPr="00C328EF" w:rsidRDefault="00476D7C" w:rsidP="00846386">
      <w:pPr>
        <w:jc w:val="both"/>
        <w:rPr>
          <w:highlight w:val="yellow"/>
        </w:rPr>
      </w:pPr>
    </w:p>
    <w:p w14:paraId="58614274" w14:textId="77777777" w:rsidR="00476D7C" w:rsidRPr="00D5303F" w:rsidRDefault="00476D7C" w:rsidP="00846386">
      <w:pPr>
        <w:jc w:val="both"/>
        <w:rPr>
          <w:b/>
        </w:rPr>
      </w:pPr>
      <w:r w:rsidRPr="00D5303F">
        <w:rPr>
          <w:b/>
        </w:rPr>
        <w:t>Auditor</w:t>
      </w:r>
    </w:p>
    <w:p w14:paraId="263F3EE6" w14:textId="77777777" w:rsidR="00D028B9" w:rsidRPr="00D5303F" w:rsidRDefault="00D028B9" w:rsidP="00846386">
      <w:pPr>
        <w:jc w:val="both"/>
        <w:rPr>
          <w:rFonts w:cs="Arial"/>
        </w:rPr>
      </w:pPr>
    </w:p>
    <w:p w14:paraId="635CC077" w14:textId="77777777" w:rsidR="00476D7C" w:rsidRPr="00D5303F" w:rsidRDefault="00476D7C" w:rsidP="00846386">
      <w:pPr>
        <w:autoSpaceDE w:val="0"/>
        <w:autoSpaceDN w:val="0"/>
        <w:adjustRightInd w:val="0"/>
        <w:jc w:val="both"/>
        <w:rPr>
          <w:rFonts w:cs="Arial"/>
        </w:rPr>
      </w:pPr>
      <w:r w:rsidRPr="00D5303F">
        <w:rPr>
          <w:rFonts w:cs="Arial"/>
        </w:rPr>
        <w:t xml:space="preserve">The auditor, </w:t>
      </w:r>
      <w:r w:rsidR="00373A8D" w:rsidRPr="00D5303F">
        <w:rPr>
          <w:rFonts w:cs="Arial"/>
        </w:rPr>
        <w:t>Azets</w:t>
      </w:r>
      <w:r w:rsidRPr="00D5303F">
        <w:rPr>
          <w:rFonts w:cs="Arial"/>
        </w:rPr>
        <w:t xml:space="preserve"> Audit Services, is deemed to be reappointed under Section 487 (2) of the Companies Act 2006.</w:t>
      </w:r>
    </w:p>
    <w:p w14:paraId="785076EF" w14:textId="77777777" w:rsidR="00476D7C" w:rsidRPr="00D5303F" w:rsidRDefault="00476D7C" w:rsidP="00846386">
      <w:pPr>
        <w:autoSpaceDE w:val="0"/>
        <w:autoSpaceDN w:val="0"/>
        <w:adjustRightInd w:val="0"/>
        <w:rPr>
          <w:rFonts w:cs="Arial"/>
        </w:rPr>
      </w:pPr>
    </w:p>
    <w:p w14:paraId="41EFA9A2" w14:textId="77777777" w:rsidR="00476D7C" w:rsidRPr="00D5303F" w:rsidRDefault="00476D7C" w:rsidP="00846386">
      <w:pPr>
        <w:autoSpaceDE w:val="0"/>
        <w:autoSpaceDN w:val="0"/>
        <w:adjustRightInd w:val="0"/>
        <w:rPr>
          <w:rFonts w:cs="Arial"/>
        </w:rPr>
      </w:pPr>
    </w:p>
    <w:p w14:paraId="224B7A9A" w14:textId="77777777" w:rsidR="00476D7C" w:rsidRPr="00D5303F" w:rsidRDefault="00476D7C" w:rsidP="00846386">
      <w:pPr>
        <w:autoSpaceDE w:val="0"/>
        <w:autoSpaceDN w:val="0"/>
        <w:adjustRightInd w:val="0"/>
        <w:rPr>
          <w:rFonts w:cs="Arial"/>
        </w:rPr>
      </w:pPr>
      <w:r w:rsidRPr="00D5303F">
        <w:rPr>
          <w:rFonts w:cs="Arial"/>
        </w:rPr>
        <w:t>This report was approved by the Board and signed on its behalf by:</w:t>
      </w:r>
      <w:r w:rsidR="00F7334A" w:rsidRPr="00D5303F">
        <w:rPr>
          <w:rFonts w:cs="Arial"/>
        </w:rPr>
        <w:t xml:space="preserve"> </w:t>
      </w:r>
    </w:p>
    <w:p w14:paraId="44AB3C1D" w14:textId="77777777" w:rsidR="003B7359" w:rsidRPr="00C328EF" w:rsidRDefault="003B7359" w:rsidP="00476D7C">
      <w:pPr>
        <w:autoSpaceDE w:val="0"/>
        <w:autoSpaceDN w:val="0"/>
        <w:adjustRightInd w:val="0"/>
        <w:ind w:right="21"/>
        <w:rPr>
          <w:rFonts w:cs="Arial"/>
          <w:highlight w:val="yellow"/>
        </w:rPr>
      </w:pPr>
    </w:p>
    <w:p w14:paraId="782DFA06" w14:textId="77777777" w:rsidR="003B7359" w:rsidRPr="00C328EF" w:rsidRDefault="003B7359" w:rsidP="00476D7C">
      <w:pPr>
        <w:autoSpaceDE w:val="0"/>
        <w:autoSpaceDN w:val="0"/>
        <w:adjustRightInd w:val="0"/>
        <w:ind w:right="21"/>
        <w:rPr>
          <w:rFonts w:cs="Arial"/>
          <w:highlight w:val="yellow"/>
        </w:rPr>
      </w:pPr>
    </w:p>
    <w:tbl>
      <w:tblPr>
        <w:tblW w:w="10303" w:type="dxa"/>
        <w:tblLook w:val="01E0" w:firstRow="1" w:lastRow="1" w:firstColumn="1" w:lastColumn="1" w:noHBand="0" w:noVBand="0"/>
      </w:tblPr>
      <w:tblGrid>
        <w:gridCol w:w="3119"/>
        <w:gridCol w:w="3042"/>
        <w:gridCol w:w="1386"/>
        <w:gridCol w:w="2756"/>
      </w:tblGrid>
      <w:tr w:rsidR="00476D7C" w:rsidRPr="00C328EF" w14:paraId="75A87DBD" w14:textId="77777777" w:rsidTr="005735B6">
        <w:tc>
          <w:tcPr>
            <w:tcW w:w="3119" w:type="dxa"/>
            <w:tcBorders>
              <w:bottom w:val="dashSmallGap" w:sz="4" w:space="0" w:color="auto"/>
            </w:tcBorders>
            <w:vAlign w:val="bottom"/>
          </w:tcPr>
          <w:p w14:paraId="16DDC20D" w14:textId="5CC91C10" w:rsidR="00476D7C" w:rsidRPr="00C328EF" w:rsidRDefault="00476D7C" w:rsidP="00C01F83">
            <w:pPr>
              <w:rPr>
                <w:rFonts w:cs="Arial"/>
                <w:b/>
                <w:spacing w:val="-2"/>
                <w:highlight w:val="yellow"/>
              </w:rPr>
            </w:pPr>
            <w:bookmarkStart w:id="20" w:name="_Hlk133567995"/>
            <w:r w:rsidRPr="005735B6">
              <w:rPr>
                <w:rFonts w:cs="Arial"/>
                <w:b/>
                <w:spacing w:val="-2"/>
              </w:rPr>
              <w:t xml:space="preserve">Date:  </w:t>
            </w:r>
            <w:r w:rsidR="00407E64" w:rsidRPr="005735B6">
              <w:rPr>
                <w:rFonts w:cs="Arial"/>
                <w:b/>
                <w:spacing w:val="-2"/>
              </w:rPr>
              <w:t xml:space="preserve"> </w:t>
            </w:r>
            <w:r w:rsidR="00F0414A" w:rsidRPr="005735B6">
              <w:rPr>
                <w:rFonts w:cs="Arial"/>
                <w:b/>
                <w:spacing w:val="-2"/>
              </w:rPr>
              <w:t xml:space="preserve">  </w:t>
            </w:r>
            <w:r w:rsidR="005735B6">
              <w:rPr>
                <w:rFonts w:cs="Arial"/>
                <w:b/>
                <w:spacing w:val="-2"/>
              </w:rPr>
              <w:t>25 September</w:t>
            </w:r>
            <w:r w:rsidRPr="005735B6">
              <w:rPr>
                <w:rFonts w:cs="Arial"/>
                <w:b/>
                <w:spacing w:val="-2"/>
              </w:rPr>
              <w:t xml:space="preserve"> 202</w:t>
            </w:r>
            <w:r w:rsidR="00820267" w:rsidRPr="005735B6">
              <w:rPr>
                <w:rFonts w:cs="Arial"/>
                <w:b/>
                <w:spacing w:val="-2"/>
              </w:rPr>
              <w:t>5</w:t>
            </w:r>
          </w:p>
        </w:tc>
        <w:tc>
          <w:tcPr>
            <w:tcW w:w="3042" w:type="dxa"/>
          </w:tcPr>
          <w:p w14:paraId="546A2897" w14:textId="77777777" w:rsidR="00476D7C" w:rsidRPr="00C328EF" w:rsidRDefault="00476D7C" w:rsidP="00C01F83">
            <w:pPr>
              <w:jc w:val="right"/>
              <w:rPr>
                <w:b/>
                <w:highlight w:val="yellow"/>
              </w:rPr>
            </w:pPr>
          </w:p>
        </w:tc>
        <w:tc>
          <w:tcPr>
            <w:tcW w:w="1386" w:type="dxa"/>
          </w:tcPr>
          <w:p w14:paraId="07A407B8" w14:textId="77777777" w:rsidR="00476D7C" w:rsidRPr="00C328EF" w:rsidRDefault="00476D7C" w:rsidP="00C01F83">
            <w:pPr>
              <w:rPr>
                <w:b/>
                <w:highlight w:val="yellow"/>
              </w:rPr>
            </w:pPr>
          </w:p>
          <w:p w14:paraId="3AC8CFAC" w14:textId="77777777" w:rsidR="00476D7C" w:rsidRPr="00C328EF" w:rsidRDefault="00476D7C" w:rsidP="00C01F83">
            <w:pPr>
              <w:rPr>
                <w:b/>
                <w:highlight w:val="yellow"/>
              </w:rPr>
            </w:pPr>
          </w:p>
        </w:tc>
        <w:tc>
          <w:tcPr>
            <w:tcW w:w="2756" w:type="dxa"/>
            <w:tcBorders>
              <w:bottom w:val="dashSmallGap" w:sz="4" w:space="0" w:color="auto"/>
            </w:tcBorders>
          </w:tcPr>
          <w:p w14:paraId="44D3CB4E" w14:textId="77777777" w:rsidR="00476D7C" w:rsidRPr="00C328EF" w:rsidRDefault="00476D7C" w:rsidP="00C01F83">
            <w:pPr>
              <w:rPr>
                <w:b/>
                <w:highlight w:val="yellow"/>
              </w:rPr>
            </w:pPr>
          </w:p>
          <w:p w14:paraId="0C2B56AA" w14:textId="77777777" w:rsidR="00476D7C" w:rsidRPr="00C328EF" w:rsidRDefault="00476D7C" w:rsidP="00C01F83">
            <w:pPr>
              <w:rPr>
                <w:b/>
                <w:highlight w:val="yellow"/>
              </w:rPr>
            </w:pPr>
          </w:p>
        </w:tc>
      </w:tr>
      <w:tr w:rsidR="00476D7C" w:rsidRPr="00C328EF" w14:paraId="75C629A4" w14:textId="77777777" w:rsidTr="005735B6">
        <w:trPr>
          <w:trHeight w:val="537"/>
        </w:trPr>
        <w:tc>
          <w:tcPr>
            <w:tcW w:w="3119" w:type="dxa"/>
            <w:tcBorders>
              <w:top w:val="dashSmallGap" w:sz="4" w:space="0" w:color="auto"/>
            </w:tcBorders>
            <w:vAlign w:val="bottom"/>
          </w:tcPr>
          <w:p w14:paraId="5BECAE86" w14:textId="77777777" w:rsidR="00476D7C" w:rsidRPr="00C328EF" w:rsidRDefault="00476D7C" w:rsidP="00C01F83">
            <w:pPr>
              <w:rPr>
                <w:rFonts w:cs="Arial"/>
                <w:b/>
                <w:spacing w:val="-2"/>
                <w:highlight w:val="yellow"/>
              </w:rPr>
            </w:pPr>
          </w:p>
        </w:tc>
        <w:tc>
          <w:tcPr>
            <w:tcW w:w="3042" w:type="dxa"/>
          </w:tcPr>
          <w:p w14:paraId="21F0360E" w14:textId="77777777" w:rsidR="00476D7C" w:rsidRPr="00C328EF" w:rsidRDefault="00476D7C" w:rsidP="00C01F83">
            <w:pPr>
              <w:rPr>
                <w:b/>
                <w:highlight w:val="yellow"/>
              </w:rPr>
            </w:pPr>
          </w:p>
        </w:tc>
        <w:tc>
          <w:tcPr>
            <w:tcW w:w="1386" w:type="dxa"/>
          </w:tcPr>
          <w:p w14:paraId="175675BB" w14:textId="77777777" w:rsidR="00476D7C" w:rsidRPr="00F0414A" w:rsidRDefault="00476D7C" w:rsidP="00C01F83">
            <w:pPr>
              <w:rPr>
                <w:b/>
              </w:rPr>
            </w:pPr>
          </w:p>
        </w:tc>
        <w:tc>
          <w:tcPr>
            <w:tcW w:w="2756" w:type="dxa"/>
            <w:tcBorders>
              <w:top w:val="dashSmallGap" w:sz="4" w:space="0" w:color="auto"/>
            </w:tcBorders>
          </w:tcPr>
          <w:p w14:paraId="6AEF34B6" w14:textId="2130F1B1" w:rsidR="00476D7C" w:rsidRPr="00F0414A" w:rsidRDefault="00224B26" w:rsidP="0037256B">
            <w:pPr>
              <w:rPr>
                <w:b/>
                <w:highlight w:val="yellow"/>
              </w:rPr>
            </w:pPr>
            <w:r>
              <w:rPr>
                <w:b/>
              </w:rPr>
              <w:t>Richard Lloyd-Bithell</w:t>
            </w:r>
            <w:r w:rsidR="0037256B" w:rsidRPr="00224B26">
              <w:rPr>
                <w:b/>
              </w:rPr>
              <w:t xml:space="preserve"> (</w:t>
            </w:r>
            <w:r w:rsidR="00476D7C" w:rsidRPr="00224B26">
              <w:rPr>
                <w:b/>
              </w:rPr>
              <w:t>Dir</w:t>
            </w:r>
            <w:r w:rsidR="0037256B" w:rsidRPr="00224B26">
              <w:rPr>
                <w:b/>
              </w:rPr>
              <w:t>ector)</w:t>
            </w:r>
          </w:p>
        </w:tc>
      </w:tr>
      <w:bookmarkEnd w:id="20"/>
    </w:tbl>
    <w:p w14:paraId="4E387EC6" w14:textId="77777777" w:rsidR="00923AB0" w:rsidRPr="00C328EF" w:rsidRDefault="00923AB0" w:rsidP="00C516D2">
      <w:pPr>
        <w:jc w:val="both"/>
        <w:rPr>
          <w:highlight w:val="yellow"/>
        </w:rPr>
        <w:sectPr w:rsidR="00923AB0" w:rsidRPr="00C328EF" w:rsidSect="00AD1041">
          <w:pgSz w:w="11906" w:h="16838" w:code="9"/>
          <w:pgMar w:top="1077" w:right="981" w:bottom="318" w:left="981" w:header="1077" w:footer="318" w:gutter="0"/>
          <w:cols w:space="720"/>
          <w:docGrid w:linePitch="212"/>
        </w:sectPr>
      </w:pPr>
    </w:p>
    <w:p w14:paraId="6864580E" w14:textId="77777777" w:rsidR="00683686" w:rsidRPr="00820267" w:rsidRDefault="009A78BE" w:rsidP="00683686">
      <w:pPr>
        <w:jc w:val="center"/>
        <w:rPr>
          <w:b/>
        </w:rPr>
      </w:pPr>
      <w:r w:rsidRPr="00820267">
        <w:rPr>
          <w:b/>
        </w:rPr>
        <w:lastRenderedPageBreak/>
        <w:t>TRANSPORT FOR EDINBURGH LIMITED</w:t>
      </w:r>
    </w:p>
    <w:p w14:paraId="6C930107" w14:textId="77777777" w:rsidR="00683686" w:rsidRPr="00820267" w:rsidRDefault="00683686" w:rsidP="00683686">
      <w:pPr>
        <w:jc w:val="center"/>
        <w:rPr>
          <w:b/>
        </w:rPr>
      </w:pPr>
    </w:p>
    <w:p w14:paraId="5E9B519E" w14:textId="77777777" w:rsidR="00877BB3" w:rsidRPr="00820267" w:rsidRDefault="00EB1281" w:rsidP="00877BB3">
      <w:pPr>
        <w:jc w:val="center"/>
        <w:rPr>
          <w:b/>
        </w:rPr>
      </w:pPr>
      <w:r w:rsidRPr="00820267">
        <w:rPr>
          <w:rFonts w:cs="Arial"/>
          <w:b/>
        </w:rPr>
        <w:t xml:space="preserve">Independent </w:t>
      </w:r>
      <w:r w:rsidR="006F15C9" w:rsidRPr="00820267">
        <w:rPr>
          <w:rFonts w:cs="Arial"/>
          <w:b/>
        </w:rPr>
        <w:t>A</w:t>
      </w:r>
      <w:r w:rsidR="00877BB3" w:rsidRPr="00820267">
        <w:rPr>
          <w:rFonts w:cs="Arial"/>
          <w:b/>
        </w:rPr>
        <w:t>uditor</w:t>
      </w:r>
      <w:r w:rsidR="00421ADF" w:rsidRPr="00820267">
        <w:rPr>
          <w:rFonts w:cs="Arial"/>
          <w:b/>
        </w:rPr>
        <w:t>’s</w:t>
      </w:r>
      <w:r w:rsidR="00877BB3" w:rsidRPr="00820267">
        <w:rPr>
          <w:rFonts w:cs="Arial"/>
          <w:b/>
        </w:rPr>
        <w:t xml:space="preserve"> </w:t>
      </w:r>
      <w:r w:rsidR="006F15C9" w:rsidRPr="00820267">
        <w:rPr>
          <w:rFonts w:cs="Arial"/>
          <w:b/>
        </w:rPr>
        <w:t>R</w:t>
      </w:r>
      <w:r w:rsidR="00877BB3" w:rsidRPr="00820267">
        <w:rPr>
          <w:rFonts w:cs="Arial"/>
          <w:b/>
        </w:rPr>
        <w:t xml:space="preserve">eport to the </w:t>
      </w:r>
      <w:r w:rsidR="006F15C9" w:rsidRPr="00820267">
        <w:rPr>
          <w:rFonts w:cs="Arial"/>
          <w:b/>
        </w:rPr>
        <w:t>M</w:t>
      </w:r>
      <w:r w:rsidR="00877BB3" w:rsidRPr="00820267">
        <w:rPr>
          <w:rFonts w:cs="Arial"/>
          <w:b/>
        </w:rPr>
        <w:t xml:space="preserve">embers </w:t>
      </w:r>
      <w:r w:rsidR="009A78BE" w:rsidRPr="00820267">
        <w:rPr>
          <w:rFonts w:cs="Arial"/>
          <w:b/>
        </w:rPr>
        <w:t>of Transport for Edinburgh</w:t>
      </w:r>
      <w:r w:rsidR="0018563C" w:rsidRPr="00820267">
        <w:rPr>
          <w:b/>
        </w:rPr>
        <w:t xml:space="preserve"> Limited</w:t>
      </w:r>
    </w:p>
    <w:p w14:paraId="0796FFC8" w14:textId="77777777" w:rsidR="00EB1281" w:rsidRPr="00820267" w:rsidRDefault="00EB1281" w:rsidP="00877BB3">
      <w:pPr>
        <w:jc w:val="center"/>
        <w:rPr>
          <w:b/>
        </w:rPr>
      </w:pPr>
    </w:p>
    <w:p w14:paraId="46DF45EA" w14:textId="77777777" w:rsidR="00EB1281" w:rsidRPr="00820267" w:rsidRDefault="00D90B89" w:rsidP="00877BB3">
      <w:pPr>
        <w:jc w:val="center"/>
        <w:rPr>
          <w:rFonts w:cs="Arial"/>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7E8A0CED" w14:textId="77777777" w:rsidR="00877BB3" w:rsidRPr="00C328EF" w:rsidRDefault="00877BB3" w:rsidP="00877BB3">
      <w:pPr>
        <w:rPr>
          <w:rFonts w:cs="Arial"/>
          <w:bCs/>
          <w:highlight w:val="yellow"/>
        </w:rPr>
      </w:pPr>
    </w:p>
    <w:p w14:paraId="111EE805" w14:textId="77777777" w:rsidR="00B77919" w:rsidRPr="00D5303F" w:rsidRDefault="00B77919" w:rsidP="00B77919">
      <w:pPr>
        <w:jc w:val="both"/>
        <w:rPr>
          <w:rFonts w:cs="Arial"/>
          <w:b/>
          <w:bCs/>
          <w:lang w:eastAsia="en-GB"/>
        </w:rPr>
      </w:pPr>
      <w:r w:rsidRPr="00D5303F">
        <w:rPr>
          <w:rFonts w:cs="Arial"/>
          <w:b/>
          <w:bCs/>
        </w:rPr>
        <w:t>Opinion</w:t>
      </w:r>
    </w:p>
    <w:p w14:paraId="69B7CE79" w14:textId="77777777" w:rsidR="00B77919" w:rsidRPr="00D5303F" w:rsidRDefault="00B77919" w:rsidP="00B77919">
      <w:pPr>
        <w:jc w:val="both"/>
        <w:rPr>
          <w:rFonts w:cs="Arial"/>
        </w:rPr>
      </w:pPr>
    </w:p>
    <w:p w14:paraId="4B78DCCF" w14:textId="4E421D5F" w:rsidR="00B77919" w:rsidRPr="00D5303F" w:rsidRDefault="00B77919" w:rsidP="00B77919">
      <w:pPr>
        <w:jc w:val="both"/>
        <w:rPr>
          <w:rFonts w:cs="Arial"/>
        </w:rPr>
      </w:pPr>
      <w:r w:rsidRPr="00D5303F">
        <w:rPr>
          <w:rFonts w:cs="Arial"/>
        </w:rPr>
        <w:t xml:space="preserve">We have audited the financial statements of Transport for Edinburgh Limited (the “parent company”) and its subsidiaries (the “group”) for the </w:t>
      </w:r>
      <w:r>
        <w:rPr>
          <w:rFonts w:cs="Arial"/>
        </w:rPr>
        <w:t>period</w:t>
      </w:r>
      <w:r w:rsidRPr="00D5303F">
        <w:rPr>
          <w:rFonts w:cs="Arial"/>
        </w:rPr>
        <w:t xml:space="preserve"> ended </w:t>
      </w:r>
      <w:r>
        <w:rPr>
          <w:rFonts w:cs="Arial"/>
        </w:rPr>
        <w:t>28</w:t>
      </w:r>
      <w:r w:rsidRPr="00D5303F">
        <w:rPr>
          <w:rFonts w:cs="Arial"/>
        </w:rPr>
        <w:t xml:space="preserve"> December 2024 which comprise the Consolidated and </w:t>
      </w:r>
      <w:r>
        <w:rPr>
          <w:rFonts w:cs="Arial"/>
        </w:rPr>
        <w:t xml:space="preserve">Parent </w:t>
      </w:r>
      <w:r w:rsidRPr="00D5303F">
        <w:rPr>
          <w:rFonts w:cs="Arial"/>
        </w:rPr>
        <w:t xml:space="preserve">Company Statement of Profit or Loss and Other Comprehensive Income, Consolidated and </w:t>
      </w:r>
      <w:r>
        <w:rPr>
          <w:rFonts w:cs="Arial"/>
        </w:rPr>
        <w:t xml:space="preserve">Parent </w:t>
      </w:r>
      <w:r w:rsidRPr="00D5303F">
        <w:rPr>
          <w:rFonts w:cs="Arial"/>
        </w:rPr>
        <w:t>Company Statement of Financial Position, Consolidated</w:t>
      </w:r>
      <w:r w:rsidR="00EA2A5D">
        <w:rPr>
          <w:rFonts w:cs="Arial"/>
        </w:rPr>
        <w:t xml:space="preserve"> and </w:t>
      </w:r>
      <w:r w:rsidR="00C21788">
        <w:rPr>
          <w:rFonts w:cs="Arial"/>
        </w:rPr>
        <w:t>Parent Company</w:t>
      </w:r>
      <w:r w:rsidRPr="00D5303F">
        <w:rPr>
          <w:rFonts w:cs="Arial"/>
        </w:rPr>
        <w:t xml:space="preserve"> Statement of Changes in Equity, Consolidated and </w:t>
      </w:r>
      <w:r>
        <w:rPr>
          <w:rFonts w:cs="Arial"/>
        </w:rPr>
        <w:t xml:space="preserve">Parent </w:t>
      </w:r>
      <w:r w:rsidRPr="00D5303F">
        <w:rPr>
          <w:rFonts w:cs="Arial"/>
        </w:rPr>
        <w:t>Company Statement of Cash Flows, and notes to the financial statements, including material accounting policy information. The financial reporting framework that has been applied in their preparation is applicable law and UK adopted International Accounting Standards</w:t>
      </w:r>
      <w:r>
        <w:rPr>
          <w:rFonts w:cs="Arial"/>
        </w:rPr>
        <w:t>.</w:t>
      </w:r>
    </w:p>
    <w:p w14:paraId="76BBDDC4" w14:textId="77777777" w:rsidR="00B77919" w:rsidRPr="00D5303F" w:rsidRDefault="00B77919" w:rsidP="00B77919">
      <w:pPr>
        <w:jc w:val="both"/>
        <w:rPr>
          <w:rFonts w:cs="Arial"/>
        </w:rPr>
      </w:pPr>
    </w:p>
    <w:p w14:paraId="2037AFFA" w14:textId="77777777" w:rsidR="00B77919" w:rsidRPr="00D5303F" w:rsidRDefault="00B77919" w:rsidP="00B77919">
      <w:pPr>
        <w:jc w:val="both"/>
        <w:rPr>
          <w:rFonts w:cs="Arial"/>
        </w:rPr>
      </w:pPr>
      <w:r w:rsidRPr="00D5303F">
        <w:rPr>
          <w:rFonts w:cs="Arial"/>
        </w:rPr>
        <w:t>In our opinio</w:t>
      </w:r>
      <w:r>
        <w:rPr>
          <w:rFonts w:cs="Arial"/>
        </w:rPr>
        <w:t>n</w:t>
      </w:r>
      <w:r w:rsidRPr="00D5303F">
        <w:rPr>
          <w:rFonts w:cs="Arial"/>
        </w:rPr>
        <w:t>:</w:t>
      </w:r>
    </w:p>
    <w:p w14:paraId="1366C265" w14:textId="77777777" w:rsidR="00B77919" w:rsidRPr="00D5303F" w:rsidRDefault="00B77919" w:rsidP="00A5227C">
      <w:pPr>
        <w:numPr>
          <w:ilvl w:val="0"/>
          <w:numId w:val="26"/>
        </w:numPr>
        <w:ind w:left="360"/>
        <w:contextualSpacing/>
        <w:jc w:val="both"/>
        <w:rPr>
          <w:rFonts w:cs="Arial"/>
        </w:rPr>
      </w:pPr>
      <w:r w:rsidRPr="00D5303F">
        <w:rPr>
          <w:rFonts w:cs="Arial"/>
        </w:rPr>
        <w:t xml:space="preserve">the financial statements give a true and fair view of the state of the group’s and parent company's affairs as at </w:t>
      </w:r>
      <w:r>
        <w:rPr>
          <w:rFonts w:cs="Arial"/>
        </w:rPr>
        <w:t>28</w:t>
      </w:r>
      <w:r w:rsidRPr="00D5303F">
        <w:rPr>
          <w:rFonts w:cs="Arial"/>
        </w:rPr>
        <w:t xml:space="preserve"> December 2024 and of the group’s results for the </w:t>
      </w:r>
      <w:r>
        <w:rPr>
          <w:rFonts w:cs="Arial"/>
        </w:rPr>
        <w:t>period</w:t>
      </w:r>
      <w:r w:rsidRPr="00D5303F">
        <w:rPr>
          <w:rFonts w:cs="Arial"/>
        </w:rPr>
        <w:t xml:space="preserve"> then ended;</w:t>
      </w:r>
    </w:p>
    <w:p w14:paraId="683C557C" w14:textId="77777777" w:rsidR="00B77919" w:rsidRPr="00D5303F" w:rsidRDefault="00B77919" w:rsidP="00A5227C">
      <w:pPr>
        <w:numPr>
          <w:ilvl w:val="0"/>
          <w:numId w:val="26"/>
        </w:numPr>
        <w:ind w:left="360"/>
        <w:contextualSpacing/>
        <w:jc w:val="both"/>
        <w:rPr>
          <w:rFonts w:cs="Arial"/>
        </w:rPr>
      </w:pPr>
      <w:r w:rsidRPr="00D5303F">
        <w:rPr>
          <w:rFonts w:cs="Arial"/>
        </w:rPr>
        <w:t>the group financial statements have been properly prepared in accordance with UK adopted International Accounting Standards;</w:t>
      </w:r>
    </w:p>
    <w:p w14:paraId="6DA86A1C" w14:textId="77777777" w:rsidR="00B77919" w:rsidRPr="00D5303F" w:rsidRDefault="00B77919" w:rsidP="00A5227C">
      <w:pPr>
        <w:numPr>
          <w:ilvl w:val="0"/>
          <w:numId w:val="26"/>
        </w:numPr>
        <w:ind w:left="360"/>
        <w:contextualSpacing/>
        <w:jc w:val="both"/>
        <w:rPr>
          <w:rFonts w:cs="Arial"/>
        </w:rPr>
      </w:pPr>
      <w:r w:rsidRPr="00D5303F">
        <w:rPr>
          <w:rFonts w:cs="Arial"/>
        </w:rPr>
        <w:t>the parent company financial statements have been properly prepared in accordance with UK adopted International Accounting Standards; and</w:t>
      </w:r>
    </w:p>
    <w:p w14:paraId="70FB9BDF" w14:textId="77777777" w:rsidR="00B77919" w:rsidRPr="00D5303F" w:rsidRDefault="00B77919" w:rsidP="00A5227C">
      <w:pPr>
        <w:numPr>
          <w:ilvl w:val="0"/>
          <w:numId w:val="26"/>
        </w:numPr>
        <w:ind w:left="360"/>
        <w:contextualSpacing/>
        <w:jc w:val="both"/>
        <w:rPr>
          <w:rFonts w:cs="Arial"/>
        </w:rPr>
      </w:pPr>
      <w:r w:rsidRPr="00D5303F">
        <w:rPr>
          <w:rFonts w:cs="Arial"/>
        </w:rPr>
        <w:t>the financial statements have been prepared in accordance with the requirements of the Companies Act 2006.</w:t>
      </w:r>
    </w:p>
    <w:p w14:paraId="7F97A2D5" w14:textId="77777777" w:rsidR="00B77919" w:rsidRPr="00D5303F" w:rsidRDefault="00B77919" w:rsidP="00B77919">
      <w:pPr>
        <w:jc w:val="both"/>
        <w:rPr>
          <w:rFonts w:cs="Arial"/>
        </w:rPr>
      </w:pPr>
    </w:p>
    <w:p w14:paraId="774ECA13" w14:textId="77777777" w:rsidR="00B77919" w:rsidRPr="00D5303F" w:rsidRDefault="00B77919" w:rsidP="00B77919">
      <w:pPr>
        <w:jc w:val="both"/>
        <w:rPr>
          <w:rFonts w:cs="Arial"/>
          <w:b/>
          <w:bCs/>
        </w:rPr>
      </w:pPr>
      <w:r w:rsidRPr="00D5303F">
        <w:rPr>
          <w:rFonts w:cs="Arial"/>
          <w:b/>
          <w:bCs/>
        </w:rPr>
        <w:t>Basis for opinion</w:t>
      </w:r>
    </w:p>
    <w:p w14:paraId="24AB2F1E" w14:textId="77777777" w:rsidR="00B77919" w:rsidRPr="00D5303F" w:rsidRDefault="00B77919" w:rsidP="00B77919">
      <w:pPr>
        <w:jc w:val="both"/>
        <w:rPr>
          <w:rFonts w:cs="Arial"/>
        </w:rPr>
      </w:pPr>
    </w:p>
    <w:p w14:paraId="563B613F" w14:textId="77777777" w:rsidR="00B77919" w:rsidRPr="00D5303F" w:rsidRDefault="00B77919" w:rsidP="00B77919">
      <w:pPr>
        <w:jc w:val="both"/>
        <w:rPr>
          <w:rFonts w:cs="Arial"/>
        </w:rPr>
      </w:pPr>
      <w:r w:rsidRPr="00D5303F">
        <w:rPr>
          <w:rFonts w:cs="Arial"/>
        </w:rPr>
        <w:t>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group and parent company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w:t>
      </w:r>
    </w:p>
    <w:p w14:paraId="3F0E9570" w14:textId="77777777" w:rsidR="00B77919" w:rsidRPr="00D5303F" w:rsidRDefault="00B77919" w:rsidP="00B77919">
      <w:pPr>
        <w:jc w:val="both"/>
        <w:rPr>
          <w:rFonts w:cs="Arial"/>
        </w:rPr>
      </w:pPr>
    </w:p>
    <w:p w14:paraId="2D87C494" w14:textId="77777777" w:rsidR="00B77919" w:rsidRPr="00D5303F" w:rsidRDefault="00B77919" w:rsidP="00B77919">
      <w:pPr>
        <w:jc w:val="both"/>
        <w:rPr>
          <w:rFonts w:cs="Arial"/>
          <w:b/>
        </w:rPr>
      </w:pPr>
      <w:r w:rsidRPr="00D5303F">
        <w:rPr>
          <w:rFonts w:cs="Arial"/>
          <w:b/>
          <w:color w:val="000000"/>
          <w:lang w:eastAsia="en-GB"/>
        </w:rPr>
        <w:t>Conclusions relating to going concern</w:t>
      </w:r>
    </w:p>
    <w:p w14:paraId="4C8D21E7" w14:textId="77777777" w:rsidR="00B77919" w:rsidRPr="00D5303F" w:rsidRDefault="00B77919" w:rsidP="00B77919">
      <w:pPr>
        <w:jc w:val="both"/>
        <w:rPr>
          <w:rFonts w:cs="Arial"/>
        </w:rPr>
      </w:pPr>
    </w:p>
    <w:p w14:paraId="5D5A8756" w14:textId="77777777" w:rsidR="00B77919" w:rsidRPr="00D5303F" w:rsidRDefault="00B77919" w:rsidP="00B77919">
      <w:pPr>
        <w:autoSpaceDE w:val="0"/>
        <w:autoSpaceDN w:val="0"/>
        <w:adjustRightInd w:val="0"/>
        <w:jc w:val="both"/>
        <w:rPr>
          <w:rFonts w:cs="Arial"/>
          <w:color w:val="000000"/>
          <w:lang w:eastAsia="en-GB"/>
        </w:rPr>
      </w:pPr>
      <w:r w:rsidRPr="00D5303F">
        <w:rPr>
          <w:rFonts w:cs="Arial"/>
          <w:color w:val="000000"/>
          <w:lang w:eastAsia="en-GB"/>
        </w:rPr>
        <w:t>In auditing the financial statements, we have concluded that the directors' use of the going concern basis of accounting in the preparation of the financial statements is appropriate.</w:t>
      </w:r>
    </w:p>
    <w:p w14:paraId="7506E813" w14:textId="77777777" w:rsidR="00B77919" w:rsidRPr="00D5303F" w:rsidRDefault="00B77919" w:rsidP="00B77919">
      <w:pPr>
        <w:autoSpaceDE w:val="0"/>
        <w:autoSpaceDN w:val="0"/>
        <w:adjustRightInd w:val="0"/>
        <w:jc w:val="both"/>
        <w:rPr>
          <w:rFonts w:cs="Arial"/>
          <w:color w:val="000000"/>
          <w:lang w:eastAsia="en-GB"/>
        </w:rPr>
      </w:pPr>
    </w:p>
    <w:p w14:paraId="25020815" w14:textId="77777777" w:rsidR="00B77919" w:rsidRPr="00D5303F" w:rsidRDefault="00B77919" w:rsidP="00B77919">
      <w:pPr>
        <w:autoSpaceDE w:val="0"/>
        <w:autoSpaceDN w:val="0"/>
        <w:adjustRightInd w:val="0"/>
        <w:jc w:val="both"/>
        <w:rPr>
          <w:rFonts w:cs="Arial"/>
          <w:color w:val="000000"/>
          <w:lang w:eastAsia="en-GB"/>
        </w:rPr>
      </w:pPr>
      <w:r w:rsidRPr="00D5303F">
        <w:rPr>
          <w:rFonts w:cs="Arial"/>
          <w:color w:val="000000"/>
          <w:lang w:eastAsia="en-GB"/>
        </w:rPr>
        <w:t>Based on the work we have performed, we have not identified any material uncertainties relating to events or conditions that, individually or collectively, may cast significant doubt on the group’s or the parent company's ability to continue as a going concern for a period of at least twelve months from when the financial statements are authorised for issue.</w:t>
      </w:r>
    </w:p>
    <w:p w14:paraId="59FCC5C0" w14:textId="77777777" w:rsidR="00B77919" w:rsidRPr="00D5303F" w:rsidRDefault="00B77919" w:rsidP="00B77919">
      <w:pPr>
        <w:autoSpaceDE w:val="0"/>
        <w:autoSpaceDN w:val="0"/>
        <w:adjustRightInd w:val="0"/>
        <w:jc w:val="both"/>
        <w:rPr>
          <w:rFonts w:cs="Arial"/>
          <w:color w:val="000000"/>
          <w:lang w:eastAsia="en-GB"/>
        </w:rPr>
      </w:pPr>
    </w:p>
    <w:p w14:paraId="513B3276" w14:textId="77777777" w:rsidR="00B77919" w:rsidRPr="00D5303F" w:rsidRDefault="00B77919" w:rsidP="00B77919">
      <w:pPr>
        <w:autoSpaceDE w:val="0"/>
        <w:autoSpaceDN w:val="0"/>
        <w:adjustRightInd w:val="0"/>
        <w:jc w:val="both"/>
        <w:rPr>
          <w:rFonts w:cs="Arial"/>
          <w:sz w:val="21"/>
          <w:szCs w:val="21"/>
          <w:lang w:eastAsia="en-GB"/>
        </w:rPr>
      </w:pPr>
      <w:r w:rsidRPr="00D5303F">
        <w:rPr>
          <w:rFonts w:cs="Arial"/>
          <w:color w:val="000000"/>
          <w:lang w:eastAsia="en-GB"/>
        </w:rPr>
        <w:t>Our responsibilities and the responsibilities of the directors with respect to going concern are described in the relevant sections of this report.</w:t>
      </w:r>
    </w:p>
    <w:p w14:paraId="670BBF4B" w14:textId="77777777" w:rsidR="00B77919" w:rsidRPr="00D5303F" w:rsidRDefault="00B77919" w:rsidP="00B77919">
      <w:pPr>
        <w:jc w:val="both"/>
        <w:rPr>
          <w:rFonts w:cs="Arial"/>
        </w:rPr>
      </w:pPr>
    </w:p>
    <w:p w14:paraId="48B685B3" w14:textId="77777777" w:rsidR="00B77919" w:rsidRPr="00D5303F" w:rsidRDefault="00B77919" w:rsidP="00B77919">
      <w:pPr>
        <w:jc w:val="both"/>
        <w:rPr>
          <w:rFonts w:cs="Arial"/>
          <w:b/>
          <w:bCs/>
        </w:rPr>
      </w:pPr>
      <w:r w:rsidRPr="00D5303F">
        <w:rPr>
          <w:rFonts w:cs="Arial"/>
          <w:b/>
          <w:bCs/>
        </w:rPr>
        <w:t>Other information</w:t>
      </w:r>
    </w:p>
    <w:p w14:paraId="1D33FB9F" w14:textId="77777777" w:rsidR="00B77919" w:rsidRPr="00D5303F" w:rsidRDefault="00B77919" w:rsidP="00B77919">
      <w:pPr>
        <w:jc w:val="both"/>
        <w:rPr>
          <w:rFonts w:cs="Arial"/>
        </w:rPr>
      </w:pPr>
    </w:p>
    <w:p w14:paraId="6E48C333" w14:textId="77777777" w:rsidR="00B77919" w:rsidRPr="00D5303F" w:rsidRDefault="00B77919" w:rsidP="00B77919">
      <w:pPr>
        <w:jc w:val="both"/>
        <w:rPr>
          <w:rFonts w:cs="Arial"/>
        </w:rPr>
      </w:pPr>
      <w:r w:rsidRPr="00D5303F">
        <w:rPr>
          <w:rFonts w:cs="Arial"/>
        </w:rPr>
        <w:t>The other information comprises the information included in the annual report other than the financial statements and our auditor's report thereon. The directors are responsible for the other information contained within the annual report. Our opinion on the financial statements does not cover the other information and, except to the extent otherwise explicitly stated in our report, we do not express any form of assurance conclusion thereon. Our responsibility is to read the other information and, in doing so, consider whether the other information is materially inconsistent with the financial statements or our knowledge obtained in the course of the audit, or otherwise appears to be materially misstated. If we identify such material inconsistencies or apparent material misstatements, we are required to determine whether this gives rise to a material misstatement in the financial statements themselves. If, based on the work we have performed, we conclude that there is a material misstatement of this other information, we are required to report that fact.</w:t>
      </w:r>
    </w:p>
    <w:p w14:paraId="78755D75" w14:textId="77777777" w:rsidR="00B77919" w:rsidRPr="00D5303F" w:rsidRDefault="00B77919" w:rsidP="00B77919">
      <w:pPr>
        <w:jc w:val="both"/>
        <w:rPr>
          <w:rFonts w:cs="Arial"/>
          <w:sz w:val="12"/>
          <w:szCs w:val="12"/>
        </w:rPr>
      </w:pPr>
    </w:p>
    <w:p w14:paraId="498F3AEE" w14:textId="77777777" w:rsidR="00B77919" w:rsidRPr="00D5303F" w:rsidRDefault="00B77919" w:rsidP="00B77919">
      <w:pPr>
        <w:rPr>
          <w:b/>
        </w:rPr>
      </w:pPr>
      <w:r w:rsidRPr="00D5303F">
        <w:rPr>
          <w:rFonts w:cs="Arial"/>
        </w:rPr>
        <w:t>We have nothing to report in this regard.</w:t>
      </w:r>
      <w:r w:rsidRPr="00D5303F">
        <w:rPr>
          <w:b/>
        </w:rPr>
        <w:t xml:space="preserve"> </w:t>
      </w:r>
    </w:p>
    <w:p w14:paraId="16D485D2" w14:textId="77777777" w:rsidR="00EB1281" w:rsidRPr="00D5303F" w:rsidRDefault="008F1379" w:rsidP="00EB4E1C">
      <w:pPr>
        <w:jc w:val="center"/>
        <w:rPr>
          <w:b/>
        </w:rPr>
      </w:pPr>
      <w:r w:rsidRPr="00C328EF">
        <w:rPr>
          <w:b/>
          <w:highlight w:val="yellow"/>
        </w:rPr>
        <w:br w:type="page"/>
      </w:r>
      <w:r w:rsidR="009A78BE" w:rsidRPr="00D5303F">
        <w:rPr>
          <w:b/>
        </w:rPr>
        <w:lastRenderedPageBreak/>
        <w:t>TRANSPORT FOR EDINBURGH LIMITED</w:t>
      </w:r>
    </w:p>
    <w:p w14:paraId="721E7618" w14:textId="77777777" w:rsidR="00EB1281" w:rsidRPr="00D5303F" w:rsidRDefault="00EB1281" w:rsidP="00EB1281">
      <w:pPr>
        <w:jc w:val="center"/>
        <w:rPr>
          <w:b/>
        </w:rPr>
      </w:pPr>
    </w:p>
    <w:p w14:paraId="15A56863" w14:textId="77777777" w:rsidR="00EB1281" w:rsidRPr="00D5303F" w:rsidRDefault="00EB1281" w:rsidP="00EB1281">
      <w:pPr>
        <w:jc w:val="center"/>
        <w:rPr>
          <w:b/>
        </w:rPr>
      </w:pPr>
      <w:r w:rsidRPr="00D5303F">
        <w:rPr>
          <w:rFonts w:cs="Arial"/>
          <w:b/>
        </w:rPr>
        <w:t xml:space="preserve">Independent </w:t>
      </w:r>
      <w:r w:rsidR="006F15C9" w:rsidRPr="00D5303F">
        <w:rPr>
          <w:rFonts w:cs="Arial"/>
          <w:b/>
        </w:rPr>
        <w:t>A</w:t>
      </w:r>
      <w:r w:rsidR="002D54D6" w:rsidRPr="00D5303F">
        <w:rPr>
          <w:rFonts w:cs="Arial"/>
          <w:b/>
        </w:rPr>
        <w:t>uditor’s</w:t>
      </w:r>
      <w:r w:rsidRPr="00D5303F">
        <w:rPr>
          <w:rFonts w:cs="Arial"/>
          <w:b/>
        </w:rPr>
        <w:t xml:space="preserve"> </w:t>
      </w:r>
      <w:r w:rsidR="006F15C9" w:rsidRPr="00D5303F">
        <w:rPr>
          <w:rFonts w:cs="Arial"/>
          <w:b/>
        </w:rPr>
        <w:t>R</w:t>
      </w:r>
      <w:r w:rsidRPr="00D5303F">
        <w:rPr>
          <w:rFonts w:cs="Arial"/>
          <w:b/>
        </w:rPr>
        <w:t xml:space="preserve">eport to the </w:t>
      </w:r>
      <w:r w:rsidR="006F15C9" w:rsidRPr="00D5303F">
        <w:rPr>
          <w:rFonts w:cs="Arial"/>
          <w:b/>
        </w:rPr>
        <w:t>M</w:t>
      </w:r>
      <w:r w:rsidRPr="00D5303F">
        <w:rPr>
          <w:rFonts w:cs="Arial"/>
          <w:b/>
        </w:rPr>
        <w:t xml:space="preserve">embers of </w:t>
      </w:r>
      <w:r w:rsidR="009A78BE" w:rsidRPr="00D5303F">
        <w:rPr>
          <w:b/>
        </w:rPr>
        <w:t>Transport for Edinburgh</w:t>
      </w:r>
      <w:r w:rsidR="0018563C" w:rsidRPr="00D5303F">
        <w:rPr>
          <w:b/>
        </w:rPr>
        <w:t xml:space="preserve"> Limited</w:t>
      </w:r>
      <w:r w:rsidR="00B97680" w:rsidRPr="00D5303F">
        <w:rPr>
          <w:b/>
        </w:rPr>
        <w:t xml:space="preserve"> (</w:t>
      </w:r>
      <w:r w:rsidRPr="00D5303F">
        <w:rPr>
          <w:b/>
        </w:rPr>
        <w:t>continued</w:t>
      </w:r>
      <w:r w:rsidR="00B97680" w:rsidRPr="00D5303F">
        <w:rPr>
          <w:b/>
        </w:rPr>
        <w:t>)</w:t>
      </w:r>
    </w:p>
    <w:p w14:paraId="05A26693" w14:textId="77777777" w:rsidR="00EB1281" w:rsidRPr="00D5303F" w:rsidRDefault="00EB1281" w:rsidP="00EB1281">
      <w:pPr>
        <w:jc w:val="center"/>
        <w:rPr>
          <w:b/>
        </w:rPr>
      </w:pPr>
    </w:p>
    <w:p w14:paraId="4245C941" w14:textId="77777777" w:rsidR="00D72D78" w:rsidRPr="00D5303F" w:rsidRDefault="00D90B89" w:rsidP="00D72D78">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0A4690C4" w14:textId="77777777" w:rsidR="00FF0B85" w:rsidRPr="00D5303F" w:rsidRDefault="00FF0B85" w:rsidP="00554B5B">
      <w:pPr>
        <w:rPr>
          <w:rFonts w:cs="Arial"/>
          <w:b/>
        </w:rPr>
      </w:pPr>
    </w:p>
    <w:p w14:paraId="502C73FD" w14:textId="77777777" w:rsidR="00B77919" w:rsidRPr="00D5303F" w:rsidRDefault="00B77919" w:rsidP="00B77919">
      <w:pPr>
        <w:jc w:val="both"/>
        <w:rPr>
          <w:rFonts w:cs="Arial"/>
          <w:b/>
          <w:bCs/>
          <w:lang w:eastAsia="en-GB"/>
        </w:rPr>
      </w:pPr>
      <w:r w:rsidRPr="00D5303F">
        <w:rPr>
          <w:rFonts w:cs="Arial"/>
          <w:b/>
          <w:bCs/>
        </w:rPr>
        <w:t>Opinions on other matters prescribed by the Companies Act 2006</w:t>
      </w:r>
    </w:p>
    <w:p w14:paraId="546A8102" w14:textId="77777777" w:rsidR="00B77919" w:rsidRPr="00D5303F" w:rsidRDefault="00B77919" w:rsidP="00B77919">
      <w:pPr>
        <w:jc w:val="both"/>
        <w:rPr>
          <w:rFonts w:cs="Arial"/>
        </w:rPr>
      </w:pPr>
    </w:p>
    <w:p w14:paraId="14E40A3D" w14:textId="77777777" w:rsidR="00B77919" w:rsidRPr="00D5303F" w:rsidRDefault="00B77919" w:rsidP="00B77919">
      <w:pPr>
        <w:jc w:val="both"/>
        <w:rPr>
          <w:rFonts w:cs="Arial"/>
        </w:rPr>
      </w:pPr>
      <w:r w:rsidRPr="00D5303F">
        <w:rPr>
          <w:rFonts w:cs="Arial"/>
        </w:rPr>
        <w:t>In our opinion, based on the work undertaken in the course of our audit:</w:t>
      </w:r>
    </w:p>
    <w:p w14:paraId="0B6977D7" w14:textId="77777777" w:rsidR="00B77919" w:rsidRPr="00D5303F" w:rsidRDefault="00B77919" w:rsidP="00B77919">
      <w:pPr>
        <w:jc w:val="both"/>
        <w:rPr>
          <w:rFonts w:cs="Arial"/>
        </w:rPr>
      </w:pPr>
    </w:p>
    <w:p w14:paraId="682736FD" w14:textId="77777777" w:rsidR="00B77919" w:rsidRPr="00D5303F" w:rsidRDefault="00B77919" w:rsidP="00A5227C">
      <w:pPr>
        <w:numPr>
          <w:ilvl w:val="0"/>
          <w:numId w:val="27"/>
        </w:numPr>
        <w:ind w:left="417"/>
        <w:contextualSpacing/>
        <w:jc w:val="both"/>
        <w:rPr>
          <w:rFonts w:cs="Arial"/>
        </w:rPr>
      </w:pPr>
      <w:r w:rsidRPr="00D5303F">
        <w:rPr>
          <w:rFonts w:cs="Arial"/>
        </w:rPr>
        <w:t xml:space="preserve">the information given in the Strategic Report, the Corporate Governance Report and the Directors’ Report for the financial </w:t>
      </w:r>
      <w:r>
        <w:rPr>
          <w:rFonts w:cs="Arial"/>
        </w:rPr>
        <w:t>period</w:t>
      </w:r>
      <w:r w:rsidRPr="00D5303F">
        <w:rPr>
          <w:rFonts w:cs="Arial"/>
        </w:rPr>
        <w:t xml:space="preserve"> for which the financial statements are prepared is consistent with the financial statements; and</w:t>
      </w:r>
    </w:p>
    <w:p w14:paraId="4375777A" w14:textId="77777777" w:rsidR="00B77919" w:rsidRPr="00D5303F" w:rsidRDefault="00B77919" w:rsidP="00A5227C">
      <w:pPr>
        <w:numPr>
          <w:ilvl w:val="0"/>
          <w:numId w:val="27"/>
        </w:numPr>
        <w:ind w:left="417"/>
        <w:contextualSpacing/>
        <w:jc w:val="both"/>
        <w:rPr>
          <w:rFonts w:cs="Arial"/>
        </w:rPr>
      </w:pPr>
      <w:r w:rsidRPr="00D5303F">
        <w:rPr>
          <w:rFonts w:cs="Arial"/>
        </w:rPr>
        <w:t>the Strategic Report and the Directors' Report have been prepared in accordance with applicable legal requirements.</w:t>
      </w:r>
    </w:p>
    <w:p w14:paraId="0C756EEC" w14:textId="77777777" w:rsidR="00B77919" w:rsidRPr="00D5303F" w:rsidRDefault="00B77919" w:rsidP="00B77919">
      <w:pPr>
        <w:jc w:val="both"/>
        <w:rPr>
          <w:rFonts w:cs="Arial"/>
        </w:rPr>
      </w:pPr>
    </w:p>
    <w:p w14:paraId="102D00EB" w14:textId="77777777" w:rsidR="00B77919" w:rsidRPr="00D5303F" w:rsidRDefault="00B77919" w:rsidP="00B77919">
      <w:pPr>
        <w:jc w:val="both"/>
        <w:rPr>
          <w:rFonts w:cs="Arial"/>
          <w:b/>
          <w:bCs/>
        </w:rPr>
      </w:pPr>
      <w:r w:rsidRPr="00D5303F">
        <w:rPr>
          <w:rFonts w:cs="Arial"/>
          <w:b/>
          <w:bCs/>
        </w:rPr>
        <w:t>Matters on which we are required to report by exception</w:t>
      </w:r>
    </w:p>
    <w:p w14:paraId="2988FF27" w14:textId="77777777" w:rsidR="00B77919" w:rsidRPr="00D5303F" w:rsidRDefault="00B77919" w:rsidP="00B77919">
      <w:pPr>
        <w:jc w:val="both"/>
        <w:rPr>
          <w:rFonts w:cs="Arial"/>
        </w:rPr>
      </w:pPr>
    </w:p>
    <w:p w14:paraId="07B15576" w14:textId="77777777" w:rsidR="00B77919" w:rsidRPr="00D5303F" w:rsidRDefault="00B77919" w:rsidP="00B77919">
      <w:pPr>
        <w:jc w:val="both"/>
        <w:rPr>
          <w:rFonts w:cs="Arial"/>
        </w:rPr>
      </w:pPr>
      <w:r w:rsidRPr="00D5303F">
        <w:rPr>
          <w:rFonts w:cs="Arial"/>
        </w:rPr>
        <w:t>In the light of the knowledge and understanding of the group and the parent company and their environment obtained in the course of the audit, we have not identified material misstatements in the strategic report and the directors' report.</w:t>
      </w:r>
    </w:p>
    <w:p w14:paraId="39283EA0" w14:textId="77777777" w:rsidR="00B77919" w:rsidRPr="00D5303F" w:rsidRDefault="00B77919" w:rsidP="00B77919">
      <w:pPr>
        <w:jc w:val="both"/>
        <w:rPr>
          <w:rFonts w:cs="Arial"/>
        </w:rPr>
      </w:pPr>
    </w:p>
    <w:p w14:paraId="57F740C9" w14:textId="77777777" w:rsidR="00B77919" w:rsidRPr="00D5303F" w:rsidRDefault="00B77919" w:rsidP="00B77919">
      <w:pPr>
        <w:jc w:val="both"/>
        <w:rPr>
          <w:rFonts w:cs="Arial"/>
        </w:rPr>
      </w:pPr>
      <w:r w:rsidRPr="00D5303F">
        <w:rPr>
          <w:rFonts w:cs="Arial"/>
        </w:rPr>
        <w:t>We have nothing to report in respect of the following matters where the Companies Act 2006 requires us to report to you if, in our opinion:</w:t>
      </w:r>
    </w:p>
    <w:p w14:paraId="437D55DB" w14:textId="77777777" w:rsidR="00B77919" w:rsidRPr="00D5303F" w:rsidRDefault="00B77919" w:rsidP="00B77919">
      <w:pPr>
        <w:jc w:val="both"/>
        <w:rPr>
          <w:rFonts w:cs="Arial"/>
        </w:rPr>
      </w:pPr>
    </w:p>
    <w:p w14:paraId="3A538F8C" w14:textId="77777777" w:rsidR="00B77919" w:rsidRPr="00D5303F" w:rsidRDefault="00B77919" w:rsidP="00A5227C">
      <w:pPr>
        <w:numPr>
          <w:ilvl w:val="0"/>
          <w:numId w:val="28"/>
        </w:numPr>
        <w:ind w:left="417"/>
        <w:contextualSpacing/>
        <w:jc w:val="both"/>
        <w:rPr>
          <w:rFonts w:cs="Arial"/>
        </w:rPr>
      </w:pPr>
      <w:r w:rsidRPr="00D5303F">
        <w:rPr>
          <w:rFonts w:cs="Arial"/>
        </w:rPr>
        <w:t>adequate accounting records have not been kept, or returns adequate for our audit have not been received from branches not visited by us; or</w:t>
      </w:r>
    </w:p>
    <w:p w14:paraId="32B6B14C" w14:textId="77777777" w:rsidR="00B77919" w:rsidRPr="00D5303F" w:rsidRDefault="00B77919" w:rsidP="00A5227C">
      <w:pPr>
        <w:numPr>
          <w:ilvl w:val="0"/>
          <w:numId w:val="28"/>
        </w:numPr>
        <w:ind w:left="417"/>
        <w:contextualSpacing/>
        <w:jc w:val="both"/>
        <w:rPr>
          <w:rFonts w:cs="Arial"/>
        </w:rPr>
      </w:pPr>
      <w:r w:rsidRPr="00D5303F">
        <w:rPr>
          <w:rFonts w:cs="Arial"/>
        </w:rPr>
        <w:t>the parent company financial statements are not in agreement with the accounting records and returns; or</w:t>
      </w:r>
    </w:p>
    <w:p w14:paraId="25BC765F" w14:textId="77777777" w:rsidR="00B77919" w:rsidRPr="00D5303F" w:rsidRDefault="00B77919" w:rsidP="00A5227C">
      <w:pPr>
        <w:numPr>
          <w:ilvl w:val="0"/>
          <w:numId w:val="28"/>
        </w:numPr>
        <w:ind w:left="417"/>
        <w:contextualSpacing/>
        <w:jc w:val="both"/>
        <w:rPr>
          <w:rFonts w:cs="Arial"/>
        </w:rPr>
      </w:pPr>
      <w:r w:rsidRPr="00D5303F">
        <w:rPr>
          <w:rFonts w:cs="Arial"/>
        </w:rPr>
        <w:t>certain disclosures of directors' remuneration specified by law are not made; or</w:t>
      </w:r>
    </w:p>
    <w:p w14:paraId="4A15D21C" w14:textId="77777777" w:rsidR="00B77919" w:rsidRPr="00D5303F" w:rsidRDefault="00B77919" w:rsidP="00A5227C">
      <w:pPr>
        <w:numPr>
          <w:ilvl w:val="0"/>
          <w:numId w:val="28"/>
        </w:numPr>
        <w:ind w:left="417"/>
        <w:contextualSpacing/>
        <w:jc w:val="both"/>
        <w:rPr>
          <w:rFonts w:cs="Arial"/>
        </w:rPr>
      </w:pPr>
      <w:r w:rsidRPr="00D5303F">
        <w:rPr>
          <w:rFonts w:cs="Arial"/>
        </w:rPr>
        <w:t>we have not received all the information and explanations we require for our audit.</w:t>
      </w:r>
    </w:p>
    <w:p w14:paraId="422A4D78" w14:textId="77777777" w:rsidR="00B77919" w:rsidRPr="00D5303F" w:rsidRDefault="00B77919" w:rsidP="00B77919">
      <w:pPr>
        <w:jc w:val="both"/>
        <w:rPr>
          <w:rFonts w:cs="Arial"/>
        </w:rPr>
      </w:pPr>
    </w:p>
    <w:p w14:paraId="6BEAD181" w14:textId="77777777" w:rsidR="00B77919" w:rsidRPr="00D5303F" w:rsidRDefault="00B77919" w:rsidP="00B77919">
      <w:pPr>
        <w:jc w:val="both"/>
        <w:rPr>
          <w:rFonts w:cs="Arial"/>
          <w:b/>
          <w:bCs/>
        </w:rPr>
      </w:pPr>
      <w:r w:rsidRPr="00D5303F">
        <w:rPr>
          <w:rFonts w:cs="Arial"/>
          <w:b/>
          <w:bCs/>
        </w:rPr>
        <w:t>Responsibilities of directors</w:t>
      </w:r>
    </w:p>
    <w:p w14:paraId="2A7424B2" w14:textId="77777777" w:rsidR="00B77919" w:rsidRPr="00C328EF" w:rsidRDefault="00B77919" w:rsidP="00B77919">
      <w:pPr>
        <w:jc w:val="both"/>
        <w:rPr>
          <w:rFonts w:cs="Arial"/>
          <w:b/>
          <w:bCs/>
          <w:highlight w:val="yellow"/>
        </w:rPr>
      </w:pPr>
    </w:p>
    <w:p w14:paraId="44B08A9E" w14:textId="77777777" w:rsidR="00B77919" w:rsidRPr="00D5303F" w:rsidRDefault="00B77919" w:rsidP="00B77919">
      <w:pPr>
        <w:jc w:val="both"/>
        <w:rPr>
          <w:rFonts w:cs="Arial"/>
        </w:rPr>
      </w:pPr>
      <w:r w:rsidRPr="00D5303F">
        <w:rPr>
          <w:rFonts w:cs="Arial"/>
        </w:rPr>
        <w:t>As explained more fully in the directors' responsibilities statement</w:t>
      </w:r>
      <w:r w:rsidRPr="005E1241">
        <w:rPr>
          <w:rFonts w:cs="Arial"/>
        </w:rPr>
        <w:t>, the</w:t>
      </w:r>
      <w:r w:rsidRPr="00D5303F">
        <w:rPr>
          <w:rFonts w:cs="Arial"/>
        </w:rPr>
        <w:t xml:space="preserve"> directors are responsible for the preparation of the financial statements and for being satisfied that they give a true and fair view, and for such internal control as the directors determine is necessary to enable the preparation of financial statements that are free from material misstatement, whether due to fraud or error.</w:t>
      </w:r>
    </w:p>
    <w:p w14:paraId="43C2B3F4" w14:textId="77777777" w:rsidR="00B77919" w:rsidRPr="00D5303F" w:rsidRDefault="00B77919" w:rsidP="00B77919">
      <w:pPr>
        <w:jc w:val="both"/>
        <w:rPr>
          <w:rFonts w:cs="Arial"/>
        </w:rPr>
      </w:pPr>
    </w:p>
    <w:p w14:paraId="1F7E6857" w14:textId="77777777" w:rsidR="00B77919" w:rsidRPr="00D5303F" w:rsidRDefault="00B77919" w:rsidP="00B77919">
      <w:pPr>
        <w:jc w:val="both"/>
        <w:rPr>
          <w:rFonts w:cs="Arial"/>
        </w:rPr>
      </w:pPr>
      <w:r w:rsidRPr="00D5303F">
        <w:rPr>
          <w:rFonts w:cs="Arial"/>
        </w:rPr>
        <w:t>In preparing the financial statements, the directors are responsible for assessing the group and parent company's ability to continue as a going concern, disclosing, as applicable, matters related to going concern and using the going concern basis of accounting unless the directors either intend to liquidate the group or the parent company or to cease operations, or have no realistic alternative but to do so.</w:t>
      </w:r>
    </w:p>
    <w:p w14:paraId="4F759D22" w14:textId="77777777" w:rsidR="00B77919" w:rsidRPr="00D5303F" w:rsidRDefault="00B77919" w:rsidP="00B77919">
      <w:pPr>
        <w:jc w:val="both"/>
        <w:rPr>
          <w:rFonts w:cs="Arial"/>
        </w:rPr>
      </w:pPr>
    </w:p>
    <w:p w14:paraId="6E19FEC9" w14:textId="77777777" w:rsidR="00B77919" w:rsidRPr="00D5303F" w:rsidRDefault="00B77919" w:rsidP="00B77919">
      <w:pPr>
        <w:jc w:val="both"/>
        <w:rPr>
          <w:rFonts w:cs="Arial"/>
          <w:b/>
          <w:bCs/>
        </w:rPr>
      </w:pPr>
      <w:r w:rsidRPr="00D5303F">
        <w:rPr>
          <w:rFonts w:cs="Arial"/>
          <w:b/>
          <w:bCs/>
        </w:rPr>
        <w:t>Auditor's responsibilities for the audit of the financial statements</w:t>
      </w:r>
    </w:p>
    <w:p w14:paraId="76505243" w14:textId="77777777" w:rsidR="00B77919" w:rsidRPr="00D5303F" w:rsidRDefault="00B77919" w:rsidP="00B77919">
      <w:pPr>
        <w:jc w:val="both"/>
        <w:rPr>
          <w:rFonts w:cs="Arial"/>
          <w:b/>
          <w:bCs/>
        </w:rPr>
      </w:pPr>
    </w:p>
    <w:p w14:paraId="0270CE41" w14:textId="77777777" w:rsidR="00B77919" w:rsidRPr="00D5303F" w:rsidRDefault="00B77919" w:rsidP="00B77919">
      <w:pPr>
        <w:jc w:val="both"/>
        <w:rPr>
          <w:rFonts w:cs="Arial"/>
        </w:rPr>
      </w:pPr>
      <w:r w:rsidRPr="00D5303F">
        <w:rPr>
          <w:rFonts w:cs="Arial"/>
        </w:rP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3CA5351B" w14:textId="77777777" w:rsidR="00B77919" w:rsidRPr="00D5303F" w:rsidRDefault="00B77919" w:rsidP="00B77919">
      <w:pPr>
        <w:jc w:val="both"/>
        <w:rPr>
          <w:rFonts w:cs="Arial"/>
        </w:rPr>
      </w:pPr>
    </w:p>
    <w:p w14:paraId="28F32E12" w14:textId="77777777" w:rsidR="00B77919" w:rsidRPr="00D5303F" w:rsidRDefault="00B77919" w:rsidP="00B77919">
      <w:pPr>
        <w:jc w:val="both"/>
        <w:rPr>
          <w:rFonts w:cs="Arial"/>
        </w:rPr>
      </w:pPr>
      <w:r w:rsidRPr="00D5303F">
        <w:rPr>
          <w:rFonts w:cs="Arial"/>
        </w:rPr>
        <w:t>A further description of our responsibilities is available on the Financial Reporting Council’s website at: https://www.frc.org.uk/auditorsresponsibilities. This description forms part of our auditor's report.</w:t>
      </w:r>
    </w:p>
    <w:p w14:paraId="143B2A2E" w14:textId="77777777" w:rsidR="008E0FA6" w:rsidRPr="00D5303F" w:rsidRDefault="008E0FA6" w:rsidP="003C76B1">
      <w:pPr>
        <w:jc w:val="both"/>
        <w:rPr>
          <w:rFonts w:cs="Arial"/>
        </w:rPr>
      </w:pPr>
    </w:p>
    <w:p w14:paraId="3CCDDEAF" w14:textId="77777777" w:rsidR="00EB4E1C" w:rsidRPr="00D5303F" w:rsidRDefault="003C76B1" w:rsidP="003C76B1">
      <w:pPr>
        <w:jc w:val="center"/>
        <w:rPr>
          <w:b/>
        </w:rPr>
      </w:pPr>
      <w:r w:rsidRPr="00C328EF">
        <w:rPr>
          <w:rFonts w:cs="Arial"/>
          <w:highlight w:val="yellow"/>
        </w:rPr>
        <w:br w:type="page"/>
      </w:r>
      <w:r w:rsidR="00EB4E1C" w:rsidRPr="00D5303F">
        <w:rPr>
          <w:b/>
        </w:rPr>
        <w:lastRenderedPageBreak/>
        <w:t>TRANSPORT FOR EDINBURGH LIMITED</w:t>
      </w:r>
    </w:p>
    <w:p w14:paraId="40E4AD5A" w14:textId="77777777" w:rsidR="00EB4E1C" w:rsidRPr="00D5303F" w:rsidRDefault="00EB4E1C" w:rsidP="00EB4E1C">
      <w:pPr>
        <w:jc w:val="center"/>
        <w:rPr>
          <w:b/>
        </w:rPr>
      </w:pPr>
    </w:p>
    <w:p w14:paraId="1FDB1E01" w14:textId="77777777" w:rsidR="00EB4E1C" w:rsidRPr="00D5303F" w:rsidRDefault="00EB4E1C" w:rsidP="00EB4E1C">
      <w:pPr>
        <w:jc w:val="center"/>
        <w:rPr>
          <w:b/>
        </w:rPr>
      </w:pPr>
      <w:r w:rsidRPr="00D5303F">
        <w:rPr>
          <w:rFonts w:cs="Arial"/>
          <w:b/>
        </w:rPr>
        <w:t xml:space="preserve">Independent Auditor’s Report to the Members of </w:t>
      </w:r>
      <w:r w:rsidRPr="00D5303F">
        <w:rPr>
          <w:b/>
        </w:rPr>
        <w:t>Transport for Edinburgh Limited (continued)</w:t>
      </w:r>
    </w:p>
    <w:p w14:paraId="341ACAB4" w14:textId="77777777" w:rsidR="00EB4E1C" w:rsidRPr="00D5303F" w:rsidRDefault="00EB4E1C" w:rsidP="00EB4E1C">
      <w:pPr>
        <w:jc w:val="center"/>
        <w:rPr>
          <w:b/>
        </w:rPr>
      </w:pPr>
    </w:p>
    <w:p w14:paraId="02DF3A07" w14:textId="77777777" w:rsidR="00EB4E1C" w:rsidRPr="00D5303F" w:rsidRDefault="00D90B89" w:rsidP="00EB4E1C">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48C1E1D4" w14:textId="77777777" w:rsidR="00EB4E1C" w:rsidRPr="00D5303F" w:rsidRDefault="00EB4E1C" w:rsidP="00EB4E1C">
      <w:pPr>
        <w:tabs>
          <w:tab w:val="right" w:pos="9072"/>
        </w:tabs>
        <w:rPr>
          <w:rFonts w:cs="Arial"/>
        </w:rPr>
      </w:pPr>
    </w:p>
    <w:p w14:paraId="51016034" w14:textId="77777777" w:rsidR="00B77919" w:rsidRPr="00D5303F" w:rsidRDefault="00B77919" w:rsidP="00B77919">
      <w:pPr>
        <w:jc w:val="both"/>
        <w:rPr>
          <w:rFonts w:cs="Arial"/>
          <w:b/>
          <w:bCs/>
          <w:lang w:eastAsia="en-GB"/>
        </w:rPr>
      </w:pPr>
      <w:r w:rsidRPr="00D5303F">
        <w:rPr>
          <w:rFonts w:cs="Arial"/>
          <w:b/>
          <w:bCs/>
        </w:rPr>
        <w:t>Extent to which the audit was considered capable of detecting irregularities, including fraud</w:t>
      </w:r>
    </w:p>
    <w:p w14:paraId="3CD481BC" w14:textId="77777777" w:rsidR="00B77919" w:rsidRPr="00D5303F" w:rsidRDefault="00B77919" w:rsidP="00B77919">
      <w:pPr>
        <w:jc w:val="both"/>
        <w:rPr>
          <w:rFonts w:cs="Arial"/>
        </w:rPr>
      </w:pPr>
    </w:p>
    <w:p w14:paraId="3F81D0C7" w14:textId="77777777" w:rsidR="00B77919" w:rsidRPr="00D5303F" w:rsidRDefault="00B77919" w:rsidP="00B77919">
      <w:pPr>
        <w:jc w:val="both"/>
        <w:rPr>
          <w:rFonts w:cs="Arial"/>
        </w:rPr>
      </w:pPr>
      <w:r w:rsidRPr="00D5303F">
        <w:rPr>
          <w:rFonts w:cs="Arial"/>
        </w:rPr>
        <w:t>Irregularities, including fraud, are instances of non-compliance with laws and regulations. We design procedures in line with our responsibilities, outlined above and on the Financial Reporting Council’s website, to detect material misstatements in respect of irregularities, including fraud.</w:t>
      </w:r>
    </w:p>
    <w:p w14:paraId="72334712" w14:textId="77777777" w:rsidR="00B77919" w:rsidRPr="00D5303F" w:rsidRDefault="00B77919" w:rsidP="00B77919">
      <w:pPr>
        <w:jc w:val="both"/>
        <w:rPr>
          <w:rFonts w:cs="Arial"/>
        </w:rPr>
      </w:pPr>
    </w:p>
    <w:p w14:paraId="343A6325" w14:textId="77777777" w:rsidR="00B77919" w:rsidRPr="00D5303F" w:rsidRDefault="00B77919" w:rsidP="00B77919">
      <w:pPr>
        <w:jc w:val="both"/>
        <w:rPr>
          <w:rFonts w:cs="Arial"/>
        </w:rPr>
      </w:pPr>
      <w:r w:rsidRPr="00D5303F">
        <w:rPr>
          <w:rFonts w:cs="Arial"/>
        </w:rPr>
        <w:t>We obtain and update our understanding of the entity, its activities, its control environment, and likely future developments, including in relation to the legal and regulatory framework applicable and how the entity is complying with that framework. Based on this understanding, we identify and assess the risks of material misstatement of the financial statements, whether due to fraud or error, design and perform audit procedures responsive to those risks, and obtain audit evidence that is sufficient and appropriate to provide a basis for our opinion. This includes consideration of the risk of acts by the entity that were contrary to applicable laws and regulations, including fraud.</w:t>
      </w:r>
    </w:p>
    <w:p w14:paraId="3EFA419B" w14:textId="77777777" w:rsidR="00B77919" w:rsidRPr="00D5303F" w:rsidRDefault="00B77919" w:rsidP="00B77919">
      <w:pPr>
        <w:jc w:val="both"/>
        <w:rPr>
          <w:rFonts w:cs="Arial"/>
        </w:rPr>
      </w:pPr>
    </w:p>
    <w:p w14:paraId="21B3B5DF" w14:textId="77777777" w:rsidR="00B77919" w:rsidRPr="00D5303F" w:rsidRDefault="00B77919" w:rsidP="00B77919">
      <w:pPr>
        <w:jc w:val="both"/>
        <w:rPr>
          <w:rFonts w:cs="Arial"/>
        </w:rPr>
      </w:pPr>
      <w:r w:rsidRPr="00D5303F">
        <w:rPr>
          <w:rFonts w:cs="Arial"/>
        </w:rPr>
        <w:t>In response to the risk of irregularities and non-compliance with laws and regulations, including fraud, we designed procedures which included:</w:t>
      </w:r>
    </w:p>
    <w:p w14:paraId="0654E855" w14:textId="77777777" w:rsidR="00B77919" w:rsidRPr="00D5303F" w:rsidRDefault="00B77919" w:rsidP="00B77919">
      <w:pPr>
        <w:jc w:val="both"/>
        <w:rPr>
          <w:rFonts w:cs="Arial"/>
        </w:rPr>
      </w:pPr>
    </w:p>
    <w:p w14:paraId="0261C0D3" w14:textId="77777777" w:rsidR="00B77919" w:rsidRPr="00D5303F" w:rsidRDefault="00B77919" w:rsidP="00A5227C">
      <w:pPr>
        <w:numPr>
          <w:ilvl w:val="0"/>
          <w:numId w:val="29"/>
        </w:numPr>
        <w:ind w:left="417"/>
        <w:contextualSpacing/>
        <w:jc w:val="both"/>
        <w:rPr>
          <w:rFonts w:cs="Arial"/>
        </w:rPr>
      </w:pPr>
      <w:r w:rsidRPr="00D5303F">
        <w:rPr>
          <w:rFonts w:cs="Arial"/>
        </w:rPr>
        <w:t xml:space="preserve">Enquiry of management </w:t>
      </w:r>
      <w:r>
        <w:rPr>
          <w:rFonts w:cs="Arial"/>
        </w:rPr>
        <w:t xml:space="preserve">around </w:t>
      </w:r>
      <w:r w:rsidRPr="00D5303F">
        <w:rPr>
          <w:rFonts w:cs="Arial"/>
        </w:rPr>
        <w:t xml:space="preserve">actual and potential litigation and claims as well as actual, suspected and alleged fraud; </w:t>
      </w:r>
    </w:p>
    <w:p w14:paraId="7B2F1E1D" w14:textId="77777777" w:rsidR="00B77919" w:rsidRPr="00D5303F" w:rsidRDefault="00B77919" w:rsidP="00A5227C">
      <w:pPr>
        <w:numPr>
          <w:ilvl w:val="0"/>
          <w:numId w:val="29"/>
        </w:numPr>
        <w:ind w:left="417"/>
        <w:contextualSpacing/>
        <w:jc w:val="both"/>
        <w:rPr>
          <w:rFonts w:cs="Arial"/>
        </w:rPr>
      </w:pPr>
      <w:r w:rsidRPr="00D5303F">
        <w:rPr>
          <w:rFonts w:cs="Arial"/>
        </w:rPr>
        <w:t>Reviewing minutes of meetings of those charged with governance;</w:t>
      </w:r>
    </w:p>
    <w:p w14:paraId="59A338F8" w14:textId="77777777" w:rsidR="00B77919" w:rsidRPr="00D5303F" w:rsidRDefault="00B77919" w:rsidP="00A5227C">
      <w:pPr>
        <w:numPr>
          <w:ilvl w:val="0"/>
          <w:numId w:val="29"/>
        </w:numPr>
        <w:ind w:left="417"/>
        <w:contextualSpacing/>
        <w:jc w:val="both"/>
        <w:rPr>
          <w:rFonts w:cs="Arial"/>
        </w:rPr>
      </w:pPr>
      <w:r w:rsidRPr="00D5303F">
        <w:rPr>
          <w:rFonts w:cs="Arial"/>
        </w:rPr>
        <w:t xml:space="preserve">Assessing the extent of compliance with the laws and regulations considered to have a direct material effect on the financial statements or the operations of the </w:t>
      </w:r>
      <w:r>
        <w:rPr>
          <w:rFonts w:cs="Arial"/>
        </w:rPr>
        <w:t xml:space="preserve">group and parent </w:t>
      </w:r>
      <w:r w:rsidRPr="00D5303F">
        <w:rPr>
          <w:rFonts w:cs="Arial"/>
        </w:rPr>
        <w:t xml:space="preserve">company through enquiry and inspection; </w:t>
      </w:r>
    </w:p>
    <w:p w14:paraId="65CD6B5E" w14:textId="77777777" w:rsidR="00B77919" w:rsidRPr="00D5303F" w:rsidRDefault="00B77919" w:rsidP="00A5227C">
      <w:pPr>
        <w:numPr>
          <w:ilvl w:val="0"/>
          <w:numId w:val="29"/>
        </w:numPr>
        <w:ind w:left="417"/>
        <w:contextualSpacing/>
        <w:jc w:val="both"/>
        <w:rPr>
          <w:rFonts w:cs="Arial"/>
        </w:rPr>
      </w:pPr>
      <w:r w:rsidRPr="00D5303F">
        <w:rPr>
          <w:rFonts w:cs="Arial"/>
        </w:rPr>
        <w:t>Reviewing financial statement disclosures and testing to supporting documentation to assess compliance with applicable laws and regulations;</w:t>
      </w:r>
      <w:r>
        <w:rPr>
          <w:rFonts w:cs="Arial"/>
        </w:rPr>
        <w:t xml:space="preserve"> and</w:t>
      </w:r>
    </w:p>
    <w:p w14:paraId="149CD6DC" w14:textId="77777777" w:rsidR="00B77919" w:rsidRPr="00D5303F" w:rsidRDefault="00B77919" w:rsidP="00A5227C">
      <w:pPr>
        <w:numPr>
          <w:ilvl w:val="0"/>
          <w:numId w:val="29"/>
        </w:numPr>
        <w:ind w:left="417"/>
        <w:contextualSpacing/>
        <w:jc w:val="both"/>
        <w:rPr>
          <w:rFonts w:cs="Arial"/>
        </w:rPr>
      </w:pPr>
      <w:r w:rsidRPr="00D5303F">
        <w:rPr>
          <w:rFonts w:cs="Arial"/>
        </w:rPr>
        <w:t xml:space="preserve">Performing audit work over the risk of management bias and override of controls, including testing of journal entries and other adjustments for appropriateness, evaluating the business rationale of significant transactions outside the normal course of business and reviewing accounting estimates for indicators of potential bias. </w:t>
      </w:r>
    </w:p>
    <w:p w14:paraId="5FEB6400" w14:textId="77777777" w:rsidR="00B77919" w:rsidRPr="00D5303F" w:rsidRDefault="00B77919" w:rsidP="00B77919">
      <w:pPr>
        <w:jc w:val="both"/>
        <w:rPr>
          <w:rFonts w:cs="Arial"/>
        </w:rPr>
      </w:pPr>
    </w:p>
    <w:p w14:paraId="64684909" w14:textId="77777777" w:rsidR="00B77919" w:rsidRPr="00D5303F" w:rsidRDefault="00B77919" w:rsidP="00B77919">
      <w:pPr>
        <w:jc w:val="both"/>
        <w:rPr>
          <w:rFonts w:cs="Arial"/>
        </w:rPr>
      </w:pPr>
      <w:r w:rsidRPr="00D5303F">
        <w:rPr>
          <w:rFonts w:cs="Arial"/>
        </w:rPr>
        <w:t>Because of the inherent limitations of an audit, there is a risk that we will not detect all irregularities, including those leading to a material misstatement in the financial statements or non-compliance with regulation. This risk increases the more that compliance with a law or regulation is removed from the events and transactions reflected in the financial statements, as we will be less likely to become aware of instances of non-compliance. The risk of not detecting a material misstatement resulting from fraud is higher than for one resulting from error, as fraud may involve collusion, forgery, intentional omissions, misrepresentations, or the override of internal control.</w:t>
      </w:r>
    </w:p>
    <w:p w14:paraId="0FC6D3D6" w14:textId="77777777" w:rsidR="00B77919" w:rsidRPr="00D5303F" w:rsidRDefault="00B77919" w:rsidP="00B77919">
      <w:pPr>
        <w:jc w:val="both"/>
        <w:rPr>
          <w:rFonts w:cs="Arial"/>
        </w:rPr>
      </w:pPr>
    </w:p>
    <w:p w14:paraId="59B96BFE" w14:textId="77777777" w:rsidR="00B77919" w:rsidRPr="00D5303F" w:rsidRDefault="00B77919" w:rsidP="00B77919">
      <w:pPr>
        <w:jc w:val="both"/>
        <w:rPr>
          <w:rFonts w:cs="Arial"/>
          <w:b/>
          <w:bCs/>
        </w:rPr>
      </w:pPr>
      <w:r w:rsidRPr="00D5303F">
        <w:rPr>
          <w:rFonts w:cs="Arial"/>
          <w:b/>
          <w:bCs/>
        </w:rPr>
        <w:t>Use of our report</w:t>
      </w:r>
    </w:p>
    <w:p w14:paraId="3970D267" w14:textId="77777777" w:rsidR="00B77919" w:rsidRPr="00D5303F" w:rsidRDefault="00B77919" w:rsidP="00B77919">
      <w:pPr>
        <w:jc w:val="both"/>
        <w:rPr>
          <w:rFonts w:cs="Arial"/>
        </w:rPr>
      </w:pPr>
    </w:p>
    <w:p w14:paraId="38449F2C" w14:textId="77777777" w:rsidR="00B77919" w:rsidRPr="00D5303F" w:rsidRDefault="00B77919" w:rsidP="00B77919">
      <w:pPr>
        <w:jc w:val="both"/>
        <w:rPr>
          <w:rFonts w:cs="Arial"/>
        </w:rPr>
      </w:pPr>
      <w:r w:rsidRPr="00D5303F">
        <w:rPr>
          <w:rFonts w:cs="Arial"/>
        </w:rPr>
        <w:t xml:space="preserve">This report is made solely to the company's members, as a body, in accordance with Chapter 3 of Part 16 of the Companies Act 2006. Our audit work has been undertaken so that we might state to the company's members those matters we are required to state to them in an auditor's report and for no other purpose. To the fullest extent permitted by law, we do not accept or assume responsibility to anyone other than the </w:t>
      </w:r>
      <w:r>
        <w:rPr>
          <w:rFonts w:cs="Arial"/>
        </w:rPr>
        <w:t xml:space="preserve">parent </w:t>
      </w:r>
      <w:r w:rsidRPr="00D5303F">
        <w:rPr>
          <w:rFonts w:cs="Arial"/>
        </w:rPr>
        <w:t>company and the company's members, as a body, for our audit work, for this report, or for the opinions we have formed.</w:t>
      </w:r>
    </w:p>
    <w:p w14:paraId="3B9B2816" w14:textId="77777777" w:rsidR="00B77919" w:rsidRPr="00D5303F" w:rsidRDefault="00B77919" w:rsidP="00B77919">
      <w:pPr>
        <w:rPr>
          <w:b/>
        </w:rPr>
      </w:pPr>
    </w:p>
    <w:p w14:paraId="4A5DAA4F" w14:textId="77777777" w:rsidR="00E70ECE" w:rsidRDefault="00E70ECE" w:rsidP="003C76B1">
      <w:pPr>
        <w:rPr>
          <w:b/>
          <w:highlight w:val="yellow"/>
        </w:rPr>
      </w:pPr>
    </w:p>
    <w:p w14:paraId="065B7C22" w14:textId="77777777" w:rsidR="00B77919" w:rsidRDefault="00B77919" w:rsidP="003C76B1">
      <w:pPr>
        <w:rPr>
          <w:b/>
          <w:highlight w:val="yellow"/>
        </w:rPr>
      </w:pPr>
    </w:p>
    <w:p w14:paraId="7EB5D93F" w14:textId="77777777" w:rsidR="00E70ECE" w:rsidRDefault="00E70ECE" w:rsidP="003C76B1">
      <w:pPr>
        <w:rPr>
          <w:b/>
          <w:highlight w:val="yellow"/>
        </w:rPr>
      </w:pPr>
    </w:p>
    <w:p w14:paraId="215C4F3C" w14:textId="77777777" w:rsidR="003C76B1" w:rsidRPr="00E70ECE" w:rsidRDefault="00E70ECE" w:rsidP="003C76B1">
      <w:pPr>
        <w:rPr>
          <w:b/>
        </w:rPr>
      </w:pPr>
      <w:r w:rsidRPr="00E70ECE">
        <w:rPr>
          <w:b/>
        </w:rPr>
        <w:t>Allison Gibson</w:t>
      </w:r>
      <w:r w:rsidR="003C76B1" w:rsidRPr="00E70ECE">
        <w:rPr>
          <w:b/>
        </w:rPr>
        <w:t>, Senior Statutory Auditor</w:t>
      </w:r>
    </w:p>
    <w:p w14:paraId="6D586252" w14:textId="77777777" w:rsidR="003C76B1" w:rsidRPr="00040151" w:rsidRDefault="003C76B1" w:rsidP="003C76B1">
      <w:pPr>
        <w:rPr>
          <w:b/>
        </w:rPr>
      </w:pPr>
      <w:r w:rsidRPr="00040151">
        <w:rPr>
          <w:b/>
        </w:rPr>
        <w:t>For and on behalf of Azets Audit Services</w:t>
      </w:r>
      <w:r w:rsidR="001B0AEB" w:rsidRPr="00040151">
        <w:rPr>
          <w:b/>
        </w:rPr>
        <w:t xml:space="preserve">, </w:t>
      </w:r>
      <w:r w:rsidRPr="00040151">
        <w:rPr>
          <w:b/>
        </w:rPr>
        <w:t>Statutory Auditor</w:t>
      </w:r>
    </w:p>
    <w:p w14:paraId="72C0E676" w14:textId="77777777" w:rsidR="00040151" w:rsidRPr="00040151" w:rsidRDefault="00040151" w:rsidP="003C76B1">
      <w:pPr>
        <w:tabs>
          <w:tab w:val="right" w:pos="9072"/>
        </w:tabs>
        <w:rPr>
          <w:b/>
        </w:rPr>
      </w:pPr>
      <w:r w:rsidRPr="00040151">
        <w:rPr>
          <w:b/>
        </w:rPr>
        <w:t>Chartered Accountants</w:t>
      </w:r>
    </w:p>
    <w:p w14:paraId="6D5634AD" w14:textId="77777777" w:rsidR="003C76B1" w:rsidRPr="00040151" w:rsidRDefault="00040151" w:rsidP="003C76B1">
      <w:pPr>
        <w:tabs>
          <w:tab w:val="right" w:pos="9072"/>
        </w:tabs>
        <w:rPr>
          <w:b/>
        </w:rPr>
      </w:pPr>
      <w:r w:rsidRPr="00040151">
        <w:rPr>
          <w:b/>
        </w:rPr>
        <w:t>Quay 2</w:t>
      </w:r>
    </w:p>
    <w:p w14:paraId="1F2FBBC6" w14:textId="77777777" w:rsidR="003C76B1" w:rsidRPr="00040151" w:rsidRDefault="00040151" w:rsidP="003C76B1">
      <w:pPr>
        <w:tabs>
          <w:tab w:val="right" w:pos="9072"/>
        </w:tabs>
        <w:rPr>
          <w:b/>
        </w:rPr>
      </w:pPr>
      <w:r w:rsidRPr="00040151">
        <w:rPr>
          <w:b/>
        </w:rPr>
        <w:t>139 Fountainbridge</w:t>
      </w:r>
    </w:p>
    <w:p w14:paraId="05435634" w14:textId="77777777" w:rsidR="003C76B1" w:rsidRPr="00E70ECE" w:rsidRDefault="003C76B1" w:rsidP="003C76B1">
      <w:pPr>
        <w:tabs>
          <w:tab w:val="right" w:pos="9072"/>
        </w:tabs>
        <w:rPr>
          <w:b/>
        </w:rPr>
      </w:pPr>
      <w:r w:rsidRPr="00040151">
        <w:rPr>
          <w:b/>
        </w:rPr>
        <w:t>Edinburgh</w:t>
      </w:r>
      <w:r w:rsidR="001B0AEB" w:rsidRPr="00040151">
        <w:rPr>
          <w:b/>
        </w:rPr>
        <w:t xml:space="preserve">, </w:t>
      </w:r>
      <w:r w:rsidRPr="00040151">
        <w:rPr>
          <w:b/>
        </w:rPr>
        <w:t xml:space="preserve">EH3 </w:t>
      </w:r>
      <w:r w:rsidR="00040151" w:rsidRPr="00040151">
        <w:rPr>
          <w:b/>
        </w:rPr>
        <w:t>9QG</w:t>
      </w:r>
    </w:p>
    <w:p w14:paraId="034EB002" w14:textId="77777777" w:rsidR="003C76B1" w:rsidRPr="00C328EF" w:rsidRDefault="003C76B1" w:rsidP="003C76B1">
      <w:pPr>
        <w:tabs>
          <w:tab w:val="right" w:pos="9072"/>
        </w:tabs>
        <w:rPr>
          <w:b/>
          <w:highlight w:val="yellow"/>
        </w:rPr>
      </w:pPr>
    </w:p>
    <w:p w14:paraId="7CC2E928" w14:textId="607F8793" w:rsidR="009645DA" w:rsidRPr="00D5303F" w:rsidRDefault="003C76B1" w:rsidP="009645DA">
      <w:pPr>
        <w:rPr>
          <w:rFonts w:cs="Arial"/>
          <w:b/>
          <w:spacing w:val="-2"/>
        </w:rPr>
      </w:pPr>
      <w:r w:rsidRPr="00224B26">
        <w:rPr>
          <w:b/>
        </w:rPr>
        <w:t xml:space="preserve">Date: </w:t>
      </w:r>
      <w:r w:rsidR="00224B26">
        <w:rPr>
          <w:b/>
        </w:rPr>
        <w:t>25 September</w:t>
      </w:r>
      <w:r w:rsidR="004672B0" w:rsidRPr="00224B26">
        <w:rPr>
          <w:b/>
        </w:rPr>
        <w:t xml:space="preserve"> 2</w:t>
      </w:r>
      <w:r w:rsidRPr="00224B26">
        <w:rPr>
          <w:rFonts w:cs="Arial"/>
          <w:b/>
          <w:spacing w:val="-2"/>
        </w:rPr>
        <w:t>02</w:t>
      </w:r>
      <w:r w:rsidR="00E70ECE" w:rsidRPr="00224B26">
        <w:rPr>
          <w:rFonts w:cs="Arial"/>
          <w:b/>
          <w:spacing w:val="-2"/>
        </w:rPr>
        <w:t>5</w:t>
      </w:r>
    </w:p>
    <w:p w14:paraId="5C7798B8" w14:textId="77777777" w:rsidR="00683686" w:rsidRPr="00C328EF" w:rsidRDefault="003C76B1" w:rsidP="009645DA">
      <w:pPr>
        <w:jc w:val="center"/>
        <w:rPr>
          <w:b/>
        </w:rPr>
      </w:pPr>
      <w:r w:rsidRPr="00C328EF">
        <w:rPr>
          <w:rFonts w:cs="Arial"/>
          <w:b/>
          <w:spacing w:val="-2"/>
          <w:highlight w:val="yellow"/>
        </w:rPr>
        <w:br w:type="page"/>
      </w:r>
      <w:r w:rsidR="009A78BE" w:rsidRPr="00C328EF">
        <w:rPr>
          <w:b/>
        </w:rPr>
        <w:lastRenderedPageBreak/>
        <w:t>TRANSPORT FOR EDINBURGH LIMITED</w:t>
      </w:r>
    </w:p>
    <w:p w14:paraId="732ABF0E" w14:textId="77777777" w:rsidR="006C070D" w:rsidRPr="00C328EF" w:rsidRDefault="006C070D" w:rsidP="00046F47">
      <w:pPr>
        <w:jc w:val="center"/>
        <w:rPr>
          <w:b/>
        </w:rPr>
      </w:pPr>
    </w:p>
    <w:p w14:paraId="49F071B9" w14:textId="77777777" w:rsidR="00683686" w:rsidRPr="00C328EF" w:rsidRDefault="00A71613" w:rsidP="00046F47">
      <w:pPr>
        <w:jc w:val="center"/>
        <w:rPr>
          <w:b/>
        </w:rPr>
      </w:pPr>
      <w:r w:rsidRPr="00C328EF">
        <w:rPr>
          <w:b/>
        </w:rPr>
        <w:t>Consolidated</w:t>
      </w:r>
      <w:r w:rsidR="00E61640" w:rsidRPr="00C328EF">
        <w:rPr>
          <w:b/>
        </w:rPr>
        <w:t xml:space="preserve"> and </w:t>
      </w:r>
      <w:r w:rsidR="00C33886">
        <w:rPr>
          <w:b/>
        </w:rPr>
        <w:t xml:space="preserve">Parent </w:t>
      </w:r>
      <w:r w:rsidR="00E61640" w:rsidRPr="00C328EF">
        <w:rPr>
          <w:b/>
        </w:rPr>
        <w:t>Company</w:t>
      </w:r>
      <w:r w:rsidR="00EB1281" w:rsidRPr="00C328EF">
        <w:rPr>
          <w:b/>
        </w:rPr>
        <w:t xml:space="preserve"> </w:t>
      </w:r>
      <w:r w:rsidR="00683686" w:rsidRPr="00C328EF">
        <w:rPr>
          <w:b/>
        </w:rPr>
        <w:t xml:space="preserve">Statement of </w:t>
      </w:r>
      <w:r w:rsidR="00D37416" w:rsidRPr="00C328EF">
        <w:rPr>
          <w:b/>
        </w:rPr>
        <w:t xml:space="preserve">Profit or Loss and Other </w:t>
      </w:r>
      <w:r w:rsidRPr="00C328EF">
        <w:rPr>
          <w:b/>
        </w:rPr>
        <w:t>Comprehensive Income</w:t>
      </w:r>
    </w:p>
    <w:p w14:paraId="2847A6F1" w14:textId="77777777" w:rsidR="006C070D" w:rsidRPr="00C328EF" w:rsidRDefault="006C070D" w:rsidP="00046F47">
      <w:pPr>
        <w:jc w:val="center"/>
        <w:rPr>
          <w:b/>
        </w:rPr>
      </w:pPr>
    </w:p>
    <w:p w14:paraId="5FDC3222" w14:textId="77777777" w:rsidR="00683686" w:rsidRPr="00C328EF" w:rsidRDefault="00D90B89" w:rsidP="00683686">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1D7C203D" w14:textId="77777777" w:rsidR="009A0DB9" w:rsidRPr="00C328EF" w:rsidRDefault="009A0DB9" w:rsidP="00EB1281"/>
    <w:tbl>
      <w:tblPr>
        <w:tblW w:w="10031" w:type="dxa"/>
        <w:tblLayout w:type="fixed"/>
        <w:tblLook w:val="0000" w:firstRow="0" w:lastRow="0" w:firstColumn="0" w:lastColumn="0" w:noHBand="0" w:noVBand="0"/>
      </w:tblPr>
      <w:tblGrid>
        <w:gridCol w:w="4077"/>
        <w:gridCol w:w="142"/>
        <w:gridCol w:w="567"/>
        <w:gridCol w:w="1276"/>
        <w:gridCol w:w="142"/>
        <w:gridCol w:w="1134"/>
        <w:gridCol w:w="141"/>
        <w:gridCol w:w="1134"/>
        <w:gridCol w:w="142"/>
        <w:gridCol w:w="1276"/>
      </w:tblGrid>
      <w:tr w:rsidR="00EB1281" w:rsidRPr="00C328EF" w14:paraId="2DD62751" w14:textId="77777777" w:rsidTr="004D2FFF">
        <w:tc>
          <w:tcPr>
            <w:tcW w:w="4219" w:type="dxa"/>
            <w:gridSpan w:val="2"/>
          </w:tcPr>
          <w:p w14:paraId="3DED8E7D" w14:textId="77777777" w:rsidR="00EB1281" w:rsidRPr="00C328EF" w:rsidRDefault="00EB1281" w:rsidP="00683686">
            <w:pPr>
              <w:jc w:val="both"/>
            </w:pPr>
          </w:p>
        </w:tc>
        <w:tc>
          <w:tcPr>
            <w:tcW w:w="567" w:type="dxa"/>
          </w:tcPr>
          <w:p w14:paraId="5D803271" w14:textId="77777777" w:rsidR="00EB1281" w:rsidRPr="00C328EF" w:rsidRDefault="00EB1281" w:rsidP="00683686">
            <w:pPr>
              <w:jc w:val="both"/>
            </w:pPr>
          </w:p>
        </w:tc>
        <w:tc>
          <w:tcPr>
            <w:tcW w:w="2552" w:type="dxa"/>
            <w:gridSpan w:val="3"/>
          </w:tcPr>
          <w:p w14:paraId="1A1BFB82" w14:textId="77777777" w:rsidR="00EB1281" w:rsidRPr="00C328EF" w:rsidRDefault="00EB1281" w:rsidP="003500EE">
            <w:pPr>
              <w:jc w:val="center"/>
              <w:rPr>
                <w:b/>
              </w:rPr>
            </w:pPr>
            <w:r w:rsidRPr="00C328EF">
              <w:rPr>
                <w:b/>
              </w:rPr>
              <w:t>Consolidated</w:t>
            </w:r>
            <w:r w:rsidR="003500EE" w:rsidRPr="00C328EF">
              <w:rPr>
                <w:b/>
              </w:rPr>
              <w:t xml:space="preserve"> </w:t>
            </w:r>
            <w:r w:rsidR="00AE08B2" w:rsidRPr="00C328EF">
              <w:rPr>
                <w:b/>
              </w:rPr>
              <w:t>Group</w:t>
            </w:r>
          </w:p>
        </w:tc>
        <w:tc>
          <w:tcPr>
            <w:tcW w:w="2693" w:type="dxa"/>
            <w:gridSpan w:val="4"/>
          </w:tcPr>
          <w:p w14:paraId="3E8C77A1" w14:textId="77777777" w:rsidR="00EB1281" w:rsidRPr="00C328EF" w:rsidRDefault="003500EE" w:rsidP="00D901E1">
            <w:pPr>
              <w:ind w:left="397"/>
              <w:rPr>
                <w:b/>
              </w:rPr>
            </w:pPr>
            <w:r w:rsidRPr="00C328EF">
              <w:rPr>
                <w:b/>
              </w:rPr>
              <w:t xml:space="preserve">      </w:t>
            </w:r>
            <w:r w:rsidR="00EB1281" w:rsidRPr="00C328EF">
              <w:rPr>
                <w:b/>
              </w:rPr>
              <w:t>Parent</w:t>
            </w:r>
            <w:r w:rsidR="00F75FB1" w:rsidRPr="00C328EF">
              <w:rPr>
                <w:b/>
              </w:rPr>
              <w:t xml:space="preserve"> </w:t>
            </w:r>
            <w:r w:rsidR="00EB1281" w:rsidRPr="00C328EF">
              <w:rPr>
                <w:b/>
              </w:rPr>
              <w:t>Entity</w:t>
            </w:r>
          </w:p>
        </w:tc>
      </w:tr>
      <w:tr w:rsidR="004B60C6" w:rsidRPr="00C328EF" w14:paraId="008428AE" w14:textId="77777777" w:rsidTr="004D2FFF">
        <w:tc>
          <w:tcPr>
            <w:tcW w:w="4219" w:type="dxa"/>
            <w:gridSpan w:val="2"/>
          </w:tcPr>
          <w:p w14:paraId="0BAF2160" w14:textId="77777777" w:rsidR="004B60C6" w:rsidRPr="00C328EF" w:rsidRDefault="004B60C6" w:rsidP="00683686">
            <w:pPr>
              <w:jc w:val="both"/>
              <w:rPr>
                <w:b/>
              </w:rPr>
            </w:pPr>
          </w:p>
        </w:tc>
        <w:tc>
          <w:tcPr>
            <w:tcW w:w="567" w:type="dxa"/>
          </w:tcPr>
          <w:p w14:paraId="58A01646" w14:textId="77777777" w:rsidR="004B60C6" w:rsidRPr="00C328EF" w:rsidRDefault="004B60C6" w:rsidP="00683686">
            <w:pPr>
              <w:jc w:val="both"/>
              <w:rPr>
                <w:b/>
              </w:rPr>
            </w:pPr>
          </w:p>
        </w:tc>
        <w:tc>
          <w:tcPr>
            <w:tcW w:w="1276" w:type="dxa"/>
          </w:tcPr>
          <w:p w14:paraId="10835054" w14:textId="77777777" w:rsidR="004B60C6" w:rsidRPr="00C328EF" w:rsidRDefault="004B60C6" w:rsidP="00304C17">
            <w:pPr>
              <w:suppressAutoHyphens/>
              <w:ind w:right="138"/>
              <w:jc w:val="right"/>
              <w:rPr>
                <w:rFonts w:cs="Arial"/>
                <w:b/>
                <w:spacing w:val="-2"/>
              </w:rPr>
            </w:pPr>
          </w:p>
        </w:tc>
        <w:tc>
          <w:tcPr>
            <w:tcW w:w="1276" w:type="dxa"/>
            <w:gridSpan w:val="2"/>
          </w:tcPr>
          <w:p w14:paraId="18AD5247" w14:textId="77777777" w:rsidR="004B60C6" w:rsidRPr="00C328EF" w:rsidRDefault="004B60C6" w:rsidP="004C7792">
            <w:pPr>
              <w:suppressAutoHyphens/>
              <w:ind w:right="138"/>
              <w:jc w:val="right"/>
              <w:rPr>
                <w:rFonts w:cs="Arial"/>
                <w:b/>
                <w:spacing w:val="-2"/>
              </w:rPr>
            </w:pPr>
          </w:p>
        </w:tc>
        <w:tc>
          <w:tcPr>
            <w:tcW w:w="1275" w:type="dxa"/>
            <w:gridSpan w:val="2"/>
          </w:tcPr>
          <w:p w14:paraId="4C3A2444" w14:textId="77777777" w:rsidR="004B60C6" w:rsidRPr="00C328EF" w:rsidRDefault="004B60C6" w:rsidP="00304C17">
            <w:pPr>
              <w:suppressAutoHyphens/>
              <w:ind w:right="138"/>
              <w:jc w:val="right"/>
              <w:rPr>
                <w:rFonts w:cs="Arial"/>
                <w:b/>
                <w:spacing w:val="-2"/>
              </w:rPr>
            </w:pPr>
          </w:p>
        </w:tc>
        <w:tc>
          <w:tcPr>
            <w:tcW w:w="1418" w:type="dxa"/>
            <w:gridSpan w:val="2"/>
          </w:tcPr>
          <w:p w14:paraId="6D8E2090" w14:textId="77777777" w:rsidR="004B60C6" w:rsidRPr="00C328EF" w:rsidRDefault="004B60C6" w:rsidP="004C7792">
            <w:pPr>
              <w:suppressAutoHyphens/>
              <w:ind w:right="138"/>
              <w:jc w:val="right"/>
              <w:rPr>
                <w:rFonts w:cs="Arial"/>
                <w:b/>
                <w:spacing w:val="-2"/>
              </w:rPr>
            </w:pPr>
          </w:p>
        </w:tc>
      </w:tr>
      <w:tr w:rsidR="008F1379" w:rsidRPr="00C328EF" w14:paraId="22CC5FE3" w14:textId="77777777" w:rsidTr="004D2FFF">
        <w:tc>
          <w:tcPr>
            <w:tcW w:w="4219" w:type="dxa"/>
            <w:gridSpan w:val="2"/>
          </w:tcPr>
          <w:p w14:paraId="69195222" w14:textId="77777777" w:rsidR="008F1379" w:rsidRPr="00C328EF" w:rsidRDefault="008F1379" w:rsidP="008F1379">
            <w:pPr>
              <w:jc w:val="both"/>
              <w:rPr>
                <w:b/>
              </w:rPr>
            </w:pPr>
          </w:p>
        </w:tc>
        <w:tc>
          <w:tcPr>
            <w:tcW w:w="567" w:type="dxa"/>
          </w:tcPr>
          <w:p w14:paraId="0B70C1AA" w14:textId="77777777" w:rsidR="008F1379" w:rsidRPr="00C328EF" w:rsidRDefault="008F1379" w:rsidP="008F1379">
            <w:pPr>
              <w:jc w:val="center"/>
              <w:rPr>
                <w:b/>
              </w:rPr>
            </w:pPr>
          </w:p>
        </w:tc>
        <w:tc>
          <w:tcPr>
            <w:tcW w:w="1418" w:type="dxa"/>
            <w:gridSpan w:val="2"/>
          </w:tcPr>
          <w:p w14:paraId="7FC2577E" w14:textId="77777777" w:rsidR="008F1379" w:rsidRPr="00C328EF" w:rsidRDefault="00206954" w:rsidP="00206954">
            <w:pPr>
              <w:suppressAutoHyphens/>
              <w:ind w:right="138"/>
              <w:jc w:val="right"/>
              <w:rPr>
                <w:rFonts w:cs="Arial"/>
                <w:b/>
                <w:spacing w:val="-2"/>
              </w:rPr>
            </w:pPr>
            <w:r>
              <w:rPr>
                <w:rFonts w:cs="Arial"/>
                <w:b/>
                <w:spacing w:val="-2"/>
              </w:rPr>
              <w:t xml:space="preserve">Period to 28 December </w:t>
            </w:r>
            <w:r w:rsidR="008F1379" w:rsidRPr="00C328EF">
              <w:rPr>
                <w:rFonts w:cs="Arial"/>
                <w:b/>
                <w:spacing w:val="-2"/>
              </w:rPr>
              <w:t>20</w:t>
            </w:r>
            <w:r w:rsidR="00A71DA9" w:rsidRPr="00C328EF">
              <w:rPr>
                <w:rFonts w:cs="Arial"/>
                <w:b/>
                <w:spacing w:val="-2"/>
              </w:rPr>
              <w:t>2</w:t>
            </w:r>
            <w:r w:rsidR="00C328EF" w:rsidRPr="00C328EF">
              <w:rPr>
                <w:rFonts w:cs="Arial"/>
                <w:b/>
                <w:spacing w:val="-2"/>
              </w:rPr>
              <w:t>4</w:t>
            </w:r>
          </w:p>
        </w:tc>
        <w:tc>
          <w:tcPr>
            <w:tcW w:w="1275" w:type="dxa"/>
            <w:gridSpan w:val="2"/>
          </w:tcPr>
          <w:p w14:paraId="5DA37A94" w14:textId="77777777" w:rsidR="008F1379" w:rsidRPr="00C328EF" w:rsidRDefault="00206954" w:rsidP="00A65A74">
            <w:pPr>
              <w:suppressAutoHyphens/>
              <w:ind w:left="-114" w:right="172"/>
              <w:jc w:val="right"/>
              <w:rPr>
                <w:rFonts w:cs="Arial"/>
                <w:b/>
                <w:spacing w:val="-2"/>
              </w:rPr>
            </w:pPr>
            <w:r>
              <w:rPr>
                <w:rFonts w:cs="Arial"/>
                <w:b/>
                <w:spacing w:val="-2"/>
              </w:rPr>
              <w:t xml:space="preserve">Period to 30 December </w:t>
            </w:r>
            <w:r w:rsidR="008F1379" w:rsidRPr="00C328EF">
              <w:rPr>
                <w:rFonts w:cs="Arial"/>
                <w:b/>
                <w:spacing w:val="-2"/>
              </w:rPr>
              <w:t>20</w:t>
            </w:r>
            <w:r w:rsidR="002B21C0" w:rsidRPr="00C328EF">
              <w:rPr>
                <w:rFonts w:cs="Arial"/>
                <w:b/>
                <w:spacing w:val="-2"/>
              </w:rPr>
              <w:t>2</w:t>
            </w:r>
            <w:r w:rsidR="00C328EF" w:rsidRPr="00C328EF">
              <w:rPr>
                <w:rFonts w:cs="Arial"/>
                <w:b/>
                <w:spacing w:val="-2"/>
              </w:rPr>
              <w:t>3</w:t>
            </w:r>
          </w:p>
        </w:tc>
        <w:tc>
          <w:tcPr>
            <w:tcW w:w="1276" w:type="dxa"/>
            <w:gridSpan w:val="2"/>
          </w:tcPr>
          <w:p w14:paraId="63A258B4" w14:textId="77777777" w:rsidR="008F1379" w:rsidRPr="00C328EF" w:rsidRDefault="00206954" w:rsidP="00A65A74">
            <w:pPr>
              <w:suppressAutoHyphens/>
              <w:ind w:left="-114" w:right="138"/>
              <w:jc w:val="right"/>
              <w:rPr>
                <w:rFonts w:cs="Arial"/>
                <w:b/>
                <w:spacing w:val="-2"/>
              </w:rPr>
            </w:pPr>
            <w:r>
              <w:rPr>
                <w:rFonts w:cs="Arial"/>
                <w:b/>
                <w:spacing w:val="-2"/>
              </w:rPr>
              <w:t xml:space="preserve">Period to 28 December </w:t>
            </w:r>
            <w:r w:rsidR="008F1379" w:rsidRPr="00C328EF">
              <w:rPr>
                <w:rFonts w:cs="Arial"/>
                <w:b/>
                <w:spacing w:val="-2"/>
              </w:rPr>
              <w:t>20</w:t>
            </w:r>
            <w:r w:rsidR="00A71DA9" w:rsidRPr="00C328EF">
              <w:rPr>
                <w:rFonts w:cs="Arial"/>
                <w:b/>
                <w:spacing w:val="-2"/>
              </w:rPr>
              <w:t>2</w:t>
            </w:r>
            <w:r w:rsidR="00C328EF" w:rsidRPr="00C328EF">
              <w:rPr>
                <w:rFonts w:cs="Arial"/>
                <w:b/>
                <w:spacing w:val="-2"/>
              </w:rPr>
              <w:t>4</w:t>
            </w:r>
          </w:p>
        </w:tc>
        <w:tc>
          <w:tcPr>
            <w:tcW w:w="1276" w:type="dxa"/>
          </w:tcPr>
          <w:p w14:paraId="6631E288" w14:textId="77777777" w:rsidR="008F1379" w:rsidRPr="00C328EF" w:rsidRDefault="00206954" w:rsidP="00A65A74">
            <w:pPr>
              <w:suppressAutoHyphens/>
              <w:ind w:left="-113" w:right="138"/>
              <w:jc w:val="right"/>
              <w:rPr>
                <w:rFonts w:cs="Arial"/>
                <w:b/>
                <w:spacing w:val="-2"/>
              </w:rPr>
            </w:pPr>
            <w:r>
              <w:rPr>
                <w:rFonts w:cs="Arial"/>
                <w:b/>
                <w:spacing w:val="-2"/>
              </w:rPr>
              <w:t xml:space="preserve">Period to 30 December </w:t>
            </w:r>
            <w:r w:rsidR="008F1379" w:rsidRPr="00C328EF">
              <w:rPr>
                <w:rFonts w:cs="Arial"/>
                <w:b/>
                <w:spacing w:val="-2"/>
              </w:rPr>
              <w:t>20</w:t>
            </w:r>
            <w:r w:rsidR="002B21C0" w:rsidRPr="00C328EF">
              <w:rPr>
                <w:rFonts w:cs="Arial"/>
                <w:b/>
                <w:spacing w:val="-2"/>
              </w:rPr>
              <w:t>2</w:t>
            </w:r>
            <w:r w:rsidR="00C328EF" w:rsidRPr="00C328EF">
              <w:rPr>
                <w:rFonts w:cs="Arial"/>
                <w:b/>
                <w:spacing w:val="-2"/>
              </w:rPr>
              <w:t>3</w:t>
            </w:r>
          </w:p>
        </w:tc>
      </w:tr>
      <w:tr w:rsidR="008F1379" w:rsidRPr="00C328EF" w14:paraId="5AA48416" w14:textId="77777777" w:rsidTr="004D2FFF">
        <w:tc>
          <w:tcPr>
            <w:tcW w:w="4219" w:type="dxa"/>
            <w:gridSpan w:val="2"/>
          </w:tcPr>
          <w:p w14:paraId="15875132" w14:textId="77777777" w:rsidR="008F1379" w:rsidRPr="00C328EF" w:rsidRDefault="008F1379" w:rsidP="008F1379">
            <w:pPr>
              <w:jc w:val="both"/>
              <w:rPr>
                <w:b/>
              </w:rPr>
            </w:pPr>
          </w:p>
        </w:tc>
        <w:tc>
          <w:tcPr>
            <w:tcW w:w="567" w:type="dxa"/>
          </w:tcPr>
          <w:p w14:paraId="0342BAD1" w14:textId="77777777" w:rsidR="008F1379" w:rsidRPr="00C328EF" w:rsidRDefault="008F1379" w:rsidP="008F1379">
            <w:pPr>
              <w:ind w:right="-108"/>
              <w:jc w:val="center"/>
              <w:rPr>
                <w:b/>
              </w:rPr>
            </w:pPr>
            <w:r w:rsidRPr="00C328EF">
              <w:rPr>
                <w:b/>
              </w:rPr>
              <w:t>Note</w:t>
            </w:r>
          </w:p>
        </w:tc>
        <w:tc>
          <w:tcPr>
            <w:tcW w:w="1418" w:type="dxa"/>
            <w:gridSpan w:val="2"/>
          </w:tcPr>
          <w:p w14:paraId="32059AA0" w14:textId="77777777" w:rsidR="008F1379" w:rsidRPr="00C328EF" w:rsidRDefault="008F1379" w:rsidP="008F1379">
            <w:pPr>
              <w:suppressAutoHyphens/>
              <w:ind w:right="138"/>
              <w:jc w:val="right"/>
              <w:rPr>
                <w:rFonts w:cs="Arial"/>
                <w:b/>
                <w:spacing w:val="-2"/>
              </w:rPr>
            </w:pPr>
            <w:r w:rsidRPr="00C328EF">
              <w:rPr>
                <w:rFonts w:cs="Arial"/>
                <w:b/>
                <w:spacing w:val="-2"/>
              </w:rPr>
              <w:t>£’000</w:t>
            </w:r>
          </w:p>
        </w:tc>
        <w:tc>
          <w:tcPr>
            <w:tcW w:w="1275" w:type="dxa"/>
            <w:gridSpan w:val="2"/>
          </w:tcPr>
          <w:p w14:paraId="1C09B689" w14:textId="77777777" w:rsidR="008F1379" w:rsidRPr="00C328EF" w:rsidRDefault="008F1379" w:rsidP="008F1379">
            <w:pPr>
              <w:suppressAutoHyphens/>
              <w:ind w:right="138"/>
              <w:jc w:val="right"/>
              <w:rPr>
                <w:rFonts w:cs="Arial"/>
                <w:b/>
                <w:spacing w:val="-2"/>
              </w:rPr>
            </w:pPr>
            <w:r w:rsidRPr="00C328EF">
              <w:rPr>
                <w:rFonts w:cs="Arial"/>
                <w:b/>
                <w:spacing w:val="-2"/>
              </w:rPr>
              <w:t>£’000</w:t>
            </w:r>
          </w:p>
        </w:tc>
        <w:tc>
          <w:tcPr>
            <w:tcW w:w="1276" w:type="dxa"/>
            <w:gridSpan w:val="2"/>
          </w:tcPr>
          <w:p w14:paraId="3BAC580C" w14:textId="77777777" w:rsidR="008F1379" w:rsidRPr="00C328EF" w:rsidRDefault="008F1379" w:rsidP="008F1379">
            <w:pPr>
              <w:suppressAutoHyphens/>
              <w:ind w:right="138"/>
              <w:jc w:val="right"/>
              <w:rPr>
                <w:rFonts w:cs="Arial"/>
                <w:b/>
                <w:spacing w:val="-2"/>
              </w:rPr>
            </w:pPr>
            <w:r w:rsidRPr="00C328EF">
              <w:rPr>
                <w:rFonts w:cs="Arial"/>
                <w:b/>
                <w:spacing w:val="-2"/>
              </w:rPr>
              <w:t>£’000</w:t>
            </w:r>
          </w:p>
        </w:tc>
        <w:tc>
          <w:tcPr>
            <w:tcW w:w="1276" w:type="dxa"/>
          </w:tcPr>
          <w:p w14:paraId="5DBA99A0" w14:textId="77777777" w:rsidR="008F1379" w:rsidRPr="00C328EF" w:rsidRDefault="008F1379" w:rsidP="008F1379">
            <w:pPr>
              <w:suppressAutoHyphens/>
              <w:ind w:right="138"/>
              <w:jc w:val="right"/>
              <w:rPr>
                <w:rFonts w:cs="Arial"/>
                <w:b/>
                <w:spacing w:val="-2"/>
              </w:rPr>
            </w:pPr>
            <w:r w:rsidRPr="00C328EF">
              <w:rPr>
                <w:rFonts w:cs="Arial"/>
                <w:b/>
                <w:spacing w:val="-2"/>
              </w:rPr>
              <w:t>£’000</w:t>
            </w:r>
          </w:p>
        </w:tc>
      </w:tr>
      <w:tr w:rsidR="008F1379" w:rsidRPr="00C328EF" w14:paraId="3E68B067" w14:textId="77777777" w:rsidTr="004D2FFF">
        <w:trPr>
          <w:trHeight w:val="318"/>
        </w:trPr>
        <w:tc>
          <w:tcPr>
            <w:tcW w:w="4219" w:type="dxa"/>
            <w:gridSpan w:val="2"/>
          </w:tcPr>
          <w:p w14:paraId="746C2E95" w14:textId="77777777" w:rsidR="008F1379" w:rsidRPr="00C328EF" w:rsidRDefault="008F1379" w:rsidP="008F1379">
            <w:pPr>
              <w:jc w:val="both"/>
              <w:rPr>
                <w:b/>
              </w:rPr>
            </w:pPr>
            <w:r w:rsidRPr="00C328EF">
              <w:rPr>
                <w:b/>
              </w:rPr>
              <w:t>Continuing operations</w:t>
            </w:r>
          </w:p>
        </w:tc>
        <w:tc>
          <w:tcPr>
            <w:tcW w:w="567" w:type="dxa"/>
          </w:tcPr>
          <w:p w14:paraId="75440E39" w14:textId="77777777" w:rsidR="008F1379" w:rsidRPr="00C328EF" w:rsidRDefault="008F1379" w:rsidP="008F1379">
            <w:pPr>
              <w:jc w:val="center"/>
            </w:pPr>
          </w:p>
        </w:tc>
        <w:tc>
          <w:tcPr>
            <w:tcW w:w="1418" w:type="dxa"/>
            <w:gridSpan w:val="2"/>
          </w:tcPr>
          <w:p w14:paraId="4EE2A9E6" w14:textId="77777777" w:rsidR="008F1379" w:rsidRPr="00C328EF" w:rsidRDefault="008F1379" w:rsidP="008F1379">
            <w:pPr>
              <w:tabs>
                <w:tab w:val="decimal" w:pos="912"/>
              </w:tabs>
              <w:jc w:val="both"/>
            </w:pPr>
          </w:p>
        </w:tc>
        <w:tc>
          <w:tcPr>
            <w:tcW w:w="1134" w:type="dxa"/>
          </w:tcPr>
          <w:p w14:paraId="689CCCDF" w14:textId="77777777" w:rsidR="008F1379" w:rsidRPr="00C328EF" w:rsidRDefault="008F1379" w:rsidP="008F1379">
            <w:pPr>
              <w:tabs>
                <w:tab w:val="decimal" w:pos="912"/>
              </w:tabs>
              <w:jc w:val="both"/>
              <w:rPr>
                <w:b/>
                <w:bCs/>
              </w:rPr>
            </w:pPr>
          </w:p>
        </w:tc>
        <w:tc>
          <w:tcPr>
            <w:tcW w:w="1275" w:type="dxa"/>
            <w:gridSpan w:val="2"/>
          </w:tcPr>
          <w:p w14:paraId="626C6B90" w14:textId="77777777" w:rsidR="008F1379" w:rsidRPr="00C328EF" w:rsidRDefault="008F1379" w:rsidP="008F1379">
            <w:pPr>
              <w:tabs>
                <w:tab w:val="decimal" w:pos="912"/>
              </w:tabs>
              <w:jc w:val="both"/>
            </w:pPr>
          </w:p>
        </w:tc>
        <w:tc>
          <w:tcPr>
            <w:tcW w:w="1418" w:type="dxa"/>
            <w:gridSpan w:val="2"/>
          </w:tcPr>
          <w:p w14:paraId="74676A5F" w14:textId="77777777" w:rsidR="008F1379" w:rsidRPr="00C328EF" w:rsidRDefault="008F1379" w:rsidP="008F1379">
            <w:pPr>
              <w:tabs>
                <w:tab w:val="decimal" w:pos="912"/>
              </w:tabs>
              <w:jc w:val="both"/>
            </w:pPr>
          </w:p>
        </w:tc>
      </w:tr>
      <w:tr w:rsidR="00C328EF" w:rsidRPr="00C328EF" w14:paraId="7530471A" w14:textId="77777777" w:rsidTr="004D2FFF">
        <w:tc>
          <w:tcPr>
            <w:tcW w:w="4219" w:type="dxa"/>
            <w:gridSpan w:val="2"/>
          </w:tcPr>
          <w:p w14:paraId="51443CDA" w14:textId="77777777" w:rsidR="00C328EF" w:rsidRPr="00402B23" w:rsidRDefault="00C328EF" w:rsidP="00C328EF">
            <w:pPr>
              <w:jc w:val="both"/>
            </w:pPr>
            <w:r w:rsidRPr="00402B23">
              <w:t>Revenue from operations</w:t>
            </w:r>
          </w:p>
        </w:tc>
        <w:tc>
          <w:tcPr>
            <w:tcW w:w="567" w:type="dxa"/>
          </w:tcPr>
          <w:p w14:paraId="41DF6471" w14:textId="77777777" w:rsidR="00C328EF" w:rsidRPr="00E70ECE" w:rsidRDefault="00C328EF" w:rsidP="00C328EF">
            <w:pPr>
              <w:jc w:val="center"/>
            </w:pPr>
            <w:r w:rsidRPr="00E70ECE">
              <w:t>1</w:t>
            </w:r>
            <w:r w:rsidR="001959E2">
              <w:t>j</w:t>
            </w:r>
          </w:p>
        </w:tc>
        <w:tc>
          <w:tcPr>
            <w:tcW w:w="1276" w:type="dxa"/>
          </w:tcPr>
          <w:p w14:paraId="321D1672" w14:textId="77777777" w:rsidR="00C328EF" w:rsidRPr="0000715B" w:rsidRDefault="0000715B" w:rsidP="00C328EF">
            <w:pPr>
              <w:tabs>
                <w:tab w:val="decimal" w:pos="1026"/>
              </w:tabs>
              <w:jc w:val="both"/>
            </w:pPr>
            <w:r w:rsidRPr="0000715B">
              <w:t>219</w:t>
            </w:r>
            <w:r w:rsidR="00C328EF" w:rsidRPr="0000715B">
              <w:t>,</w:t>
            </w:r>
            <w:r w:rsidRPr="0000715B">
              <w:t>986</w:t>
            </w:r>
          </w:p>
        </w:tc>
        <w:tc>
          <w:tcPr>
            <w:tcW w:w="1276" w:type="dxa"/>
            <w:gridSpan w:val="2"/>
          </w:tcPr>
          <w:p w14:paraId="20F2F3A0" w14:textId="77777777" w:rsidR="00C328EF" w:rsidRPr="00C328EF" w:rsidRDefault="00C328EF" w:rsidP="00C328EF">
            <w:pPr>
              <w:tabs>
                <w:tab w:val="decimal" w:pos="1026"/>
              </w:tabs>
              <w:jc w:val="both"/>
            </w:pPr>
            <w:r w:rsidRPr="00C328EF">
              <w:t>200,224</w:t>
            </w:r>
          </w:p>
        </w:tc>
        <w:tc>
          <w:tcPr>
            <w:tcW w:w="1275" w:type="dxa"/>
            <w:gridSpan w:val="2"/>
          </w:tcPr>
          <w:p w14:paraId="2378FD4B" w14:textId="77777777" w:rsidR="00C328EF" w:rsidRPr="00E70ECE" w:rsidRDefault="00C328EF" w:rsidP="00C328EF">
            <w:pPr>
              <w:tabs>
                <w:tab w:val="decimal" w:pos="1026"/>
              </w:tabs>
              <w:jc w:val="both"/>
            </w:pPr>
            <w:r w:rsidRPr="00E70ECE">
              <w:t>-</w:t>
            </w:r>
          </w:p>
        </w:tc>
        <w:tc>
          <w:tcPr>
            <w:tcW w:w="1418" w:type="dxa"/>
            <w:gridSpan w:val="2"/>
          </w:tcPr>
          <w:p w14:paraId="7399FA9D" w14:textId="77777777" w:rsidR="00C328EF" w:rsidRPr="00C328EF" w:rsidRDefault="00C328EF" w:rsidP="00C328EF">
            <w:pPr>
              <w:tabs>
                <w:tab w:val="decimal" w:pos="1026"/>
              </w:tabs>
              <w:jc w:val="both"/>
            </w:pPr>
            <w:r w:rsidRPr="00C328EF">
              <w:t>-</w:t>
            </w:r>
          </w:p>
        </w:tc>
      </w:tr>
      <w:tr w:rsidR="00C328EF" w:rsidRPr="00C328EF" w14:paraId="14A09DD3" w14:textId="77777777" w:rsidTr="004D2FFF">
        <w:tc>
          <w:tcPr>
            <w:tcW w:w="4219" w:type="dxa"/>
            <w:gridSpan w:val="2"/>
          </w:tcPr>
          <w:p w14:paraId="5824AA34" w14:textId="77777777" w:rsidR="00C328EF" w:rsidRPr="00402B23" w:rsidRDefault="00C328EF" w:rsidP="00C328EF">
            <w:pPr>
              <w:jc w:val="both"/>
            </w:pPr>
            <w:r w:rsidRPr="00402B23">
              <w:t>Other income</w:t>
            </w:r>
          </w:p>
        </w:tc>
        <w:tc>
          <w:tcPr>
            <w:tcW w:w="567" w:type="dxa"/>
          </w:tcPr>
          <w:p w14:paraId="11A26D2D" w14:textId="77777777" w:rsidR="00C328EF" w:rsidRPr="00E70ECE" w:rsidRDefault="00C328EF" w:rsidP="00C328EF">
            <w:pPr>
              <w:jc w:val="center"/>
            </w:pPr>
            <w:r w:rsidRPr="00E70ECE">
              <w:t>1</w:t>
            </w:r>
            <w:r w:rsidR="001959E2">
              <w:t>j</w:t>
            </w:r>
            <w:r w:rsidRPr="00E70ECE">
              <w:t>,5</w:t>
            </w:r>
          </w:p>
        </w:tc>
        <w:tc>
          <w:tcPr>
            <w:tcW w:w="1276" w:type="dxa"/>
          </w:tcPr>
          <w:p w14:paraId="1F431A7C" w14:textId="77777777" w:rsidR="00C328EF" w:rsidRPr="0000715B" w:rsidRDefault="0000715B" w:rsidP="00C328EF">
            <w:pPr>
              <w:tabs>
                <w:tab w:val="decimal" w:pos="1026"/>
              </w:tabs>
              <w:jc w:val="both"/>
            </w:pPr>
            <w:r w:rsidRPr="0000715B">
              <w:t>6</w:t>
            </w:r>
            <w:r w:rsidR="00C328EF" w:rsidRPr="0000715B">
              <w:t>,</w:t>
            </w:r>
            <w:r w:rsidRPr="0000715B">
              <w:t>700</w:t>
            </w:r>
          </w:p>
        </w:tc>
        <w:tc>
          <w:tcPr>
            <w:tcW w:w="1276" w:type="dxa"/>
            <w:gridSpan w:val="2"/>
          </w:tcPr>
          <w:p w14:paraId="6C5BD74B" w14:textId="77777777" w:rsidR="00C328EF" w:rsidRPr="00C328EF" w:rsidRDefault="00C328EF" w:rsidP="00C328EF">
            <w:pPr>
              <w:tabs>
                <w:tab w:val="decimal" w:pos="1026"/>
              </w:tabs>
              <w:jc w:val="both"/>
            </w:pPr>
            <w:r w:rsidRPr="00C328EF">
              <w:t>7,115</w:t>
            </w:r>
          </w:p>
        </w:tc>
        <w:tc>
          <w:tcPr>
            <w:tcW w:w="1275" w:type="dxa"/>
            <w:gridSpan w:val="2"/>
          </w:tcPr>
          <w:p w14:paraId="1A5F46B1" w14:textId="77777777" w:rsidR="00C328EF" w:rsidRPr="00E70ECE" w:rsidRDefault="00C328EF" w:rsidP="00C328EF">
            <w:pPr>
              <w:tabs>
                <w:tab w:val="decimal" w:pos="1026"/>
              </w:tabs>
              <w:jc w:val="both"/>
            </w:pPr>
            <w:r w:rsidRPr="00E70ECE">
              <w:t>9</w:t>
            </w:r>
            <w:r w:rsidR="00E70ECE" w:rsidRPr="00E70ECE">
              <w:t>9</w:t>
            </w:r>
          </w:p>
        </w:tc>
        <w:tc>
          <w:tcPr>
            <w:tcW w:w="1418" w:type="dxa"/>
            <w:gridSpan w:val="2"/>
          </w:tcPr>
          <w:p w14:paraId="5427C440" w14:textId="77777777" w:rsidR="00C328EF" w:rsidRPr="00C328EF" w:rsidRDefault="00C328EF" w:rsidP="00C328EF">
            <w:pPr>
              <w:tabs>
                <w:tab w:val="decimal" w:pos="1026"/>
              </w:tabs>
              <w:jc w:val="both"/>
            </w:pPr>
            <w:r w:rsidRPr="00C328EF">
              <w:t>96</w:t>
            </w:r>
          </w:p>
        </w:tc>
      </w:tr>
      <w:tr w:rsidR="00C328EF" w:rsidRPr="00C328EF" w14:paraId="6AF15BB1" w14:textId="77777777" w:rsidTr="004D2FFF">
        <w:tc>
          <w:tcPr>
            <w:tcW w:w="4219" w:type="dxa"/>
            <w:gridSpan w:val="2"/>
          </w:tcPr>
          <w:p w14:paraId="70D36192" w14:textId="77777777" w:rsidR="00C328EF" w:rsidRPr="00402B23" w:rsidRDefault="00C328EF" w:rsidP="00C328EF">
            <w:pPr>
              <w:jc w:val="both"/>
            </w:pPr>
          </w:p>
        </w:tc>
        <w:tc>
          <w:tcPr>
            <w:tcW w:w="567" w:type="dxa"/>
          </w:tcPr>
          <w:p w14:paraId="78530789" w14:textId="77777777" w:rsidR="00C328EF" w:rsidRPr="00E70ECE" w:rsidRDefault="00C328EF" w:rsidP="00C328EF">
            <w:pPr>
              <w:jc w:val="center"/>
            </w:pPr>
          </w:p>
        </w:tc>
        <w:tc>
          <w:tcPr>
            <w:tcW w:w="1276" w:type="dxa"/>
          </w:tcPr>
          <w:p w14:paraId="24550962" w14:textId="77777777" w:rsidR="00C328EF" w:rsidRPr="0000715B" w:rsidRDefault="00C328EF" w:rsidP="00C328EF">
            <w:pPr>
              <w:tabs>
                <w:tab w:val="decimal" w:pos="1026"/>
              </w:tabs>
              <w:jc w:val="both"/>
            </w:pPr>
            <w:r w:rsidRPr="0000715B">
              <w:t>───────</w:t>
            </w:r>
          </w:p>
        </w:tc>
        <w:tc>
          <w:tcPr>
            <w:tcW w:w="1276" w:type="dxa"/>
            <w:gridSpan w:val="2"/>
          </w:tcPr>
          <w:p w14:paraId="6D55BCC1" w14:textId="77777777" w:rsidR="00C328EF" w:rsidRPr="00C328EF" w:rsidRDefault="00C328EF" w:rsidP="00C328EF">
            <w:pPr>
              <w:tabs>
                <w:tab w:val="decimal" w:pos="1026"/>
              </w:tabs>
              <w:jc w:val="both"/>
            </w:pPr>
            <w:r w:rsidRPr="00C328EF">
              <w:t>───────</w:t>
            </w:r>
          </w:p>
        </w:tc>
        <w:tc>
          <w:tcPr>
            <w:tcW w:w="1275" w:type="dxa"/>
            <w:gridSpan w:val="2"/>
          </w:tcPr>
          <w:p w14:paraId="0D37353F" w14:textId="77777777" w:rsidR="00C328EF" w:rsidRPr="00E70ECE" w:rsidRDefault="00C328EF" w:rsidP="00C328EF">
            <w:pPr>
              <w:tabs>
                <w:tab w:val="decimal" w:pos="1026"/>
              </w:tabs>
              <w:jc w:val="both"/>
            </w:pPr>
            <w:r w:rsidRPr="00E70ECE">
              <w:t>───────</w:t>
            </w:r>
          </w:p>
        </w:tc>
        <w:tc>
          <w:tcPr>
            <w:tcW w:w="1418" w:type="dxa"/>
            <w:gridSpan w:val="2"/>
          </w:tcPr>
          <w:p w14:paraId="1A02728D" w14:textId="77777777" w:rsidR="00C328EF" w:rsidRPr="00C328EF" w:rsidRDefault="00C328EF" w:rsidP="00C328EF">
            <w:pPr>
              <w:tabs>
                <w:tab w:val="decimal" w:pos="1026"/>
              </w:tabs>
              <w:jc w:val="both"/>
            </w:pPr>
            <w:r w:rsidRPr="00C328EF">
              <w:t>───────</w:t>
            </w:r>
          </w:p>
        </w:tc>
      </w:tr>
      <w:tr w:rsidR="00C328EF" w:rsidRPr="00C328EF" w14:paraId="45F58500" w14:textId="77777777" w:rsidTr="004D2FFF">
        <w:tc>
          <w:tcPr>
            <w:tcW w:w="4219" w:type="dxa"/>
            <w:gridSpan w:val="2"/>
          </w:tcPr>
          <w:p w14:paraId="485798A6" w14:textId="77777777" w:rsidR="00C328EF" w:rsidRPr="00402B23" w:rsidRDefault="00C328EF" w:rsidP="00C328EF">
            <w:pPr>
              <w:jc w:val="both"/>
            </w:pPr>
            <w:r w:rsidRPr="00402B23">
              <w:t>Total revenue</w:t>
            </w:r>
          </w:p>
        </w:tc>
        <w:tc>
          <w:tcPr>
            <w:tcW w:w="567" w:type="dxa"/>
          </w:tcPr>
          <w:p w14:paraId="6388022D" w14:textId="77777777" w:rsidR="00C328EF" w:rsidRPr="00E70ECE" w:rsidRDefault="00C328EF" w:rsidP="00C328EF">
            <w:pPr>
              <w:jc w:val="center"/>
            </w:pPr>
          </w:p>
        </w:tc>
        <w:tc>
          <w:tcPr>
            <w:tcW w:w="1276" w:type="dxa"/>
          </w:tcPr>
          <w:p w14:paraId="73C86B6F" w14:textId="77777777" w:rsidR="00C328EF" w:rsidRPr="00C328EF" w:rsidRDefault="00C328EF" w:rsidP="00C328EF">
            <w:pPr>
              <w:tabs>
                <w:tab w:val="decimal" w:pos="1026"/>
              </w:tabs>
              <w:jc w:val="both"/>
              <w:rPr>
                <w:highlight w:val="yellow"/>
              </w:rPr>
            </w:pPr>
            <w:r w:rsidRPr="0000715B">
              <w:t>2</w:t>
            </w:r>
            <w:r w:rsidR="0000715B" w:rsidRPr="0000715B">
              <w:t>26</w:t>
            </w:r>
            <w:r w:rsidRPr="0000715B">
              <w:t>,</w:t>
            </w:r>
            <w:r w:rsidR="0000715B" w:rsidRPr="0000715B">
              <w:t>686</w:t>
            </w:r>
          </w:p>
        </w:tc>
        <w:tc>
          <w:tcPr>
            <w:tcW w:w="1276" w:type="dxa"/>
            <w:gridSpan w:val="2"/>
          </w:tcPr>
          <w:p w14:paraId="6ACE8186" w14:textId="77777777" w:rsidR="00C328EF" w:rsidRPr="00C328EF" w:rsidRDefault="00C328EF" w:rsidP="00C328EF">
            <w:pPr>
              <w:tabs>
                <w:tab w:val="decimal" w:pos="1026"/>
              </w:tabs>
              <w:jc w:val="both"/>
            </w:pPr>
            <w:r w:rsidRPr="00C328EF">
              <w:t>207,339</w:t>
            </w:r>
          </w:p>
        </w:tc>
        <w:tc>
          <w:tcPr>
            <w:tcW w:w="1275" w:type="dxa"/>
            <w:gridSpan w:val="2"/>
          </w:tcPr>
          <w:p w14:paraId="0F4BE9CB" w14:textId="77777777" w:rsidR="00C328EF" w:rsidRPr="00E70ECE" w:rsidRDefault="00C328EF" w:rsidP="00C328EF">
            <w:pPr>
              <w:tabs>
                <w:tab w:val="decimal" w:pos="1026"/>
              </w:tabs>
              <w:jc w:val="both"/>
            </w:pPr>
            <w:r w:rsidRPr="00E70ECE">
              <w:t>9</w:t>
            </w:r>
            <w:r w:rsidR="00E70ECE" w:rsidRPr="00E70ECE">
              <w:t>9</w:t>
            </w:r>
          </w:p>
        </w:tc>
        <w:tc>
          <w:tcPr>
            <w:tcW w:w="1418" w:type="dxa"/>
            <w:gridSpan w:val="2"/>
          </w:tcPr>
          <w:p w14:paraId="6E54CAD0" w14:textId="77777777" w:rsidR="00C328EF" w:rsidRPr="00C328EF" w:rsidRDefault="00C328EF" w:rsidP="00C328EF">
            <w:pPr>
              <w:tabs>
                <w:tab w:val="decimal" w:pos="1026"/>
              </w:tabs>
              <w:jc w:val="both"/>
            </w:pPr>
            <w:r w:rsidRPr="00C328EF">
              <w:t>96</w:t>
            </w:r>
          </w:p>
        </w:tc>
      </w:tr>
      <w:tr w:rsidR="00C328EF" w:rsidRPr="00C328EF" w14:paraId="35A2454F" w14:textId="77777777" w:rsidTr="004D2FFF">
        <w:tc>
          <w:tcPr>
            <w:tcW w:w="4219" w:type="dxa"/>
            <w:gridSpan w:val="2"/>
          </w:tcPr>
          <w:p w14:paraId="76FC1927" w14:textId="77777777" w:rsidR="00C328EF" w:rsidRPr="00402B23" w:rsidRDefault="00C328EF" w:rsidP="00C328EF">
            <w:pPr>
              <w:jc w:val="both"/>
            </w:pPr>
          </w:p>
        </w:tc>
        <w:tc>
          <w:tcPr>
            <w:tcW w:w="567" w:type="dxa"/>
          </w:tcPr>
          <w:p w14:paraId="405DEA4C" w14:textId="77777777" w:rsidR="00C328EF" w:rsidRPr="00E70ECE" w:rsidRDefault="00C328EF" w:rsidP="00C328EF">
            <w:pPr>
              <w:jc w:val="center"/>
            </w:pPr>
          </w:p>
        </w:tc>
        <w:tc>
          <w:tcPr>
            <w:tcW w:w="1276" w:type="dxa"/>
          </w:tcPr>
          <w:p w14:paraId="6DF24CA2" w14:textId="77777777" w:rsidR="00C328EF" w:rsidRPr="00C328EF" w:rsidRDefault="00C328EF" w:rsidP="00C328EF">
            <w:pPr>
              <w:tabs>
                <w:tab w:val="decimal" w:pos="1026"/>
              </w:tabs>
              <w:jc w:val="both"/>
              <w:rPr>
                <w:highlight w:val="yellow"/>
              </w:rPr>
            </w:pPr>
          </w:p>
        </w:tc>
        <w:tc>
          <w:tcPr>
            <w:tcW w:w="1276" w:type="dxa"/>
            <w:gridSpan w:val="2"/>
          </w:tcPr>
          <w:p w14:paraId="0372D9B1" w14:textId="77777777" w:rsidR="00C328EF" w:rsidRPr="00C328EF" w:rsidRDefault="00C328EF" w:rsidP="00C328EF">
            <w:pPr>
              <w:tabs>
                <w:tab w:val="decimal" w:pos="1026"/>
              </w:tabs>
              <w:jc w:val="both"/>
            </w:pPr>
          </w:p>
        </w:tc>
        <w:tc>
          <w:tcPr>
            <w:tcW w:w="1275" w:type="dxa"/>
            <w:gridSpan w:val="2"/>
          </w:tcPr>
          <w:p w14:paraId="68161212" w14:textId="77777777" w:rsidR="00C328EF" w:rsidRPr="00E70ECE" w:rsidRDefault="00C328EF" w:rsidP="00C328EF">
            <w:pPr>
              <w:tabs>
                <w:tab w:val="decimal" w:pos="1026"/>
              </w:tabs>
              <w:jc w:val="both"/>
            </w:pPr>
          </w:p>
        </w:tc>
        <w:tc>
          <w:tcPr>
            <w:tcW w:w="1418" w:type="dxa"/>
            <w:gridSpan w:val="2"/>
          </w:tcPr>
          <w:p w14:paraId="31C03447" w14:textId="77777777" w:rsidR="00C328EF" w:rsidRPr="00C328EF" w:rsidRDefault="00C328EF" w:rsidP="00C328EF">
            <w:pPr>
              <w:tabs>
                <w:tab w:val="decimal" w:pos="1026"/>
              </w:tabs>
              <w:jc w:val="both"/>
            </w:pPr>
          </w:p>
        </w:tc>
      </w:tr>
      <w:tr w:rsidR="00C328EF" w:rsidRPr="00C328EF" w14:paraId="08AED533" w14:textId="77777777" w:rsidTr="004D2FFF">
        <w:tc>
          <w:tcPr>
            <w:tcW w:w="4219" w:type="dxa"/>
            <w:gridSpan w:val="2"/>
          </w:tcPr>
          <w:p w14:paraId="2D49C669" w14:textId="77777777" w:rsidR="00C328EF" w:rsidRPr="00402B23" w:rsidRDefault="00C328EF" w:rsidP="00C328EF">
            <w:pPr>
              <w:jc w:val="both"/>
            </w:pPr>
            <w:r w:rsidRPr="00402B23">
              <w:t>Administrative expenses</w:t>
            </w:r>
          </w:p>
        </w:tc>
        <w:tc>
          <w:tcPr>
            <w:tcW w:w="567" w:type="dxa"/>
          </w:tcPr>
          <w:p w14:paraId="024D7467" w14:textId="77777777" w:rsidR="00C328EF" w:rsidRPr="00E70ECE" w:rsidRDefault="00C328EF" w:rsidP="00C328EF">
            <w:pPr>
              <w:jc w:val="center"/>
            </w:pPr>
          </w:p>
        </w:tc>
        <w:tc>
          <w:tcPr>
            <w:tcW w:w="1276" w:type="dxa"/>
          </w:tcPr>
          <w:p w14:paraId="7077471E" w14:textId="77777777" w:rsidR="00C328EF" w:rsidRPr="00D052B9" w:rsidRDefault="00C328EF" w:rsidP="00C328EF">
            <w:pPr>
              <w:tabs>
                <w:tab w:val="decimal" w:pos="1026"/>
              </w:tabs>
              <w:jc w:val="both"/>
            </w:pPr>
            <w:r w:rsidRPr="00D052B9">
              <w:t>(2</w:t>
            </w:r>
            <w:r w:rsidR="00D052B9" w:rsidRPr="00D052B9">
              <w:t>36</w:t>
            </w:r>
            <w:r w:rsidRPr="00D052B9">
              <w:t>,</w:t>
            </w:r>
            <w:r w:rsidR="00D052B9" w:rsidRPr="00D052B9">
              <w:t>218</w:t>
            </w:r>
            <w:r w:rsidRPr="00D052B9">
              <w:t>)</w:t>
            </w:r>
          </w:p>
        </w:tc>
        <w:tc>
          <w:tcPr>
            <w:tcW w:w="1276" w:type="dxa"/>
            <w:gridSpan w:val="2"/>
          </w:tcPr>
          <w:p w14:paraId="2AF0307B" w14:textId="77777777" w:rsidR="00C328EF" w:rsidRPr="00C328EF" w:rsidRDefault="00C328EF" w:rsidP="00C328EF">
            <w:pPr>
              <w:tabs>
                <w:tab w:val="decimal" w:pos="1026"/>
              </w:tabs>
              <w:jc w:val="both"/>
            </w:pPr>
            <w:r w:rsidRPr="00C328EF">
              <w:t>(210,213)</w:t>
            </w:r>
          </w:p>
        </w:tc>
        <w:tc>
          <w:tcPr>
            <w:tcW w:w="1275" w:type="dxa"/>
            <w:gridSpan w:val="2"/>
          </w:tcPr>
          <w:p w14:paraId="5B809C59" w14:textId="77777777" w:rsidR="00C328EF" w:rsidRPr="00E70ECE" w:rsidRDefault="00C328EF" w:rsidP="00C328EF">
            <w:pPr>
              <w:tabs>
                <w:tab w:val="decimal" w:pos="1026"/>
              </w:tabs>
              <w:jc w:val="both"/>
            </w:pPr>
            <w:r w:rsidRPr="00E70ECE">
              <w:t>(</w:t>
            </w:r>
            <w:r w:rsidR="00E70ECE" w:rsidRPr="00E70ECE">
              <w:t>338</w:t>
            </w:r>
            <w:r w:rsidRPr="00E70ECE">
              <w:t>)</w:t>
            </w:r>
          </w:p>
        </w:tc>
        <w:tc>
          <w:tcPr>
            <w:tcW w:w="1418" w:type="dxa"/>
            <w:gridSpan w:val="2"/>
          </w:tcPr>
          <w:p w14:paraId="6FFAEEFA" w14:textId="77777777" w:rsidR="00C328EF" w:rsidRPr="00C328EF" w:rsidRDefault="00C328EF" w:rsidP="00C328EF">
            <w:pPr>
              <w:tabs>
                <w:tab w:val="decimal" w:pos="1026"/>
              </w:tabs>
              <w:jc w:val="both"/>
            </w:pPr>
            <w:r w:rsidRPr="00C328EF">
              <w:t>(266)</w:t>
            </w:r>
          </w:p>
        </w:tc>
      </w:tr>
      <w:tr w:rsidR="00C328EF" w:rsidRPr="00C328EF" w14:paraId="420A6B81" w14:textId="77777777" w:rsidTr="004D2FFF">
        <w:tc>
          <w:tcPr>
            <w:tcW w:w="4219" w:type="dxa"/>
            <w:gridSpan w:val="2"/>
          </w:tcPr>
          <w:p w14:paraId="3635BA0E" w14:textId="77777777" w:rsidR="00C328EF" w:rsidRPr="00402B23" w:rsidRDefault="00C328EF" w:rsidP="00C328EF">
            <w:pPr>
              <w:jc w:val="both"/>
            </w:pPr>
          </w:p>
        </w:tc>
        <w:tc>
          <w:tcPr>
            <w:tcW w:w="567" w:type="dxa"/>
          </w:tcPr>
          <w:p w14:paraId="462F6B39" w14:textId="77777777" w:rsidR="00C328EF" w:rsidRPr="00E70ECE" w:rsidRDefault="00C328EF" w:rsidP="00C328EF">
            <w:pPr>
              <w:jc w:val="center"/>
            </w:pPr>
          </w:p>
        </w:tc>
        <w:tc>
          <w:tcPr>
            <w:tcW w:w="1276" w:type="dxa"/>
          </w:tcPr>
          <w:p w14:paraId="24315621" w14:textId="77777777" w:rsidR="00C328EF" w:rsidRPr="00D052B9" w:rsidRDefault="00C328EF" w:rsidP="00C328EF">
            <w:pPr>
              <w:tabs>
                <w:tab w:val="decimal" w:pos="1026"/>
              </w:tabs>
              <w:jc w:val="both"/>
            </w:pPr>
            <w:r w:rsidRPr="00D052B9">
              <w:t>───────</w:t>
            </w:r>
          </w:p>
        </w:tc>
        <w:tc>
          <w:tcPr>
            <w:tcW w:w="1276" w:type="dxa"/>
            <w:gridSpan w:val="2"/>
          </w:tcPr>
          <w:p w14:paraId="13C20376" w14:textId="77777777" w:rsidR="00C328EF" w:rsidRPr="00C328EF" w:rsidRDefault="00C328EF" w:rsidP="00C328EF">
            <w:pPr>
              <w:tabs>
                <w:tab w:val="decimal" w:pos="1026"/>
              </w:tabs>
              <w:jc w:val="both"/>
            </w:pPr>
            <w:r w:rsidRPr="00C328EF">
              <w:t>───────</w:t>
            </w:r>
          </w:p>
        </w:tc>
        <w:tc>
          <w:tcPr>
            <w:tcW w:w="1275" w:type="dxa"/>
            <w:gridSpan w:val="2"/>
          </w:tcPr>
          <w:p w14:paraId="150B86AF" w14:textId="77777777" w:rsidR="00C328EF" w:rsidRPr="00E70ECE" w:rsidRDefault="00C328EF" w:rsidP="00C328EF">
            <w:pPr>
              <w:tabs>
                <w:tab w:val="decimal" w:pos="1026"/>
              </w:tabs>
              <w:jc w:val="both"/>
            </w:pPr>
            <w:r w:rsidRPr="00E70ECE">
              <w:t>───────</w:t>
            </w:r>
          </w:p>
        </w:tc>
        <w:tc>
          <w:tcPr>
            <w:tcW w:w="1418" w:type="dxa"/>
            <w:gridSpan w:val="2"/>
          </w:tcPr>
          <w:p w14:paraId="763A9F9E" w14:textId="77777777" w:rsidR="00C328EF" w:rsidRPr="00C328EF" w:rsidRDefault="00C328EF" w:rsidP="00C328EF">
            <w:pPr>
              <w:tabs>
                <w:tab w:val="decimal" w:pos="1026"/>
              </w:tabs>
              <w:jc w:val="both"/>
            </w:pPr>
            <w:r w:rsidRPr="00C328EF">
              <w:t>───────</w:t>
            </w:r>
          </w:p>
        </w:tc>
      </w:tr>
      <w:tr w:rsidR="00C328EF" w:rsidRPr="00C328EF" w14:paraId="7F75C16B" w14:textId="77777777" w:rsidTr="004D2FFF">
        <w:tc>
          <w:tcPr>
            <w:tcW w:w="4219" w:type="dxa"/>
            <w:gridSpan w:val="2"/>
          </w:tcPr>
          <w:p w14:paraId="24CB1E7D" w14:textId="77777777" w:rsidR="00C328EF" w:rsidRPr="00402B23" w:rsidRDefault="00C328EF" w:rsidP="00C328EF">
            <w:pPr>
              <w:rPr>
                <w:b/>
              </w:rPr>
            </w:pPr>
            <w:r w:rsidRPr="00402B23">
              <w:rPr>
                <w:b/>
              </w:rPr>
              <w:t>Loss from operations</w:t>
            </w:r>
          </w:p>
        </w:tc>
        <w:tc>
          <w:tcPr>
            <w:tcW w:w="567" w:type="dxa"/>
          </w:tcPr>
          <w:p w14:paraId="1F5D6719" w14:textId="77777777" w:rsidR="00C328EF" w:rsidRPr="00E70ECE" w:rsidRDefault="00C328EF" w:rsidP="00C328EF">
            <w:pPr>
              <w:jc w:val="center"/>
            </w:pPr>
          </w:p>
        </w:tc>
        <w:tc>
          <w:tcPr>
            <w:tcW w:w="1276" w:type="dxa"/>
          </w:tcPr>
          <w:p w14:paraId="5D48DAB6" w14:textId="77777777" w:rsidR="00C328EF" w:rsidRPr="00D052B9" w:rsidRDefault="00C328EF" w:rsidP="00C328EF">
            <w:pPr>
              <w:tabs>
                <w:tab w:val="decimal" w:pos="1026"/>
              </w:tabs>
              <w:jc w:val="both"/>
            </w:pPr>
            <w:r w:rsidRPr="00D052B9">
              <w:t>(</w:t>
            </w:r>
            <w:r w:rsidR="00D052B9" w:rsidRPr="00D052B9">
              <w:t>9,532</w:t>
            </w:r>
            <w:r w:rsidRPr="00D052B9">
              <w:t>)</w:t>
            </w:r>
          </w:p>
        </w:tc>
        <w:tc>
          <w:tcPr>
            <w:tcW w:w="1276" w:type="dxa"/>
            <w:gridSpan w:val="2"/>
          </w:tcPr>
          <w:p w14:paraId="4EFB4D89" w14:textId="77777777" w:rsidR="00C328EF" w:rsidRPr="00C328EF" w:rsidRDefault="00C328EF" w:rsidP="00C328EF">
            <w:pPr>
              <w:tabs>
                <w:tab w:val="decimal" w:pos="1026"/>
              </w:tabs>
              <w:jc w:val="both"/>
            </w:pPr>
            <w:r w:rsidRPr="00C328EF">
              <w:t>(2,874)</w:t>
            </w:r>
          </w:p>
        </w:tc>
        <w:tc>
          <w:tcPr>
            <w:tcW w:w="1275" w:type="dxa"/>
            <w:gridSpan w:val="2"/>
          </w:tcPr>
          <w:p w14:paraId="19DA5D4F" w14:textId="77777777" w:rsidR="00C328EF" w:rsidRPr="00E70ECE" w:rsidRDefault="00C328EF" w:rsidP="00C328EF">
            <w:pPr>
              <w:tabs>
                <w:tab w:val="decimal" w:pos="1026"/>
              </w:tabs>
              <w:jc w:val="both"/>
            </w:pPr>
            <w:r w:rsidRPr="00E70ECE">
              <w:t>(</w:t>
            </w:r>
            <w:r w:rsidR="00E70ECE" w:rsidRPr="00E70ECE">
              <w:t>239</w:t>
            </w:r>
            <w:r w:rsidRPr="00E70ECE">
              <w:t>)</w:t>
            </w:r>
          </w:p>
        </w:tc>
        <w:tc>
          <w:tcPr>
            <w:tcW w:w="1418" w:type="dxa"/>
            <w:gridSpan w:val="2"/>
          </w:tcPr>
          <w:p w14:paraId="693A5FB0" w14:textId="77777777" w:rsidR="00C328EF" w:rsidRPr="00C328EF" w:rsidRDefault="00C328EF" w:rsidP="00C328EF">
            <w:pPr>
              <w:tabs>
                <w:tab w:val="decimal" w:pos="1026"/>
              </w:tabs>
              <w:jc w:val="both"/>
            </w:pPr>
            <w:r w:rsidRPr="00C328EF">
              <w:t>(170)</w:t>
            </w:r>
          </w:p>
        </w:tc>
      </w:tr>
      <w:tr w:rsidR="00C328EF" w:rsidRPr="00C328EF" w14:paraId="1425F3F7" w14:textId="77777777" w:rsidTr="004D2FFF">
        <w:tc>
          <w:tcPr>
            <w:tcW w:w="4219" w:type="dxa"/>
            <w:gridSpan w:val="2"/>
          </w:tcPr>
          <w:p w14:paraId="638A27F2" w14:textId="77777777" w:rsidR="00C328EF" w:rsidRPr="00C328EF" w:rsidRDefault="00C328EF" w:rsidP="00C328EF">
            <w:pPr>
              <w:jc w:val="both"/>
              <w:rPr>
                <w:highlight w:val="yellow"/>
              </w:rPr>
            </w:pPr>
          </w:p>
        </w:tc>
        <w:tc>
          <w:tcPr>
            <w:tcW w:w="567" w:type="dxa"/>
          </w:tcPr>
          <w:p w14:paraId="462B5557" w14:textId="77777777" w:rsidR="00C328EF" w:rsidRPr="00E70ECE" w:rsidRDefault="00C328EF" w:rsidP="00C328EF">
            <w:pPr>
              <w:jc w:val="center"/>
            </w:pPr>
          </w:p>
        </w:tc>
        <w:tc>
          <w:tcPr>
            <w:tcW w:w="1276" w:type="dxa"/>
          </w:tcPr>
          <w:p w14:paraId="0775D010" w14:textId="77777777" w:rsidR="00C328EF" w:rsidRPr="00C328EF" w:rsidRDefault="00C328EF" w:rsidP="00C328EF">
            <w:pPr>
              <w:tabs>
                <w:tab w:val="decimal" w:pos="1026"/>
              </w:tabs>
              <w:jc w:val="both"/>
              <w:rPr>
                <w:highlight w:val="yellow"/>
              </w:rPr>
            </w:pPr>
          </w:p>
        </w:tc>
        <w:tc>
          <w:tcPr>
            <w:tcW w:w="1276" w:type="dxa"/>
            <w:gridSpan w:val="2"/>
          </w:tcPr>
          <w:p w14:paraId="4DBBA70A" w14:textId="77777777" w:rsidR="00C328EF" w:rsidRPr="00C328EF" w:rsidRDefault="00C328EF" w:rsidP="00C328EF">
            <w:pPr>
              <w:tabs>
                <w:tab w:val="decimal" w:pos="1026"/>
              </w:tabs>
              <w:jc w:val="both"/>
            </w:pPr>
          </w:p>
        </w:tc>
        <w:tc>
          <w:tcPr>
            <w:tcW w:w="1275" w:type="dxa"/>
            <w:gridSpan w:val="2"/>
          </w:tcPr>
          <w:p w14:paraId="3304116F" w14:textId="77777777" w:rsidR="00C328EF" w:rsidRPr="00E70ECE" w:rsidRDefault="00C328EF" w:rsidP="00C328EF">
            <w:pPr>
              <w:tabs>
                <w:tab w:val="decimal" w:pos="1026"/>
              </w:tabs>
              <w:jc w:val="both"/>
            </w:pPr>
          </w:p>
        </w:tc>
        <w:tc>
          <w:tcPr>
            <w:tcW w:w="1418" w:type="dxa"/>
            <w:gridSpan w:val="2"/>
          </w:tcPr>
          <w:p w14:paraId="3E1DB142" w14:textId="77777777" w:rsidR="00C328EF" w:rsidRPr="00C328EF" w:rsidRDefault="00C328EF" w:rsidP="00C328EF">
            <w:pPr>
              <w:tabs>
                <w:tab w:val="decimal" w:pos="1026"/>
              </w:tabs>
              <w:jc w:val="both"/>
            </w:pPr>
          </w:p>
        </w:tc>
      </w:tr>
      <w:tr w:rsidR="00C328EF" w:rsidRPr="00C328EF" w14:paraId="0CA7446E" w14:textId="77777777" w:rsidTr="004D2FFF">
        <w:tc>
          <w:tcPr>
            <w:tcW w:w="4219" w:type="dxa"/>
            <w:gridSpan w:val="2"/>
          </w:tcPr>
          <w:p w14:paraId="0F0D0D0C" w14:textId="77777777" w:rsidR="00C328EF" w:rsidRPr="00402B23" w:rsidRDefault="00C328EF" w:rsidP="00C328EF">
            <w:r w:rsidRPr="00402B23">
              <w:t>Gain on disposal of property, plant and equipment</w:t>
            </w:r>
          </w:p>
        </w:tc>
        <w:tc>
          <w:tcPr>
            <w:tcW w:w="567" w:type="dxa"/>
          </w:tcPr>
          <w:p w14:paraId="02BA2F53" w14:textId="77777777" w:rsidR="00C328EF" w:rsidRPr="0047306F" w:rsidRDefault="00C328EF" w:rsidP="00C328EF">
            <w:pPr>
              <w:jc w:val="center"/>
            </w:pPr>
          </w:p>
          <w:p w14:paraId="3BB62BD7" w14:textId="77777777" w:rsidR="00C328EF" w:rsidRPr="0047306F" w:rsidRDefault="00C328EF" w:rsidP="00C328EF">
            <w:pPr>
              <w:jc w:val="center"/>
            </w:pPr>
            <w:r w:rsidRPr="0047306F">
              <w:t>2</w:t>
            </w:r>
          </w:p>
        </w:tc>
        <w:tc>
          <w:tcPr>
            <w:tcW w:w="1276" w:type="dxa"/>
          </w:tcPr>
          <w:p w14:paraId="56BCA2C9" w14:textId="77777777" w:rsidR="00C328EF" w:rsidRPr="0047306F" w:rsidRDefault="00C328EF" w:rsidP="00C328EF">
            <w:pPr>
              <w:tabs>
                <w:tab w:val="decimal" w:pos="1026"/>
              </w:tabs>
              <w:jc w:val="both"/>
            </w:pPr>
          </w:p>
          <w:p w14:paraId="1DBDD509" w14:textId="77777777" w:rsidR="00C328EF" w:rsidRPr="0047306F" w:rsidRDefault="00D052B9" w:rsidP="00C328EF">
            <w:pPr>
              <w:tabs>
                <w:tab w:val="decimal" w:pos="1026"/>
              </w:tabs>
              <w:jc w:val="both"/>
            </w:pPr>
            <w:r w:rsidRPr="0047306F">
              <w:t>111</w:t>
            </w:r>
          </w:p>
        </w:tc>
        <w:tc>
          <w:tcPr>
            <w:tcW w:w="1276" w:type="dxa"/>
            <w:gridSpan w:val="2"/>
          </w:tcPr>
          <w:p w14:paraId="16A26FD9" w14:textId="77777777" w:rsidR="00C328EF" w:rsidRPr="00C328EF" w:rsidRDefault="00C328EF" w:rsidP="00C328EF">
            <w:pPr>
              <w:tabs>
                <w:tab w:val="decimal" w:pos="1026"/>
              </w:tabs>
              <w:jc w:val="both"/>
            </w:pPr>
          </w:p>
          <w:p w14:paraId="70A9866F" w14:textId="77777777" w:rsidR="00C328EF" w:rsidRPr="00C328EF" w:rsidRDefault="00C328EF" w:rsidP="00C328EF">
            <w:pPr>
              <w:tabs>
                <w:tab w:val="decimal" w:pos="1026"/>
              </w:tabs>
              <w:jc w:val="both"/>
            </w:pPr>
            <w:r w:rsidRPr="00C328EF">
              <w:t>335</w:t>
            </w:r>
          </w:p>
        </w:tc>
        <w:tc>
          <w:tcPr>
            <w:tcW w:w="1275" w:type="dxa"/>
            <w:gridSpan w:val="2"/>
          </w:tcPr>
          <w:p w14:paraId="32974FC7" w14:textId="77777777" w:rsidR="00C328EF" w:rsidRPr="00E70ECE" w:rsidRDefault="00C328EF" w:rsidP="00C328EF">
            <w:pPr>
              <w:tabs>
                <w:tab w:val="decimal" w:pos="1026"/>
              </w:tabs>
              <w:jc w:val="both"/>
            </w:pPr>
          </w:p>
          <w:p w14:paraId="71DC5E15" w14:textId="77777777" w:rsidR="00C328EF" w:rsidRPr="00E70ECE" w:rsidRDefault="00C328EF" w:rsidP="00C328EF">
            <w:pPr>
              <w:tabs>
                <w:tab w:val="decimal" w:pos="1026"/>
              </w:tabs>
              <w:jc w:val="both"/>
            </w:pPr>
            <w:r w:rsidRPr="00E70ECE">
              <w:t>-</w:t>
            </w:r>
          </w:p>
        </w:tc>
        <w:tc>
          <w:tcPr>
            <w:tcW w:w="1418" w:type="dxa"/>
            <w:gridSpan w:val="2"/>
          </w:tcPr>
          <w:p w14:paraId="2E122ED6" w14:textId="77777777" w:rsidR="00C328EF" w:rsidRPr="00C328EF" w:rsidRDefault="00C328EF" w:rsidP="00C328EF">
            <w:pPr>
              <w:tabs>
                <w:tab w:val="decimal" w:pos="1026"/>
              </w:tabs>
              <w:jc w:val="both"/>
            </w:pPr>
          </w:p>
          <w:p w14:paraId="0A9B8E1A" w14:textId="77777777" w:rsidR="00C328EF" w:rsidRPr="00C328EF" w:rsidRDefault="00C328EF" w:rsidP="00C328EF">
            <w:pPr>
              <w:tabs>
                <w:tab w:val="decimal" w:pos="1026"/>
              </w:tabs>
              <w:jc w:val="both"/>
            </w:pPr>
            <w:r w:rsidRPr="00C328EF">
              <w:t>-</w:t>
            </w:r>
          </w:p>
        </w:tc>
      </w:tr>
      <w:tr w:rsidR="00C328EF" w:rsidRPr="00C328EF" w14:paraId="670107E6" w14:textId="77777777" w:rsidTr="004D2FFF">
        <w:tc>
          <w:tcPr>
            <w:tcW w:w="4077" w:type="dxa"/>
          </w:tcPr>
          <w:p w14:paraId="07F8E04B" w14:textId="77777777" w:rsidR="00C328EF" w:rsidRPr="00402B23" w:rsidRDefault="00C328EF" w:rsidP="00C328EF">
            <w:pPr>
              <w:jc w:val="both"/>
            </w:pPr>
            <w:r w:rsidRPr="00402B23">
              <w:t>Impairment of investment in subsidiary</w:t>
            </w:r>
          </w:p>
        </w:tc>
        <w:tc>
          <w:tcPr>
            <w:tcW w:w="709" w:type="dxa"/>
            <w:gridSpan w:val="2"/>
          </w:tcPr>
          <w:p w14:paraId="71C156CA" w14:textId="77777777" w:rsidR="00C328EF" w:rsidRPr="0047306F" w:rsidRDefault="00C328EF" w:rsidP="00C328EF">
            <w:pPr>
              <w:jc w:val="center"/>
            </w:pPr>
            <w:r w:rsidRPr="0047306F">
              <w:t>2,</w:t>
            </w:r>
            <w:r w:rsidR="0047306F" w:rsidRPr="0047306F">
              <w:t>1</w:t>
            </w:r>
            <w:r w:rsidRPr="0047306F">
              <w:t>0</w:t>
            </w:r>
          </w:p>
        </w:tc>
        <w:tc>
          <w:tcPr>
            <w:tcW w:w="1276" w:type="dxa"/>
          </w:tcPr>
          <w:p w14:paraId="212B7068" w14:textId="77777777" w:rsidR="00C328EF" w:rsidRPr="00D052B9" w:rsidRDefault="00C328EF" w:rsidP="00402B23">
            <w:pPr>
              <w:tabs>
                <w:tab w:val="decimal" w:pos="1026"/>
              </w:tabs>
              <w:ind w:right="170"/>
              <w:jc w:val="both"/>
            </w:pPr>
            <w:r w:rsidRPr="00D052B9">
              <w:t>-</w:t>
            </w:r>
          </w:p>
        </w:tc>
        <w:tc>
          <w:tcPr>
            <w:tcW w:w="1276" w:type="dxa"/>
            <w:gridSpan w:val="2"/>
          </w:tcPr>
          <w:p w14:paraId="1A840459" w14:textId="77777777" w:rsidR="00C328EF" w:rsidRPr="00E70ECE" w:rsidRDefault="00402B23" w:rsidP="00C328EF">
            <w:pPr>
              <w:tabs>
                <w:tab w:val="decimal" w:pos="1026"/>
              </w:tabs>
              <w:jc w:val="both"/>
            </w:pPr>
            <w:r w:rsidRPr="00E70ECE">
              <w:t>-</w:t>
            </w:r>
          </w:p>
        </w:tc>
        <w:tc>
          <w:tcPr>
            <w:tcW w:w="1275" w:type="dxa"/>
            <w:gridSpan w:val="2"/>
          </w:tcPr>
          <w:p w14:paraId="55A79782" w14:textId="77777777" w:rsidR="00C328EF" w:rsidRPr="00E70ECE" w:rsidRDefault="00C328EF" w:rsidP="00C328EF">
            <w:pPr>
              <w:tabs>
                <w:tab w:val="decimal" w:pos="1026"/>
              </w:tabs>
              <w:jc w:val="both"/>
            </w:pPr>
            <w:r w:rsidRPr="00E70ECE">
              <w:t>(</w:t>
            </w:r>
            <w:r w:rsidR="00E70ECE" w:rsidRPr="00E70ECE">
              <w:t>8</w:t>
            </w:r>
            <w:r w:rsidRPr="00E70ECE">
              <w:t>,000)</w:t>
            </w:r>
          </w:p>
        </w:tc>
        <w:tc>
          <w:tcPr>
            <w:tcW w:w="1418" w:type="dxa"/>
            <w:gridSpan w:val="2"/>
          </w:tcPr>
          <w:p w14:paraId="196C3384" w14:textId="77777777" w:rsidR="00C328EF" w:rsidRPr="00C328EF" w:rsidRDefault="00C328EF" w:rsidP="00C328EF">
            <w:pPr>
              <w:tabs>
                <w:tab w:val="decimal" w:pos="1026"/>
              </w:tabs>
              <w:jc w:val="both"/>
            </w:pPr>
            <w:r w:rsidRPr="00C328EF">
              <w:t>(12,000)</w:t>
            </w:r>
          </w:p>
        </w:tc>
      </w:tr>
      <w:tr w:rsidR="00C328EF" w:rsidRPr="00C328EF" w14:paraId="593DA1D1" w14:textId="77777777" w:rsidTr="004D2FFF">
        <w:tc>
          <w:tcPr>
            <w:tcW w:w="4219" w:type="dxa"/>
            <w:gridSpan w:val="2"/>
          </w:tcPr>
          <w:p w14:paraId="2D98DE32" w14:textId="77777777" w:rsidR="00C328EF" w:rsidRPr="00402B23" w:rsidRDefault="00C328EF" w:rsidP="00C328EF">
            <w:pPr>
              <w:jc w:val="both"/>
            </w:pPr>
            <w:r w:rsidRPr="00402B23">
              <w:t>Finance income</w:t>
            </w:r>
          </w:p>
        </w:tc>
        <w:tc>
          <w:tcPr>
            <w:tcW w:w="567" w:type="dxa"/>
          </w:tcPr>
          <w:p w14:paraId="5C90DD42" w14:textId="77777777" w:rsidR="00C328EF" w:rsidRPr="00E70ECE" w:rsidRDefault="00C328EF" w:rsidP="00C328EF">
            <w:pPr>
              <w:jc w:val="center"/>
            </w:pPr>
            <w:r w:rsidRPr="00E70ECE">
              <w:t>3</w:t>
            </w:r>
          </w:p>
        </w:tc>
        <w:tc>
          <w:tcPr>
            <w:tcW w:w="1276" w:type="dxa"/>
          </w:tcPr>
          <w:p w14:paraId="3C85168D" w14:textId="77777777" w:rsidR="00C328EF" w:rsidRPr="00D052B9" w:rsidRDefault="00D052B9" w:rsidP="00C328EF">
            <w:pPr>
              <w:tabs>
                <w:tab w:val="decimal" w:pos="1026"/>
              </w:tabs>
              <w:jc w:val="both"/>
            </w:pPr>
            <w:r w:rsidRPr="00D052B9">
              <w:t>6</w:t>
            </w:r>
            <w:r w:rsidR="00C328EF" w:rsidRPr="00D052B9">
              <w:t>,1</w:t>
            </w:r>
            <w:r w:rsidRPr="00D052B9">
              <w:t>78</w:t>
            </w:r>
          </w:p>
        </w:tc>
        <w:tc>
          <w:tcPr>
            <w:tcW w:w="1276" w:type="dxa"/>
            <w:gridSpan w:val="2"/>
          </w:tcPr>
          <w:p w14:paraId="58BEF670" w14:textId="77777777" w:rsidR="00C328EF" w:rsidRPr="00C328EF" w:rsidRDefault="00C328EF" w:rsidP="00C328EF">
            <w:pPr>
              <w:tabs>
                <w:tab w:val="decimal" w:pos="1026"/>
              </w:tabs>
              <w:jc w:val="both"/>
            </w:pPr>
            <w:r w:rsidRPr="00C328EF">
              <w:t>8,701</w:t>
            </w:r>
          </w:p>
        </w:tc>
        <w:tc>
          <w:tcPr>
            <w:tcW w:w="1275" w:type="dxa"/>
            <w:gridSpan w:val="2"/>
          </w:tcPr>
          <w:p w14:paraId="31011103" w14:textId="77777777" w:rsidR="00C328EF" w:rsidRPr="00E70ECE" w:rsidRDefault="00E70ECE" w:rsidP="00C328EF">
            <w:pPr>
              <w:tabs>
                <w:tab w:val="decimal" w:pos="1026"/>
              </w:tabs>
              <w:jc w:val="both"/>
            </w:pPr>
            <w:r w:rsidRPr="00E70ECE">
              <w:t>-</w:t>
            </w:r>
          </w:p>
        </w:tc>
        <w:tc>
          <w:tcPr>
            <w:tcW w:w="1418" w:type="dxa"/>
            <w:gridSpan w:val="2"/>
          </w:tcPr>
          <w:p w14:paraId="10F67044" w14:textId="77777777" w:rsidR="00C328EF" w:rsidRPr="00C328EF" w:rsidRDefault="00C328EF" w:rsidP="00C328EF">
            <w:pPr>
              <w:tabs>
                <w:tab w:val="decimal" w:pos="1026"/>
              </w:tabs>
              <w:jc w:val="both"/>
            </w:pPr>
            <w:r w:rsidRPr="00C328EF">
              <w:t>2,912</w:t>
            </w:r>
          </w:p>
        </w:tc>
      </w:tr>
      <w:tr w:rsidR="00C328EF" w:rsidRPr="00C328EF" w14:paraId="7EDC772E" w14:textId="77777777" w:rsidTr="004D2FFF">
        <w:tc>
          <w:tcPr>
            <w:tcW w:w="4219" w:type="dxa"/>
            <w:gridSpan w:val="2"/>
          </w:tcPr>
          <w:p w14:paraId="2C75A2D9" w14:textId="77777777" w:rsidR="00C328EF" w:rsidRPr="00402B23" w:rsidRDefault="00C328EF" w:rsidP="00C328EF">
            <w:pPr>
              <w:jc w:val="both"/>
            </w:pPr>
            <w:r w:rsidRPr="00402B23">
              <w:t>Finance costs</w:t>
            </w:r>
          </w:p>
        </w:tc>
        <w:tc>
          <w:tcPr>
            <w:tcW w:w="567" w:type="dxa"/>
          </w:tcPr>
          <w:p w14:paraId="37F52318" w14:textId="77777777" w:rsidR="00C328EF" w:rsidRPr="00E70ECE" w:rsidRDefault="00C328EF" w:rsidP="00C328EF">
            <w:pPr>
              <w:jc w:val="center"/>
            </w:pPr>
            <w:r w:rsidRPr="00E70ECE">
              <w:t>4</w:t>
            </w:r>
          </w:p>
        </w:tc>
        <w:tc>
          <w:tcPr>
            <w:tcW w:w="1276" w:type="dxa"/>
          </w:tcPr>
          <w:p w14:paraId="52501567" w14:textId="77777777" w:rsidR="00C328EF" w:rsidRPr="00D052B9" w:rsidRDefault="00C328EF" w:rsidP="00C328EF">
            <w:pPr>
              <w:tabs>
                <w:tab w:val="decimal" w:pos="1026"/>
              </w:tabs>
              <w:jc w:val="both"/>
            </w:pPr>
            <w:r w:rsidRPr="00D052B9">
              <w:t>(1,</w:t>
            </w:r>
            <w:r w:rsidR="00D052B9" w:rsidRPr="00D052B9">
              <w:t>197</w:t>
            </w:r>
            <w:r w:rsidRPr="00D052B9">
              <w:t>)</w:t>
            </w:r>
          </w:p>
        </w:tc>
        <w:tc>
          <w:tcPr>
            <w:tcW w:w="1276" w:type="dxa"/>
            <w:gridSpan w:val="2"/>
          </w:tcPr>
          <w:p w14:paraId="6551E768" w14:textId="77777777" w:rsidR="00C328EF" w:rsidRPr="00C328EF" w:rsidRDefault="00C328EF" w:rsidP="00C328EF">
            <w:pPr>
              <w:tabs>
                <w:tab w:val="decimal" w:pos="1026"/>
              </w:tabs>
              <w:jc w:val="both"/>
            </w:pPr>
            <w:r w:rsidRPr="00C328EF">
              <w:t>(1,423)</w:t>
            </w:r>
          </w:p>
        </w:tc>
        <w:tc>
          <w:tcPr>
            <w:tcW w:w="1275" w:type="dxa"/>
            <w:gridSpan w:val="2"/>
          </w:tcPr>
          <w:p w14:paraId="12277C91" w14:textId="77777777" w:rsidR="00C328EF" w:rsidRPr="00E70ECE" w:rsidRDefault="00C328EF" w:rsidP="00C328EF">
            <w:pPr>
              <w:tabs>
                <w:tab w:val="decimal" w:pos="1026"/>
              </w:tabs>
              <w:jc w:val="both"/>
            </w:pPr>
            <w:r w:rsidRPr="00E70ECE">
              <w:t>-</w:t>
            </w:r>
          </w:p>
        </w:tc>
        <w:tc>
          <w:tcPr>
            <w:tcW w:w="1418" w:type="dxa"/>
            <w:gridSpan w:val="2"/>
          </w:tcPr>
          <w:p w14:paraId="0FE27CDA" w14:textId="77777777" w:rsidR="00C328EF" w:rsidRPr="00C328EF" w:rsidRDefault="00C328EF" w:rsidP="00C328EF">
            <w:pPr>
              <w:tabs>
                <w:tab w:val="decimal" w:pos="1026"/>
              </w:tabs>
              <w:jc w:val="both"/>
            </w:pPr>
            <w:r w:rsidRPr="00C328EF">
              <w:t>-</w:t>
            </w:r>
          </w:p>
        </w:tc>
      </w:tr>
      <w:tr w:rsidR="00C328EF" w:rsidRPr="00C328EF" w14:paraId="6F33C9D1" w14:textId="77777777" w:rsidTr="004D2FFF">
        <w:tc>
          <w:tcPr>
            <w:tcW w:w="4219" w:type="dxa"/>
            <w:gridSpan w:val="2"/>
          </w:tcPr>
          <w:p w14:paraId="6AD5248E" w14:textId="77777777" w:rsidR="00C328EF" w:rsidRPr="00C328EF" w:rsidRDefault="00C328EF" w:rsidP="00C328EF">
            <w:pPr>
              <w:rPr>
                <w:highlight w:val="yellow"/>
              </w:rPr>
            </w:pPr>
          </w:p>
        </w:tc>
        <w:tc>
          <w:tcPr>
            <w:tcW w:w="567" w:type="dxa"/>
          </w:tcPr>
          <w:p w14:paraId="0DE85DBD" w14:textId="77777777" w:rsidR="00C328EF" w:rsidRPr="00E70ECE" w:rsidRDefault="00C328EF" w:rsidP="00C328EF">
            <w:pPr>
              <w:jc w:val="center"/>
            </w:pPr>
          </w:p>
        </w:tc>
        <w:tc>
          <w:tcPr>
            <w:tcW w:w="1276" w:type="dxa"/>
          </w:tcPr>
          <w:p w14:paraId="2660E2C5" w14:textId="77777777" w:rsidR="00C328EF" w:rsidRPr="00D052B9" w:rsidRDefault="00C328EF" w:rsidP="00C328EF">
            <w:pPr>
              <w:tabs>
                <w:tab w:val="decimal" w:pos="1026"/>
              </w:tabs>
              <w:jc w:val="both"/>
            </w:pPr>
            <w:r w:rsidRPr="00D052B9">
              <w:t>───────</w:t>
            </w:r>
          </w:p>
        </w:tc>
        <w:tc>
          <w:tcPr>
            <w:tcW w:w="1276" w:type="dxa"/>
            <w:gridSpan w:val="2"/>
          </w:tcPr>
          <w:p w14:paraId="6DE86180" w14:textId="77777777" w:rsidR="00C328EF" w:rsidRPr="00C328EF" w:rsidRDefault="00C328EF" w:rsidP="00C328EF">
            <w:pPr>
              <w:tabs>
                <w:tab w:val="decimal" w:pos="1026"/>
              </w:tabs>
              <w:jc w:val="both"/>
            </w:pPr>
            <w:r w:rsidRPr="00C328EF">
              <w:t>───────</w:t>
            </w:r>
          </w:p>
        </w:tc>
        <w:tc>
          <w:tcPr>
            <w:tcW w:w="1275" w:type="dxa"/>
            <w:gridSpan w:val="2"/>
          </w:tcPr>
          <w:p w14:paraId="06F165B6" w14:textId="77777777" w:rsidR="00C328EF" w:rsidRPr="00E70ECE" w:rsidRDefault="00C328EF" w:rsidP="00C328EF">
            <w:pPr>
              <w:tabs>
                <w:tab w:val="decimal" w:pos="1026"/>
              </w:tabs>
              <w:jc w:val="both"/>
            </w:pPr>
            <w:r w:rsidRPr="00E70ECE">
              <w:t>───────</w:t>
            </w:r>
          </w:p>
        </w:tc>
        <w:tc>
          <w:tcPr>
            <w:tcW w:w="1418" w:type="dxa"/>
            <w:gridSpan w:val="2"/>
          </w:tcPr>
          <w:p w14:paraId="75D7B47B" w14:textId="77777777" w:rsidR="00C328EF" w:rsidRPr="00C328EF" w:rsidRDefault="00C328EF" w:rsidP="00C328EF">
            <w:pPr>
              <w:tabs>
                <w:tab w:val="decimal" w:pos="1026"/>
              </w:tabs>
              <w:jc w:val="both"/>
            </w:pPr>
            <w:r w:rsidRPr="00C328EF">
              <w:t>───────</w:t>
            </w:r>
          </w:p>
        </w:tc>
      </w:tr>
      <w:tr w:rsidR="00C328EF" w:rsidRPr="00C328EF" w14:paraId="07EB8E8D" w14:textId="77777777" w:rsidTr="004D2FFF">
        <w:tc>
          <w:tcPr>
            <w:tcW w:w="4219" w:type="dxa"/>
            <w:gridSpan w:val="2"/>
          </w:tcPr>
          <w:p w14:paraId="30D24FF0" w14:textId="77777777" w:rsidR="00C328EF" w:rsidRPr="0000715B" w:rsidRDefault="0000715B" w:rsidP="00C328EF">
            <w:pPr>
              <w:rPr>
                <w:b/>
              </w:rPr>
            </w:pPr>
            <w:r w:rsidRPr="0000715B">
              <w:rPr>
                <w:b/>
              </w:rPr>
              <w:t>(Loss)/p</w:t>
            </w:r>
            <w:r w:rsidR="00C328EF" w:rsidRPr="0000715B">
              <w:rPr>
                <w:b/>
              </w:rPr>
              <w:t>rofit</w:t>
            </w:r>
            <w:r w:rsidRPr="0000715B">
              <w:rPr>
                <w:b/>
              </w:rPr>
              <w:t xml:space="preserve"> </w:t>
            </w:r>
            <w:r w:rsidR="00C328EF" w:rsidRPr="0000715B">
              <w:rPr>
                <w:b/>
              </w:rPr>
              <w:t>before income tax expense</w:t>
            </w:r>
          </w:p>
        </w:tc>
        <w:tc>
          <w:tcPr>
            <w:tcW w:w="567" w:type="dxa"/>
          </w:tcPr>
          <w:p w14:paraId="0F516B27" w14:textId="77777777" w:rsidR="00C328EF" w:rsidRPr="00E70ECE" w:rsidRDefault="00C328EF" w:rsidP="00C328EF">
            <w:pPr>
              <w:jc w:val="center"/>
            </w:pPr>
          </w:p>
        </w:tc>
        <w:tc>
          <w:tcPr>
            <w:tcW w:w="1276" w:type="dxa"/>
          </w:tcPr>
          <w:p w14:paraId="41887D27" w14:textId="77777777" w:rsidR="00C328EF" w:rsidRPr="00D052B9" w:rsidRDefault="00D052B9" w:rsidP="00C328EF">
            <w:pPr>
              <w:tabs>
                <w:tab w:val="decimal" w:pos="1026"/>
              </w:tabs>
              <w:jc w:val="both"/>
            </w:pPr>
            <w:r w:rsidRPr="00D052B9">
              <w:t>(</w:t>
            </w:r>
            <w:r w:rsidR="00C328EF" w:rsidRPr="00D052B9">
              <w:t>4,</w:t>
            </w:r>
            <w:r w:rsidRPr="00D052B9">
              <w:t>440)</w:t>
            </w:r>
          </w:p>
        </w:tc>
        <w:tc>
          <w:tcPr>
            <w:tcW w:w="1276" w:type="dxa"/>
            <w:gridSpan w:val="2"/>
          </w:tcPr>
          <w:p w14:paraId="2C360DAC" w14:textId="77777777" w:rsidR="00C328EF" w:rsidRPr="00C328EF" w:rsidRDefault="00C328EF" w:rsidP="00C328EF">
            <w:pPr>
              <w:tabs>
                <w:tab w:val="decimal" w:pos="1026"/>
              </w:tabs>
              <w:jc w:val="both"/>
            </w:pPr>
            <w:r w:rsidRPr="00C328EF">
              <w:t>4,739</w:t>
            </w:r>
          </w:p>
        </w:tc>
        <w:tc>
          <w:tcPr>
            <w:tcW w:w="1275" w:type="dxa"/>
            <w:gridSpan w:val="2"/>
          </w:tcPr>
          <w:p w14:paraId="30B7446B" w14:textId="77777777" w:rsidR="00C328EF" w:rsidRPr="00E70ECE" w:rsidRDefault="00C328EF" w:rsidP="00C328EF">
            <w:pPr>
              <w:tabs>
                <w:tab w:val="decimal" w:pos="1026"/>
              </w:tabs>
              <w:jc w:val="both"/>
            </w:pPr>
            <w:r w:rsidRPr="00E70ECE">
              <w:t>(</w:t>
            </w:r>
            <w:r w:rsidR="00E70ECE" w:rsidRPr="00E70ECE">
              <w:t>8</w:t>
            </w:r>
            <w:r w:rsidRPr="00E70ECE">
              <w:t>,2</w:t>
            </w:r>
            <w:r w:rsidR="00E70ECE">
              <w:t>39</w:t>
            </w:r>
            <w:r w:rsidRPr="00E70ECE">
              <w:t>)</w:t>
            </w:r>
          </w:p>
        </w:tc>
        <w:tc>
          <w:tcPr>
            <w:tcW w:w="1418" w:type="dxa"/>
            <w:gridSpan w:val="2"/>
          </w:tcPr>
          <w:p w14:paraId="01C89AE9" w14:textId="77777777" w:rsidR="00C328EF" w:rsidRPr="00C328EF" w:rsidRDefault="00C328EF" w:rsidP="00C328EF">
            <w:pPr>
              <w:tabs>
                <w:tab w:val="decimal" w:pos="1026"/>
              </w:tabs>
              <w:jc w:val="both"/>
            </w:pPr>
            <w:r w:rsidRPr="00C328EF">
              <w:t>(9,258)</w:t>
            </w:r>
          </w:p>
        </w:tc>
      </w:tr>
      <w:tr w:rsidR="00C328EF" w:rsidRPr="00C328EF" w14:paraId="211FD475" w14:textId="77777777" w:rsidTr="004D2FFF">
        <w:tc>
          <w:tcPr>
            <w:tcW w:w="4219" w:type="dxa"/>
            <w:gridSpan w:val="2"/>
          </w:tcPr>
          <w:p w14:paraId="72C869A6" w14:textId="77777777" w:rsidR="00C328EF" w:rsidRPr="0000715B" w:rsidRDefault="00C328EF" w:rsidP="00C328EF"/>
        </w:tc>
        <w:tc>
          <w:tcPr>
            <w:tcW w:w="567" w:type="dxa"/>
          </w:tcPr>
          <w:p w14:paraId="0D89FF82" w14:textId="77777777" w:rsidR="00C328EF" w:rsidRPr="00E70ECE" w:rsidRDefault="00C328EF" w:rsidP="00C328EF">
            <w:pPr>
              <w:jc w:val="center"/>
            </w:pPr>
          </w:p>
        </w:tc>
        <w:tc>
          <w:tcPr>
            <w:tcW w:w="1276" w:type="dxa"/>
          </w:tcPr>
          <w:p w14:paraId="021BCC50" w14:textId="77777777" w:rsidR="00C328EF" w:rsidRPr="00D052B9" w:rsidRDefault="00C328EF" w:rsidP="00C328EF">
            <w:pPr>
              <w:tabs>
                <w:tab w:val="decimal" w:pos="1026"/>
              </w:tabs>
              <w:jc w:val="both"/>
            </w:pPr>
          </w:p>
        </w:tc>
        <w:tc>
          <w:tcPr>
            <w:tcW w:w="1276" w:type="dxa"/>
            <w:gridSpan w:val="2"/>
          </w:tcPr>
          <w:p w14:paraId="7F79C15F" w14:textId="77777777" w:rsidR="00C328EF" w:rsidRPr="00C328EF" w:rsidRDefault="00C328EF" w:rsidP="00C328EF">
            <w:pPr>
              <w:tabs>
                <w:tab w:val="decimal" w:pos="1026"/>
              </w:tabs>
              <w:jc w:val="both"/>
            </w:pPr>
          </w:p>
        </w:tc>
        <w:tc>
          <w:tcPr>
            <w:tcW w:w="1275" w:type="dxa"/>
            <w:gridSpan w:val="2"/>
          </w:tcPr>
          <w:p w14:paraId="7CFC4F13" w14:textId="77777777" w:rsidR="00C328EF" w:rsidRPr="00C328EF" w:rsidRDefault="00C328EF" w:rsidP="00C328EF">
            <w:pPr>
              <w:tabs>
                <w:tab w:val="decimal" w:pos="1026"/>
              </w:tabs>
              <w:jc w:val="both"/>
              <w:rPr>
                <w:highlight w:val="yellow"/>
              </w:rPr>
            </w:pPr>
          </w:p>
        </w:tc>
        <w:tc>
          <w:tcPr>
            <w:tcW w:w="1418" w:type="dxa"/>
            <w:gridSpan w:val="2"/>
          </w:tcPr>
          <w:p w14:paraId="76727C84" w14:textId="77777777" w:rsidR="00C328EF" w:rsidRPr="00C328EF" w:rsidRDefault="00C328EF" w:rsidP="00C328EF">
            <w:pPr>
              <w:tabs>
                <w:tab w:val="decimal" w:pos="1026"/>
              </w:tabs>
              <w:jc w:val="both"/>
            </w:pPr>
          </w:p>
        </w:tc>
      </w:tr>
      <w:tr w:rsidR="00C328EF" w:rsidRPr="00C328EF" w14:paraId="075B407C" w14:textId="77777777" w:rsidTr="004D2FFF">
        <w:tc>
          <w:tcPr>
            <w:tcW w:w="4219" w:type="dxa"/>
            <w:gridSpan w:val="2"/>
          </w:tcPr>
          <w:p w14:paraId="5D2653C2" w14:textId="77777777" w:rsidR="00C328EF" w:rsidRPr="0000715B" w:rsidRDefault="00C328EF" w:rsidP="00C328EF">
            <w:r w:rsidRPr="0000715B">
              <w:t>Income tax expense</w:t>
            </w:r>
          </w:p>
        </w:tc>
        <w:tc>
          <w:tcPr>
            <w:tcW w:w="567" w:type="dxa"/>
          </w:tcPr>
          <w:p w14:paraId="22682FB7" w14:textId="77777777" w:rsidR="00C328EF" w:rsidRPr="00E70ECE" w:rsidRDefault="00C328EF" w:rsidP="00C328EF">
            <w:pPr>
              <w:jc w:val="center"/>
            </w:pPr>
            <w:r w:rsidRPr="00E70ECE">
              <w:t>6</w:t>
            </w:r>
          </w:p>
        </w:tc>
        <w:tc>
          <w:tcPr>
            <w:tcW w:w="1276" w:type="dxa"/>
          </w:tcPr>
          <w:p w14:paraId="11FB4B16" w14:textId="77777777" w:rsidR="00C328EF" w:rsidRPr="00D052B9" w:rsidRDefault="00C328EF" w:rsidP="00C328EF">
            <w:pPr>
              <w:tabs>
                <w:tab w:val="decimal" w:pos="1026"/>
              </w:tabs>
              <w:jc w:val="both"/>
            </w:pPr>
            <w:r w:rsidRPr="00D052B9">
              <w:t>(</w:t>
            </w:r>
            <w:r w:rsidR="00D052B9" w:rsidRPr="00D052B9">
              <w:t>2,081</w:t>
            </w:r>
            <w:r w:rsidRPr="00D052B9">
              <w:t>)</w:t>
            </w:r>
          </w:p>
        </w:tc>
        <w:tc>
          <w:tcPr>
            <w:tcW w:w="1276" w:type="dxa"/>
            <w:gridSpan w:val="2"/>
          </w:tcPr>
          <w:p w14:paraId="707C4908" w14:textId="77777777" w:rsidR="00C328EF" w:rsidRPr="00C328EF" w:rsidRDefault="00C328EF" w:rsidP="00C328EF">
            <w:pPr>
              <w:tabs>
                <w:tab w:val="decimal" w:pos="1026"/>
              </w:tabs>
              <w:jc w:val="both"/>
            </w:pPr>
            <w:r w:rsidRPr="00C328EF">
              <w:t>(617)</w:t>
            </w:r>
          </w:p>
        </w:tc>
        <w:tc>
          <w:tcPr>
            <w:tcW w:w="1275" w:type="dxa"/>
            <w:gridSpan w:val="2"/>
          </w:tcPr>
          <w:p w14:paraId="6B0AA107" w14:textId="77777777" w:rsidR="00C328EF" w:rsidRPr="00565458" w:rsidRDefault="00565458" w:rsidP="00C328EF">
            <w:pPr>
              <w:tabs>
                <w:tab w:val="decimal" w:pos="1026"/>
              </w:tabs>
              <w:jc w:val="both"/>
            </w:pPr>
            <w:r w:rsidRPr="00565458">
              <w:t>60</w:t>
            </w:r>
          </w:p>
        </w:tc>
        <w:tc>
          <w:tcPr>
            <w:tcW w:w="1418" w:type="dxa"/>
            <w:gridSpan w:val="2"/>
          </w:tcPr>
          <w:p w14:paraId="11D083C1" w14:textId="77777777" w:rsidR="00C328EF" w:rsidRPr="00C328EF" w:rsidRDefault="00C328EF" w:rsidP="00C328EF">
            <w:pPr>
              <w:tabs>
                <w:tab w:val="decimal" w:pos="1026"/>
              </w:tabs>
              <w:jc w:val="both"/>
            </w:pPr>
            <w:r w:rsidRPr="00C328EF">
              <w:t>39</w:t>
            </w:r>
          </w:p>
        </w:tc>
      </w:tr>
      <w:tr w:rsidR="00C328EF" w:rsidRPr="00C328EF" w14:paraId="48D96AB8" w14:textId="77777777" w:rsidTr="004D2FFF">
        <w:tc>
          <w:tcPr>
            <w:tcW w:w="4219" w:type="dxa"/>
            <w:gridSpan w:val="2"/>
          </w:tcPr>
          <w:p w14:paraId="52C57F75" w14:textId="77777777" w:rsidR="00C328EF" w:rsidRPr="0000715B" w:rsidRDefault="00C328EF" w:rsidP="00C328EF"/>
        </w:tc>
        <w:tc>
          <w:tcPr>
            <w:tcW w:w="567" w:type="dxa"/>
          </w:tcPr>
          <w:p w14:paraId="7DB77DFF" w14:textId="77777777" w:rsidR="00C328EF" w:rsidRPr="00E70ECE" w:rsidRDefault="00C328EF" w:rsidP="00C328EF">
            <w:pPr>
              <w:jc w:val="center"/>
            </w:pPr>
          </w:p>
        </w:tc>
        <w:tc>
          <w:tcPr>
            <w:tcW w:w="1276" w:type="dxa"/>
          </w:tcPr>
          <w:p w14:paraId="03699F52" w14:textId="77777777" w:rsidR="00C328EF" w:rsidRPr="00D052B9" w:rsidRDefault="00C328EF" w:rsidP="00C328EF">
            <w:pPr>
              <w:tabs>
                <w:tab w:val="decimal" w:pos="1026"/>
              </w:tabs>
              <w:jc w:val="both"/>
            </w:pPr>
            <w:r w:rsidRPr="00D052B9">
              <w:t>───────</w:t>
            </w:r>
          </w:p>
        </w:tc>
        <w:tc>
          <w:tcPr>
            <w:tcW w:w="1276" w:type="dxa"/>
            <w:gridSpan w:val="2"/>
          </w:tcPr>
          <w:p w14:paraId="0611ADB0" w14:textId="77777777" w:rsidR="00C328EF" w:rsidRPr="00C328EF" w:rsidRDefault="00C328EF" w:rsidP="00C328EF">
            <w:pPr>
              <w:tabs>
                <w:tab w:val="decimal" w:pos="1026"/>
              </w:tabs>
              <w:jc w:val="both"/>
            </w:pPr>
            <w:r w:rsidRPr="00C328EF">
              <w:t>───────</w:t>
            </w:r>
          </w:p>
        </w:tc>
        <w:tc>
          <w:tcPr>
            <w:tcW w:w="1275" w:type="dxa"/>
            <w:gridSpan w:val="2"/>
          </w:tcPr>
          <w:p w14:paraId="6F40E272" w14:textId="77777777" w:rsidR="00C328EF" w:rsidRPr="00565458" w:rsidRDefault="00C328EF" w:rsidP="00C328EF">
            <w:pPr>
              <w:tabs>
                <w:tab w:val="decimal" w:pos="1026"/>
              </w:tabs>
              <w:jc w:val="both"/>
            </w:pPr>
            <w:r w:rsidRPr="00565458">
              <w:t>───────</w:t>
            </w:r>
          </w:p>
        </w:tc>
        <w:tc>
          <w:tcPr>
            <w:tcW w:w="1418" w:type="dxa"/>
            <w:gridSpan w:val="2"/>
          </w:tcPr>
          <w:p w14:paraId="273C2162" w14:textId="77777777" w:rsidR="00C328EF" w:rsidRPr="00C328EF" w:rsidRDefault="00C328EF" w:rsidP="00C328EF">
            <w:pPr>
              <w:tabs>
                <w:tab w:val="decimal" w:pos="1026"/>
              </w:tabs>
              <w:jc w:val="both"/>
            </w:pPr>
            <w:r w:rsidRPr="00C328EF">
              <w:t>───────</w:t>
            </w:r>
          </w:p>
        </w:tc>
      </w:tr>
      <w:tr w:rsidR="00C328EF" w:rsidRPr="00C328EF" w14:paraId="491D2634" w14:textId="77777777" w:rsidTr="004D2FFF">
        <w:tc>
          <w:tcPr>
            <w:tcW w:w="4219" w:type="dxa"/>
            <w:gridSpan w:val="2"/>
          </w:tcPr>
          <w:p w14:paraId="57DFDE92" w14:textId="77777777" w:rsidR="00C328EF" w:rsidRPr="0000715B" w:rsidRDefault="00C328EF" w:rsidP="00C328EF">
            <w:pPr>
              <w:rPr>
                <w:b/>
              </w:rPr>
            </w:pPr>
            <w:r w:rsidRPr="0000715B">
              <w:rPr>
                <w:b/>
              </w:rPr>
              <w:t xml:space="preserve">Net </w:t>
            </w:r>
            <w:r w:rsidR="0000715B" w:rsidRPr="0000715B">
              <w:rPr>
                <w:b/>
              </w:rPr>
              <w:t>(loss)/</w:t>
            </w:r>
            <w:r w:rsidRPr="0000715B">
              <w:rPr>
                <w:b/>
              </w:rPr>
              <w:t xml:space="preserve">profit for the </w:t>
            </w:r>
            <w:r w:rsidR="00002C01" w:rsidRPr="0000715B">
              <w:rPr>
                <w:b/>
              </w:rPr>
              <w:t>period</w:t>
            </w:r>
            <w:r w:rsidRPr="0000715B">
              <w:rPr>
                <w:b/>
              </w:rPr>
              <w:t xml:space="preserve"> </w:t>
            </w:r>
          </w:p>
        </w:tc>
        <w:tc>
          <w:tcPr>
            <w:tcW w:w="567" w:type="dxa"/>
          </w:tcPr>
          <w:p w14:paraId="426A7D0D" w14:textId="77777777" w:rsidR="00C328EF" w:rsidRPr="00E70ECE" w:rsidRDefault="00C328EF" w:rsidP="00C328EF">
            <w:pPr>
              <w:jc w:val="center"/>
            </w:pPr>
          </w:p>
        </w:tc>
        <w:tc>
          <w:tcPr>
            <w:tcW w:w="1276" w:type="dxa"/>
          </w:tcPr>
          <w:p w14:paraId="0A4C38CA" w14:textId="77777777" w:rsidR="00C328EF" w:rsidRPr="00D052B9" w:rsidRDefault="00D052B9" w:rsidP="00C328EF">
            <w:pPr>
              <w:tabs>
                <w:tab w:val="decimal" w:pos="1026"/>
              </w:tabs>
              <w:jc w:val="both"/>
            </w:pPr>
            <w:r w:rsidRPr="00D052B9">
              <w:t>(6</w:t>
            </w:r>
            <w:r w:rsidR="00C328EF" w:rsidRPr="00D052B9">
              <w:t>,</w:t>
            </w:r>
            <w:r w:rsidRPr="00D052B9">
              <w:t>5</w:t>
            </w:r>
            <w:r w:rsidR="00C328EF" w:rsidRPr="00D052B9">
              <w:t>2</w:t>
            </w:r>
            <w:r w:rsidRPr="00D052B9">
              <w:t>1)</w:t>
            </w:r>
          </w:p>
        </w:tc>
        <w:tc>
          <w:tcPr>
            <w:tcW w:w="1276" w:type="dxa"/>
            <w:gridSpan w:val="2"/>
          </w:tcPr>
          <w:p w14:paraId="292B416D" w14:textId="77777777" w:rsidR="00C328EF" w:rsidRPr="00C328EF" w:rsidRDefault="00C328EF" w:rsidP="00C328EF">
            <w:pPr>
              <w:tabs>
                <w:tab w:val="decimal" w:pos="1026"/>
              </w:tabs>
              <w:jc w:val="both"/>
            </w:pPr>
            <w:r w:rsidRPr="00C328EF">
              <w:t>4,122</w:t>
            </w:r>
          </w:p>
        </w:tc>
        <w:tc>
          <w:tcPr>
            <w:tcW w:w="1275" w:type="dxa"/>
            <w:gridSpan w:val="2"/>
          </w:tcPr>
          <w:p w14:paraId="7B79B43B" w14:textId="77777777" w:rsidR="00C328EF" w:rsidRPr="00565458" w:rsidRDefault="00C328EF" w:rsidP="00C328EF">
            <w:pPr>
              <w:tabs>
                <w:tab w:val="decimal" w:pos="1026"/>
              </w:tabs>
              <w:jc w:val="both"/>
            </w:pPr>
            <w:r w:rsidRPr="00565458">
              <w:t>(</w:t>
            </w:r>
            <w:r w:rsidR="00E70ECE" w:rsidRPr="00565458">
              <w:t>8</w:t>
            </w:r>
            <w:r w:rsidRPr="00565458">
              <w:t>,</w:t>
            </w:r>
            <w:r w:rsidR="00565458" w:rsidRPr="00565458">
              <w:t>17</w:t>
            </w:r>
            <w:r w:rsidRPr="00565458">
              <w:t>9)</w:t>
            </w:r>
          </w:p>
        </w:tc>
        <w:tc>
          <w:tcPr>
            <w:tcW w:w="1418" w:type="dxa"/>
            <w:gridSpan w:val="2"/>
          </w:tcPr>
          <w:p w14:paraId="07044023" w14:textId="77777777" w:rsidR="00C328EF" w:rsidRPr="00C328EF" w:rsidRDefault="00C328EF" w:rsidP="00C328EF">
            <w:pPr>
              <w:tabs>
                <w:tab w:val="decimal" w:pos="1026"/>
              </w:tabs>
              <w:jc w:val="both"/>
            </w:pPr>
            <w:r w:rsidRPr="00C328EF">
              <w:t>(9,219)</w:t>
            </w:r>
          </w:p>
        </w:tc>
      </w:tr>
      <w:tr w:rsidR="00C328EF" w:rsidRPr="00C328EF" w14:paraId="6A272E18" w14:textId="77777777" w:rsidTr="004D2FFF">
        <w:tc>
          <w:tcPr>
            <w:tcW w:w="4219" w:type="dxa"/>
            <w:gridSpan w:val="2"/>
          </w:tcPr>
          <w:p w14:paraId="7E4F6829" w14:textId="77777777" w:rsidR="00C328EF" w:rsidRPr="00C328EF" w:rsidRDefault="00C328EF" w:rsidP="00C328EF">
            <w:pPr>
              <w:rPr>
                <w:highlight w:val="yellow"/>
              </w:rPr>
            </w:pPr>
          </w:p>
        </w:tc>
        <w:tc>
          <w:tcPr>
            <w:tcW w:w="567" w:type="dxa"/>
          </w:tcPr>
          <w:p w14:paraId="475BF3D7" w14:textId="77777777" w:rsidR="00C328EF" w:rsidRPr="00E70ECE" w:rsidRDefault="00C328EF" w:rsidP="00C328EF">
            <w:pPr>
              <w:jc w:val="center"/>
            </w:pPr>
          </w:p>
        </w:tc>
        <w:tc>
          <w:tcPr>
            <w:tcW w:w="1276" w:type="dxa"/>
          </w:tcPr>
          <w:p w14:paraId="2DA65E31" w14:textId="77777777" w:rsidR="00C328EF" w:rsidRPr="00D052B9" w:rsidRDefault="00C328EF" w:rsidP="00C328EF">
            <w:pPr>
              <w:tabs>
                <w:tab w:val="decimal" w:pos="1026"/>
              </w:tabs>
              <w:jc w:val="both"/>
            </w:pPr>
            <w:r w:rsidRPr="00D052B9">
              <w:t>═══════</w:t>
            </w:r>
          </w:p>
        </w:tc>
        <w:tc>
          <w:tcPr>
            <w:tcW w:w="1276" w:type="dxa"/>
            <w:gridSpan w:val="2"/>
          </w:tcPr>
          <w:p w14:paraId="62784488" w14:textId="77777777" w:rsidR="00C328EF" w:rsidRPr="00C328EF" w:rsidRDefault="00C328EF" w:rsidP="00C328EF">
            <w:pPr>
              <w:tabs>
                <w:tab w:val="decimal" w:pos="1026"/>
              </w:tabs>
              <w:jc w:val="both"/>
            </w:pPr>
            <w:r w:rsidRPr="00C328EF">
              <w:t>═══════</w:t>
            </w:r>
          </w:p>
        </w:tc>
        <w:tc>
          <w:tcPr>
            <w:tcW w:w="1275" w:type="dxa"/>
            <w:gridSpan w:val="2"/>
          </w:tcPr>
          <w:p w14:paraId="3AEA013B" w14:textId="77777777" w:rsidR="00C328EF" w:rsidRPr="00565458" w:rsidRDefault="00C328EF" w:rsidP="00C328EF">
            <w:pPr>
              <w:tabs>
                <w:tab w:val="decimal" w:pos="1026"/>
              </w:tabs>
              <w:jc w:val="both"/>
            </w:pPr>
            <w:r w:rsidRPr="00565458">
              <w:t>═══════</w:t>
            </w:r>
          </w:p>
        </w:tc>
        <w:tc>
          <w:tcPr>
            <w:tcW w:w="1418" w:type="dxa"/>
            <w:gridSpan w:val="2"/>
          </w:tcPr>
          <w:p w14:paraId="3E3DF685" w14:textId="77777777" w:rsidR="00C328EF" w:rsidRPr="00C328EF" w:rsidRDefault="00C328EF" w:rsidP="00C328EF">
            <w:pPr>
              <w:tabs>
                <w:tab w:val="decimal" w:pos="1026"/>
              </w:tabs>
              <w:jc w:val="both"/>
            </w:pPr>
            <w:r w:rsidRPr="00C328EF">
              <w:t>═══════</w:t>
            </w:r>
          </w:p>
        </w:tc>
      </w:tr>
      <w:tr w:rsidR="00C328EF" w:rsidRPr="00C328EF" w14:paraId="3E57681C" w14:textId="77777777" w:rsidTr="004D2FFF">
        <w:trPr>
          <w:trHeight w:val="185"/>
        </w:trPr>
        <w:tc>
          <w:tcPr>
            <w:tcW w:w="4219" w:type="dxa"/>
            <w:gridSpan w:val="2"/>
          </w:tcPr>
          <w:p w14:paraId="7C20507E" w14:textId="77777777" w:rsidR="00C328EF" w:rsidRPr="00C328EF" w:rsidRDefault="00C328EF" w:rsidP="00C328EF">
            <w:pPr>
              <w:rPr>
                <w:highlight w:val="yellow"/>
              </w:rPr>
            </w:pPr>
          </w:p>
        </w:tc>
        <w:tc>
          <w:tcPr>
            <w:tcW w:w="567" w:type="dxa"/>
          </w:tcPr>
          <w:p w14:paraId="7EBCE2B0" w14:textId="77777777" w:rsidR="00C328EF" w:rsidRPr="00C328EF" w:rsidRDefault="00C328EF" w:rsidP="00C328EF">
            <w:pPr>
              <w:jc w:val="center"/>
              <w:rPr>
                <w:highlight w:val="yellow"/>
              </w:rPr>
            </w:pPr>
          </w:p>
        </w:tc>
        <w:tc>
          <w:tcPr>
            <w:tcW w:w="1276" w:type="dxa"/>
          </w:tcPr>
          <w:p w14:paraId="2F516FF3" w14:textId="77777777" w:rsidR="00C328EF" w:rsidRPr="00C328EF" w:rsidRDefault="00C328EF" w:rsidP="00C328EF">
            <w:pPr>
              <w:tabs>
                <w:tab w:val="decimal" w:pos="1026"/>
              </w:tabs>
              <w:jc w:val="both"/>
              <w:rPr>
                <w:highlight w:val="yellow"/>
              </w:rPr>
            </w:pPr>
          </w:p>
        </w:tc>
        <w:tc>
          <w:tcPr>
            <w:tcW w:w="1276" w:type="dxa"/>
            <w:gridSpan w:val="2"/>
          </w:tcPr>
          <w:p w14:paraId="62409A69" w14:textId="77777777" w:rsidR="00C328EF" w:rsidRPr="00C328EF" w:rsidRDefault="00C328EF" w:rsidP="00C328EF">
            <w:pPr>
              <w:tabs>
                <w:tab w:val="decimal" w:pos="1026"/>
              </w:tabs>
              <w:jc w:val="both"/>
            </w:pPr>
          </w:p>
        </w:tc>
        <w:tc>
          <w:tcPr>
            <w:tcW w:w="1275" w:type="dxa"/>
            <w:gridSpan w:val="2"/>
          </w:tcPr>
          <w:p w14:paraId="6370A5E1" w14:textId="77777777" w:rsidR="00C328EF" w:rsidRPr="00565458" w:rsidRDefault="00C328EF" w:rsidP="00C328EF">
            <w:pPr>
              <w:tabs>
                <w:tab w:val="decimal" w:pos="1026"/>
              </w:tabs>
              <w:jc w:val="both"/>
            </w:pPr>
          </w:p>
        </w:tc>
        <w:tc>
          <w:tcPr>
            <w:tcW w:w="1418" w:type="dxa"/>
            <w:gridSpan w:val="2"/>
          </w:tcPr>
          <w:p w14:paraId="73988C9D" w14:textId="77777777" w:rsidR="00C328EF" w:rsidRPr="00C328EF" w:rsidRDefault="00C328EF" w:rsidP="00C328EF">
            <w:pPr>
              <w:tabs>
                <w:tab w:val="decimal" w:pos="1026"/>
              </w:tabs>
              <w:jc w:val="both"/>
            </w:pPr>
          </w:p>
        </w:tc>
      </w:tr>
      <w:tr w:rsidR="00C328EF" w:rsidRPr="00C328EF" w14:paraId="61360C69" w14:textId="77777777" w:rsidTr="004D2FFF">
        <w:tc>
          <w:tcPr>
            <w:tcW w:w="4219" w:type="dxa"/>
            <w:gridSpan w:val="2"/>
          </w:tcPr>
          <w:p w14:paraId="3A41C46D" w14:textId="77777777" w:rsidR="00C328EF" w:rsidRPr="00402B23" w:rsidRDefault="00C328EF" w:rsidP="00C328EF">
            <w:r w:rsidRPr="00402B23">
              <w:t>Attributable to:</w:t>
            </w:r>
          </w:p>
        </w:tc>
        <w:tc>
          <w:tcPr>
            <w:tcW w:w="567" w:type="dxa"/>
          </w:tcPr>
          <w:p w14:paraId="081963AA" w14:textId="77777777" w:rsidR="00C328EF" w:rsidRPr="00C328EF" w:rsidRDefault="00C328EF" w:rsidP="00C328EF">
            <w:pPr>
              <w:jc w:val="center"/>
              <w:rPr>
                <w:highlight w:val="yellow"/>
              </w:rPr>
            </w:pPr>
          </w:p>
        </w:tc>
        <w:tc>
          <w:tcPr>
            <w:tcW w:w="1276" w:type="dxa"/>
          </w:tcPr>
          <w:p w14:paraId="511130F8" w14:textId="77777777" w:rsidR="00C328EF" w:rsidRPr="00C328EF" w:rsidRDefault="00C328EF" w:rsidP="00C328EF">
            <w:pPr>
              <w:tabs>
                <w:tab w:val="decimal" w:pos="1026"/>
              </w:tabs>
              <w:jc w:val="both"/>
              <w:rPr>
                <w:highlight w:val="yellow"/>
              </w:rPr>
            </w:pPr>
          </w:p>
        </w:tc>
        <w:tc>
          <w:tcPr>
            <w:tcW w:w="1276" w:type="dxa"/>
            <w:gridSpan w:val="2"/>
          </w:tcPr>
          <w:p w14:paraId="1B908D7C" w14:textId="77777777" w:rsidR="00C328EF" w:rsidRPr="00C328EF" w:rsidRDefault="00C328EF" w:rsidP="00C328EF">
            <w:pPr>
              <w:tabs>
                <w:tab w:val="decimal" w:pos="1026"/>
              </w:tabs>
              <w:jc w:val="both"/>
            </w:pPr>
          </w:p>
        </w:tc>
        <w:tc>
          <w:tcPr>
            <w:tcW w:w="1275" w:type="dxa"/>
            <w:gridSpan w:val="2"/>
          </w:tcPr>
          <w:p w14:paraId="13909D66" w14:textId="77777777" w:rsidR="00C328EF" w:rsidRPr="00565458" w:rsidRDefault="00C328EF" w:rsidP="00C328EF">
            <w:pPr>
              <w:tabs>
                <w:tab w:val="decimal" w:pos="1026"/>
              </w:tabs>
              <w:jc w:val="both"/>
            </w:pPr>
          </w:p>
        </w:tc>
        <w:tc>
          <w:tcPr>
            <w:tcW w:w="1418" w:type="dxa"/>
            <w:gridSpan w:val="2"/>
          </w:tcPr>
          <w:p w14:paraId="2DF3133E" w14:textId="77777777" w:rsidR="00C328EF" w:rsidRPr="00C328EF" w:rsidRDefault="00C328EF" w:rsidP="00C328EF">
            <w:pPr>
              <w:tabs>
                <w:tab w:val="decimal" w:pos="1026"/>
              </w:tabs>
              <w:jc w:val="both"/>
            </w:pPr>
          </w:p>
        </w:tc>
      </w:tr>
      <w:tr w:rsidR="00C328EF" w:rsidRPr="00C328EF" w14:paraId="35DFFB33" w14:textId="77777777" w:rsidTr="004D2FFF">
        <w:tc>
          <w:tcPr>
            <w:tcW w:w="4219" w:type="dxa"/>
            <w:gridSpan w:val="2"/>
          </w:tcPr>
          <w:p w14:paraId="7186FEA5" w14:textId="77777777" w:rsidR="00C328EF" w:rsidRPr="00402B23" w:rsidRDefault="00C328EF" w:rsidP="00C328EF">
            <w:r w:rsidRPr="00402B23">
              <w:t>Equity holders</w:t>
            </w:r>
          </w:p>
        </w:tc>
        <w:tc>
          <w:tcPr>
            <w:tcW w:w="567" w:type="dxa"/>
          </w:tcPr>
          <w:p w14:paraId="62E3EC5C" w14:textId="77777777" w:rsidR="00C328EF" w:rsidRPr="0047306F" w:rsidRDefault="00C328EF" w:rsidP="00C328EF">
            <w:pPr>
              <w:jc w:val="center"/>
            </w:pPr>
            <w:r w:rsidRPr="0047306F">
              <w:t>1</w:t>
            </w:r>
            <w:r w:rsidR="0047306F" w:rsidRPr="0047306F">
              <w:t>9</w:t>
            </w:r>
          </w:p>
        </w:tc>
        <w:tc>
          <w:tcPr>
            <w:tcW w:w="1276" w:type="dxa"/>
          </w:tcPr>
          <w:p w14:paraId="5CEF7F54" w14:textId="77777777" w:rsidR="00C328EF" w:rsidRPr="00D052B9" w:rsidRDefault="00D052B9" w:rsidP="00C328EF">
            <w:pPr>
              <w:tabs>
                <w:tab w:val="decimal" w:pos="1026"/>
              </w:tabs>
              <w:jc w:val="both"/>
            </w:pPr>
            <w:r w:rsidRPr="00D052B9">
              <w:t>(6</w:t>
            </w:r>
            <w:r w:rsidR="00C328EF" w:rsidRPr="00D052B9">
              <w:t>,81</w:t>
            </w:r>
            <w:r w:rsidRPr="00D052B9">
              <w:t>8)</w:t>
            </w:r>
          </w:p>
        </w:tc>
        <w:tc>
          <w:tcPr>
            <w:tcW w:w="1276" w:type="dxa"/>
            <w:gridSpan w:val="2"/>
          </w:tcPr>
          <w:p w14:paraId="6AF4A7A8" w14:textId="77777777" w:rsidR="00C328EF" w:rsidRPr="00C328EF" w:rsidRDefault="00C328EF" w:rsidP="00C328EF">
            <w:pPr>
              <w:tabs>
                <w:tab w:val="decimal" w:pos="1026"/>
              </w:tabs>
              <w:jc w:val="both"/>
            </w:pPr>
            <w:r w:rsidRPr="00C328EF">
              <w:t>2,811</w:t>
            </w:r>
          </w:p>
        </w:tc>
        <w:tc>
          <w:tcPr>
            <w:tcW w:w="1275" w:type="dxa"/>
            <w:gridSpan w:val="2"/>
          </w:tcPr>
          <w:p w14:paraId="46D0D8AF" w14:textId="77777777" w:rsidR="00C328EF" w:rsidRPr="00565458" w:rsidRDefault="00C328EF" w:rsidP="00C328EF">
            <w:pPr>
              <w:tabs>
                <w:tab w:val="decimal" w:pos="1026"/>
              </w:tabs>
              <w:jc w:val="both"/>
            </w:pPr>
            <w:r w:rsidRPr="00565458">
              <w:t>(</w:t>
            </w:r>
            <w:r w:rsidR="00E70ECE" w:rsidRPr="00565458">
              <w:t>8</w:t>
            </w:r>
            <w:r w:rsidRPr="00565458">
              <w:t>,</w:t>
            </w:r>
            <w:r w:rsidR="00565458" w:rsidRPr="00565458">
              <w:t>17</w:t>
            </w:r>
            <w:r w:rsidRPr="00565458">
              <w:t>9)</w:t>
            </w:r>
          </w:p>
        </w:tc>
        <w:tc>
          <w:tcPr>
            <w:tcW w:w="1418" w:type="dxa"/>
            <w:gridSpan w:val="2"/>
          </w:tcPr>
          <w:p w14:paraId="551586C4" w14:textId="77777777" w:rsidR="00C328EF" w:rsidRPr="00C328EF" w:rsidRDefault="00C328EF" w:rsidP="00C328EF">
            <w:pPr>
              <w:tabs>
                <w:tab w:val="decimal" w:pos="1026"/>
              </w:tabs>
              <w:jc w:val="both"/>
            </w:pPr>
            <w:r w:rsidRPr="00C328EF">
              <w:t>(9,219)</w:t>
            </w:r>
          </w:p>
        </w:tc>
      </w:tr>
      <w:tr w:rsidR="00C328EF" w:rsidRPr="00C328EF" w14:paraId="12D4E95D" w14:textId="77777777" w:rsidTr="004D2FFF">
        <w:trPr>
          <w:trHeight w:val="195"/>
        </w:trPr>
        <w:tc>
          <w:tcPr>
            <w:tcW w:w="4219" w:type="dxa"/>
            <w:gridSpan w:val="2"/>
          </w:tcPr>
          <w:p w14:paraId="6CB49FE0" w14:textId="77777777" w:rsidR="00C328EF" w:rsidRPr="00402B23" w:rsidRDefault="00C328EF" w:rsidP="00C328EF">
            <w:r w:rsidRPr="00402B23">
              <w:t>Non-controlling interest</w:t>
            </w:r>
          </w:p>
        </w:tc>
        <w:tc>
          <w:tcPr>
            <w:tcW w:w="567" w:type="dxa"/>
          </w:tcPr>
          <w:p w14:paraId="68665819" w14:textId="77777777" w:rsidR="00C328EF" w:rsidRPr="0047306F" w:rsidRDefault="0047306F" w:rsidP="00C328EF">
            <w:pPr>
              <w:jc w:val="center"/>
            </w:pPr>
            <w:r w:rsidRPr="0047306F">
              <w:t>20</w:t>
            </w:r>
          </w:p>
        </w:tc>
        <w:tc>
          <w:tcPr>
            <w:tcW w:w="1276" w:type="dxa"/>
          </w:tcPr>
          <w:p w14:paraId="394E9D82" w14:textId="77777777" w:rsidR="00C328EF" w:rsidRPr="00D052B9" w:rsidRDefault="00D052B9" w:rsidP="00C328EF">
            <w:pPr>
              <w:tabs>
                <w:tab w:val="decimal" w:pos="1026"/>
              </w:tabs>
              <w:jc w:val="both"/>
            </w:pPr>
            <w:r w:rsidRPr="00D052B9">
              <w:t>297</w:t>
            </w:r>
          </w:p>
        </w:tc>
        <w:tc>
          <w:tcPr>
            <w:tcW w:w="1276" w:type="dxa"/>
            <w:gridSpan w:val="2"/>
          </w:tcPr>
          <w:p w14:paraId="17FD69AF" w14:textId="77777777" w:rsidR="00C328EF" w:rsidRPr="00C328EF" w:rsidRDefault="00C328EF" w:rsidP="00C328EF">
            <w:pPr>
              <w:tabs>
                <w:tab w:val="decimal" w:pos="1026"/>
              </w:tabs>
              <w:jc w:val="both"/>
            </w:pPr>
            <w:r w:rsidRPr="00C328EF">
              <w:t>1,311</w:t>
            </w:r>
          </w:p>
        </w:tc>
        <w:tc>
          <w:tcPr>
            <w:tcW w:w="1275" w:type="dxa"/>
            <w:gridSpan w:val="2"/>
          </w:tcPr>
          <w:p w14:paraId="6FCC0FCD" w14:textId="77777777" w:rsidR="00C328EF" w:rsidRPr="00565458" w:rsidRDefault="00C328EF" w:rsidP="00C328EF">
            <w:pPr>
              <w:tabs>
                <w:tab w:val="decimal" w:pos="1026"/>
              </w:tabs>
              <w:jc w:val="both"/>
            </w:pPr>
            <w:r w:rsidRPr="00565458">
              <w:t>-</w:t>
            </w:r>
          </w:p>
        </w:tc>
        <w:tc>
          <w:tcPr>
            <w:tcW w:w="1418" w:type="dxa"/>
            <w:gridSpan w:val="2"/>
          </w:tcPr>
          <w:p w14:paraId="02871247" w14:textId="77777777" w:rsidR="00C328EF" w:rsidRPr="00C328EF" w:rsidRDefault="00C328EF" w:rsidP="00C328EF">
            <w:pPr>
              <w:tabs>
                <w:tab w:val="decimal" w:pos="1026"/>
              </w:tabs>
              <w:jc w:val="both"/>
            </w:pPr>
            <w:r w:rsidRPr="00C328EF">
              <w:t>-</w:t>
            </w:r>
          </w:p>
        </w:tc>
      </w:tr>
      <w:tr w:rsidR="00C328EF" w:rsidRPr="00C328EF" w14:paraId="43AD02E9" w14:textId="77777777" w:rsidTr="004D2FFF">
        <w:tc>
          <w:tcPr>
            <w:tcW w:w="4219" w:type="dxa"/>
            <w:gridSpan w:val="2"/>
          </w:tcPr>
          <w:p w14:paraId="0D0957C7" w14:textId="77777777" w:rsidR="00C328EF" w:rsidRPr="00402B23" w:rsidRDefault="00C328EF" w:rsidP="00C328EF">
            <w:pPr>
              <w:rPr>
                <w:b/>
              </w:rPr>
            </w:pPr>
          </w:p>
        </w:tc>
        <w:tc>
          <w:tcPr>
            <w:tcW w:w="567" w:type="dxa"/>
          </w:tcPr>
          <w:p w14:paraId="3A79203F" w14:textId="77777777" w:rsidR="00C328EF" w:rsidRPr="00C328EF" w:rsidRDefault="00C328EF" w:rsidP="00C328EF">
            <w:pPr>
              <w:jc w:val="center"/>
              <w:rPr>
                <w:highlight w:val="yellow"/>
              </w:rPr>
            </w:pPr>
          </w:p>
        </w:tc>
        <w:tc>
          <w:tcPr>
            <w:tcW w:w="1276" w:type="dxa"/>
          </w:tcPr>
          <w:p w14:paraId="53D6D825" w14:textId="77777777" w:rsidR="00C328EF" w:rsidRPr="00C328EF" w:rsidRDefault="00C328EF" w:rsidP="00C328EF">
            <w:pPr>
              <w:tabs>
                <w:tab w:val="decimal" w:pos="1026"/>
              </w:tabs>
              <w:jc w:val="both"/>
              <w:rPr>
                <w:highlight w:val="yellow"/>
              </w:rPr>
            </w:pPr>
          </w:p>
        </w:tc>
        <w:tc>
          <w:tcPr>
            <w:tcW w:w="1276" w:type="dxa"/>
            <w:gridSpan w:val="2"/>
          </w:tcPr>
          <w:p w14:paraId="742ED350" w14:textId="77777777" w:rsidR="00C328EF" w:rsidRPr="00C328EF" w:rsidRDefault="00C328EF" w:rsidP="00C328EF">
            <w:pPr>
              <w:tabs>
                <w:tab w:val="decimal" w:pos="1026"/>
              </w:tabs>
              <w:jc w:val="both"/>
            </w:pPr>
          </w:p>
        </w:tc>
        <w:tc>
          <w:tcPr>
            <w:tcW w:w="1275" w:type="dxa"/>
            <w:gridSpan w:val="2"/>
          </w:tcPr>
          <w:p w14:paraId="436D9607" w14:textId="77777777" w:rsidR="00C328EF" w:rsidRPr="00565458" w:rsidRDefault="00C328EF" w:rsidP="00C328EF">
            <w:pPr>
              <w:tabs>
                <w:tab w:val="decimal" w:pos="1026"/>
              </w:tabs>
              <w:jc w:val="both"/>
            </w:pPr>
          </w:p>
        </w:tc>
        <w:tc>
          <w:tcPr>
            <w:tcW w:w="1418" w:type="dxa"/>
            <w:gridSpan w:val="2"/>
          </w:tcPr>
          <w:p w14:paraId="5E216F05" w14:textId="77777777" w:rsidR="00C328EF" w:rsidRPr="00C328EF" w:rsidRDefault="00C328EF" w:rsidP="00C328EF">
            <w:pPr>
              <w:tabs>
                <w:tab w:val="decimal" w:pos="1026"/>
              </w:tabs>
              <w:jc w:val="both"/>
            </w:pPr>
          </w:p>
        </w:tc>
      </w:tr>
      <w:tr w:rsidR="00C328EF" w:rsidRPr="00C328EF" w14:paraId="18A35D8E" w14:textId="77777777" w:rsidTr="004D2FFF">
        <w:tc>
          <w:tcPr>
            <w:tcW w:w="4219" w:type="dxa"/>
            <w:gridSpan w:val="2"/>
          </w:tcPr>
          <w:p w14:paraId="5F55744B" w14:textId="77777777" w:rsidR="00C328EF" w:rsidRPr="00603D3E" w:rsidRDefault="00C328EF" w:rsidP="00C328EF">
            <w:r w:rsidRPr="00603D3E">
              <w:rPr>
                <w:b/>
              </w:rPr>
              <w:t>Other comprehensive income/(expense):</w:t>
            </w:r>
          </w:p>
        </w:tc>
        <w:tc>
          <w:tcPr>
            <w:tcW w:w="567" w:type="dxa"/>
          </w:tcPr>
          <w:p w14:paraId="6C5B3E4E" w14:textId="77777777" w:rsidR="00C328EF" w:rsidRPr="00603D3E" w:rsidRDefault="00C328EF" w:rsidP="00C328EF">
            <w:pPr>
              <w:jc w:val="center"/>
            </w:pPr>
          </w:p>
        </w:tc>
        <w:tc>
          <w:tcPr>
            <w:tcW w:w="1276" w:type="dxa"/>
          </w:tcPr>
          <w:p w14:paraId="0372271B" w14:textId="77777777" w:rsidR="00C328EF" w:rsidRPr="00C328EF" w:rsidRDefault="00C328EF" w:rsidP="00C328EF">
            <w:pPr>
              <w:tabs>
                <w:tab w:val="decimal" w:pos="1026"/>
              </w:tabs>
              <w:jc w:val="both"/>
              <w:rPr>
                <w:highlight w:val="yellow"/>
              </w:rPr>
            </w:pPr>
          </w:p>
        </w:tc>
        <w:tc>
          <w:tcPr>
            <w:tcW w:w="1276" w:type="dxa"/>
            <w:gridSpan w:val="2"/>
          </w:tcPr>
          <w:p w14:paraId="4D52F885" w14:textId="77777777" w:rsidR="00C328EF" w:rsidRPr="00C328EF" w:rsidRDefault="00C328EF" w:rsidP="00C328EF">
            <w:pPr>
              <w:tabs>
                <w:tab w:val="decimal" w:pos="1026"/>
              </w:tabs>
              <w:jc w:val="both"/>
            </w:pPr>
          </w:p>
        </w:tc>
        <w:tc>
          <w:tcPr>
            <w:tcW w:w="1275" w:type="dxa"/>
            <w:gridSpan w:val="2"/>
          </w:tcPr>
          <w:p w14:paraId="0314EBA0" w14:textId="77777777" w:rsidR="00C328EF" w:rsidRPr="00565458" w:rsidRDefault="00C328EF" w:rsidP="00C328EF">
            <w:pPr>
              <w:tabs>
                <w:tab w:val="decimal" w:pos="1026"/>
              </w:tabs>
              <w:jc w:val="both"/>
            </w:pPr>
          </w:p>
        </w:tc>
        <w:tc>
          <w:tcPr>
            <w:tcW w:w="1418" w:type="dxa"/>
            <w:gridSpan w:val="2"/>
          </w:tcPr>
          <w:p w14:paraId="549FFC6A" w14:textId="77777777" w:rsidR="00C328EF" w:rsidRPr="00C328EF" w:rsidRDefault="00C328EF" w:rsidP="00C328EF">
            <w:pPr>
              <w:tabs>
                <w:tab w:val="decimal" w:pos="1026"/>
              </w:tabs>
              <w:jc w:val="both"/>
            </w:pPr>
          </w:p>
        </w:tc>
      </w:tr>
      <w:tr w:rsidR="00C328EF" w:rsidRPr="00C328EF" w14:paraId="445F2C5D" w14:textId="77777777" w:rsidTr="004D2FFF">
        <w:tc>
          <w:tcPr>
            <w:tcW w:w="4219" w:type="dxa"/>
            <w:gridSpan w:val="2"/>
          </w:tcPr>
          <w:p w14:paraId="4E48E268" w14:textId="77777777" w:rsidR="00C328EF" w:rsidRPr="00E70ECE" w:rsidRDefault="00C328EF" w:rsidP="00C328EF">
            <w:pPr>
              <w:rPr>
                <w:b/>
              </w:rPr>
            </w:pPr>
            <w:r w:rsidRPr="00E70ECE">
              <w:rPr>
                <w:b/>
              </w:rPr>
              <w:t>Those that are recyclable net of tax:</w:t>
            </w:r>
          </w:p>
        </w:tc>
        <w:tc>
          <w:tcPr>
            <w:tcW w:w="567" w:type="dxa"/>
          </w:tcPr>
          <w:p w14:paraId="5D22971B" w14:textId="77777777" w:rsidR="00C328EF" w:rsidRPr="00C328EF" w:rsidRDefault="00C328EF" w:rsidP="00C328EF">
            <w:pPr>
              <w:jc w:val="center"/>
              <w:rPr>
                <w:highlight w:val="yellow"/>
              </w:rPr>
            </w:pPr>
          </w:p>
        </w:tc>
        <w:tc>
          <w:tcPr>
            <w:tcW w:w="1276" w:type="dxa"/>
          </w:tcPr>
          <w:p w14:paraId="130BD328" w14:textId="77777777" w:rsidR="00C328EF" w:rsidRPr="00C328EF" w:rsidRDefault="00C328EF" w:rsidP="00C328EF">
            <w:pPr>
              <w:tabs>
                <w:tab w:val="decimal" w:pos="1026"/>
              </w:tabs>
              <w:jc w:val="both"/>
              <w:rPr>
                <w:highlight w:val="yellow"/>
              </w:rPr>
            </w:pPr>
          </w:p>
        </w:tc>
        <w:tc>
          <w:tcPr>
            <w:tcW w:w="1276" w:type="dxa"/>
            <w:gridSpan w:val="2"/>
          </w:tcPr>
          <w:p w14:paraId="47B07208" w14:textId="77777777" w:rsidR="00C328EF" w:rsidRPr="00C328EF" w:rsidRDefault="00C328EF" w:rsidP="00C328EF">
            <w:pPr>
              <w:tabs>
                <w:tab w:val="decimal" w:pos="1026"/>
              </w:tabs>
              <w:jc w:val="both"/>
            </w:pPr>
          </w:p>
        </w:tc>
        <w:tc>
          <w:tcPr>
            <w:tcW w:w="1275" w:type="dxa"/>
            <w:gridSpan w:val="2"/>
          </w:tcPr>
          <w:p w14:paraId="57138834" w14:textId="77777777" w:rsidR="00C328EF" w:rsidRPr="00565458" w:rsidRDefault="00C328EF" w:rsidP="00C328EF">
            <w:pPr>
              <w:tabs>
                <w:tab w:val="decimal" w:pos="1026"/>
              </w:tabs>
              <w:jc w:val="both"/>
            </w:pPr>
          </w:p>
        </w:tc>
        <w:tc>
          <w:tcPr>
            <w:tcW w:w="1418" w:type="dxa"/>
            <w:gridSpan w:val="2"/>
          </w:tcPr>
          <w:p w14:paraId="235D10ED" w14:textId="77777777" w:rsidR="00C328EF" w:rsidRPr="00C328EF" w:rsidRDefault="00C328EF" w:rsidP="00C328EF">
            <w:pPr>
              <w:tabs>
                <w:tab w:val="decimal" w:pos="1026"/>
              </w:tabs>
              <w:jc w:val="both"/>
            </w:pPr>
          </w:p>
        </w:tc>
      </w:tr>
      <w:tr w:rsidR="00C328EF" w:rsidRPr="00C328EF" w14:paraId="57B35F6B" w14:textId="77777777" w:rsidTr="004D2FFF">
        <w:tc>
          <w:tcPr>
            <w:tcW w:w="4219" w:type="dxa"/>
            <w:gridSpan w:val="2"/>
          </w:tcPr>
          <w:p w14:paraId="1235C494" w14:textId="77777777" w:rsidR="00C328EF" w:rsidRPr="00603D3E" w:rsidRDefault="00C328EF" w:rsidP="00C328EF">
            <w:pPr>
              <w:ind w:right="-108"/>
            </w:pPr>
            <w:r w:rsidRPr="00603D3E">
              <w:t>Net fair value movements on cash flow hedges</w:t>
            </w:r>
          </w:p>
        </w:tc>
        <w:tc>
          <w:tcPr>
            <w:tcW w:w="567" w:type="dxa"/>
          </w:tcPr>
          <w:p w14:paraId="33C31E9C" w14:textId="77777777" w:rsidR="00C328EF" w:rsidRPr="00156CC8" w:rsidRDefault="00C328EF" w:rsidP="00C328EF">
            <w:pPr>
              <w:jc w:val="center"/>
            </w:pPr>
          </w:p>
          <w:p w14:paraId="5F7A0D07" w14:textId="77777777" w:rsidR="00C328EF" w:rsidRPr="00156CC8" w:rsidRDefault="00C328EF" w:rsidP="00C328EF">
            <w:pPr>
              <w:jc w:val="center"/>
            </w:pPr>
            <w:r w:rsidRPr="00156CC8">
              <w:t>2</w:t>
            </w:r>
            <w:r w:rsidR="001959E2">
              <w:t>7</w:t>
            </w:r>
          </w:p>
        </w:tc>
        <w:tc>
          <w:tcPr>
            <w:tcW w:w="1276" w:type="dxa"/>
          </w:tcPr>
          <w:p w14:paraId="6852B4E2" w14:textId="77777777" w:rsidR="00C328EF" w:rsidRPr="00D052B9" w:rsidRDefault="00C328EF" w:rsidP="00C328EF">
            <w:pPr>
              <w:tabs>
                <w:tab w:val="decimal" w:pos="1026"/>
              </w:tabs>
              <w:jc w:val="both"/>
            </w:pPr>
          </w:p>
          <w:p w14:paraId="47F23F28" w14:textId="77777777" w:rsidR="00C328EF" w:rsidRPr="00D052B9" w:rsidRDefault="00E70ECE" w:rsidP="00C328EF">
            <w:pPr>
              <w:tabs>
                <w:tab w:val="decimal" w:pos="1026"/>
              </w:tabs>
              <w:jc w:val="both"/>
            </w:pPr>
            <w:r w:rsidRPr="00D052B9">
              <w:t>1,200</w:t>
            </w:r>
          </w:p>
        </w:tc>
        <w:tc>
          <w:tcPr>
            <w:tcW w:w="1276" w:type="dxa"/>
            <w:gridSpan w:val="2"/>
          </w:tcPr>
          <w:p w14:paraId="336DC171" w14:textId="77777777" w:rsidR="00C328EF" w:rsidRPr="00C328EF" w:rsidRDefault="00C328EF" w:rsidP="00C328EF">
            <w:pPr>
              <w:tabs>
                <w:tab w:val="decimal" w:pos="1026"/>
              </w:tabs>
              <w:jc w:val="both"/>
            </w:pPr>
          </w:p>
          <w:p w14:paraId="14A2D2B6" w14:textId="77777777" w:rsidR="00C328EF" w:rsidRPr="00C328EF" w:rsidRDefault="00C328EF" w:rsidP="00C328EF">
            <w:pPr>
              <w:tabs>
                <w:tab w:val="decimal" w:pos="1026"/>
              </w:tabs>
              <w:jc w:val="both"/>
            </w:pPr>
            <w:r w:rsidRPr="00C328EF">
              <w:t>(4,041)</w:t>
            </w:r>
          </w:p>
        </w:tc>
        <w:tc>
          <w:tcPr>
            <w:tcW w:w="1275" w:type="dxa"/>
            <w:gridSpan w:val="2"/>
          </w:tcPr>
          <w:p w14:paraId="457A4E9B" w14:textId="77777777" w:rsidR="00C328EF" w:rsidRPr="00565458" w:rsidRDefault="00C328EF" w:rsidP="00C328EF">
            <w:pPr>
              <w:tabs>
                <w:tab w:val="decimal" w:pos="1026"/>
              </w:tabs>
              <w:jc w:val="both"/>
            </w:pPr>
          </w:p>
          <w:p w14:paraId="00267CE2" w14:textId="77777777" w:rsidR="00C328EF" w:rsidRPr="00565458" w:rsidRDefault="00C328EF" w:rsidP="00C328EF">
            <w:pPr>
              <w:tabs>
                <w:tab w:val="decimal" w:pos="1026"/>
              </w:tabs>
              <w:jc w:val="both"/>
            </w:pPr>
            <w:r w:rsidRPr="00565458">
              <w:t>-</w:t>
            </w:r>
          </w:p>
        </w:tc>
        <w:tc>
          <w:tcPr>
            <w:tcW w:w="1418" w:type="dxa"/>
            <w:gridSpan w:val="2"/>
          </w:tcPr>
          <w:p w14:paraId="5F91A525" w14:textId="77777777" w:rsidR="00C328EF" w:rsidRPr="00C328EF" w:rsidRDefault="00C328EF" w:rsidP="00C328EF">
            <w:pPr>
              <w:tabs>
                <w:tab w:val="decimal" w:pos="1026"/>
              </w:tabs>
              <w:jc w:val="both"/>
            </w:pPr>
          </w:p>
          <w:p w14:paraId="71795B60" w14:textId="77777777" w:rsidR="00C328EF" w:rsidRPr="00C328EF" w:rsidRDefault="00C328EF" w:rsidP="00C328EF">
            <w:pPr>
              <w:tabs>
                <w:tab w:val="decimal" w:pos="1026"/>
              </w:tabs>
              <w:jc w:val="both"/>
            </w:pPr>
            <w:r w:rsidRPr="00C328EF">
              <w:t>-</w:t>
            </w:r>
          </w:p>
        </w:tc>
      </w:tr>
      <w:tr w:rsidR="00C328EF" w:rsidRPr="00C328EF" w14:paraId="211353B5" w14:textId="77777777" w:rsidTr="004D2FFF">
        <w:tc>
          <w:tcPr>
            <w:tcW w:w="4219" w:type="dxa"/>
            <w:gridSpan w:val="2"/>
          </w:tcPr>
          <w:p w14:paraId="17607B4B" w14:textId="77777777" w:rsidR="00C328EF" w:rsidRPr="00603D3E" w:rsidRDefault="00C328EF" w:rsidP="00C328EF">
            <w:r w:rsidRPr="00603D3E">
              <w:t>Deferred tax thereon</w:t>
            </w:r>
          </w:p>
        </w:tc>
        <w:tc>
          <w:tcPr>
            <w:tcW w:w="567" w:type="dxa"/>
          </w:tcPr>
          <w:p w14:paraId="6B66A38A" w14:textId="77777777" w:rsidR="00C328EF" w:rsidRPr="00156CC8" w:rsidRDefault="00C328EF" w:rsidP="00C328EF">
            <w:pPr>
              <w:jc w:val="center"/>
            </w:pPr>
            <w:r w:rsidRPr="00156CC8">
              <w:t>1</w:t>
            </w:r>
            <w:r w:rsidR="00156CC8" w:rsidRPr="00156CC8">
              <w:t>7</w:t>
            </w:r>
          </w:p>
        </w:tc>
        <w:tc>
          <w:tcPr>
            <w:tcW w:w="1276" w:type="dxa"/>
          </w:tcPr>
          <w:p w14:paraId="5B9CE748" w14:textId="77777777" w:rsidR="00C328EF" w:rsidRPr="00D052B9" w:rsidRDefault="00E70ECE" w:rsidP="00C328EF">
            <w:pPr>
              <w:tabs>
                <w:tab w:val="decimal" w:pos="1026"/>
              </w:tabs>
              <w:jc w:val="both"/>
            </w:pPr>
            <w:r w:rsidRPr="00D052B9">
              <w:t>(</w:t>
            </w:r>
            <w:r w:rsidR="00D052B9" w:rsidRPr="00D052B9">
              <w:t>300</w:t>
            </w:r>
            <w:r w:rsidRPr="00D052B9">
              <w:t>)</w:t>
            </w:r>
          </w:p>
        </w:tc>
        <w:tc>
          <w:tcPr>
            <w:tcW w:w="1276" w:type="dxa"/>
            <w:gridSpan w:val="2"/>
          </w:tcPr>
          <w:p w14:paraId="2D61A2A1" w14:textId="77777777" w:rsidR="00C328EF" w:rsidRPr="00C328EF" w:rsidRDefault="00C328EF" w:rsidP="00C328EF">
            <w:pPr>
              <w:tabs>
                <w:tab w:val="decimal" w:pos="1026"/>
              </w:tabs>
              <w:jc w:val="both"/>
            </w:pPr>
            <w:r w:rsidRPr="00C328EF">
              <w:t>1,010</w:t>
            </w:r>
          </w:p>
        </w:tc>
        <w:tc>
          <w:tcPr>
            <w:tcW w:w="1275" w:type="dxa"/>
            <w:gridSpan w:val="2"/>
          </w:tcPr>
          <w:p w14:paraId="15A8BC6E" w14:textId="77777777" w:rsidR="00C328EF" w:rsidRPr="00565458" w:rsidRDefault="00C328EF" w:rsidP="00C328EF">
            <w:pPr>
              <w:tabs>
                <w:tab w:val="decimal" w:pos="1026"/>
              </w:tabs>
              <w:jc w:val="both"/>
            </w:pPr>
            <w:r w:rsidRPr="00565458">
              <w:t>-</w:t>
            </w:r>
          </w:p>
        </w:tc>
        <w:tc>
          <w:tcPr>
            <w:tcW w:w="1418" w:type="dxa"/>
            <w:gridSpan w:val="2"/>
          </w:tcPr>
          <w:p w14:paraId="05517572" w14:textId="77777777" w:rsidR="00C328EF" w:rsidRPr="00C328EF" w:rsidRDefault="00C328EF" w:rsidP="00C328EF">
            <w:pPr>
              <w:tabs>
                <w:tab w:val="decimal" w:pos="1026"/>
              </w:tabs>
              <w:jc w:val="both"/>
            </w:pPr>
            <w:r w:rsidRPr="00C328EF">
              <w:t>-</w:t>
            </w:r>
          </w:p>
        </w:tc>
      </w:tr>
      <w:tr w:rsidR="00C328EF" w:rsidRPr="00C328EF" w14:paraId="63581609" w14:textId="77777777" w:rsidTr="004D2FFF">
        <w:tc>
          <w:tcPr>
            <w:tcW w:w="4219" w:type="dxa"/>
            <w:gridSpan w:val="2"/>
          </w:tcPr>
          <w:p w14:paraId="7D7F108E" w14:textId="77777777" w:rsidR="00C328EF" w:rsidRPr="00603D3E" w:rsidRDefault="00C328EF" w:rsidP="00C328EF">
            <w:pPr>
              <w:rPr>
                <w:b/>
              </w:rPr>
            </w:pPr>
            <w:r w:rsidRPr="00603D3E">
              <w:rPr>
                <w:b/>
              </w:rPr>
              <w:t>Those that are not recyclable net of tax:</w:t>
            </w:r>
          </w:p>
        </w:tc>
        <w:tc>
          <w:tcPr>
            <w:tcW w:w="567" w:type="dxa"/>
          </w:tcPr>
          <w:p w14:paraId="0EAB1492" w14:textId="77777777" w:rsidR="00C328EF" w:rsidRPr="00156CC8" w:rsidRDefault="00C328EF" w:rsidP="00C328EF">
            <w:pPr>
              <w:jc w:val="center"/>
            </w:pPr>
          </w:p>
        </w:tc>
        <w:tc>
          <w:tcPr>
            <w:tcW w:w="1276" w:type="dxa"/>
          </w:tcPr>
          <w:p w14:paraId="5440D79D" w14:textId="77777777" w:rsidR="00C328EF" w:rsidRPr="00D052B9" w:rsidRDefault="00C328EF" w:rsidP="00C328EF">
            <w:pPr>
              <w:tabs>
                <w:tab w:val="decimal" w:pos="1026"/>
              </w:tabs>
              <w:jc w:val="both"/>
            </w:pPr>
          </w:p>
        </w:tc>
        <w:tc>
          <w:tcPr>
            <w:tcW w:w="1276" w:type="dxa"/>
            <w:gridSpan w:val="2"/>
          </w:tcPr>
          <w:p w14:paraId="569C932D" w14:textId="77777777" w:rsidR="00C328EF" w:rsidRPr="00C328EF" w:rsidRDefault="00C328EF" w:rsidP="00C328EF">
            <w:pPr>
              <w:tabs>
                <w:tab w:val="decimal" w:pos="1026"/>
              </w:tabs>
              <w:jc w:val="both"/>
            </w:pPr>
          </w:p>
        </w:tc>
        <w:tc>
          <w:tcPr>
            <w:tcW w:w="1275" w:type="dxa"/>
            <w:gridSpan w:val="2"/>
          </w:tcPr>
          <w:p w14:paraId="4FC709D3" w14:textId="77777777" w:rsidR="00C328EF" w:rsidRPr="00565458" w:rsidRDefault="00C328EF" w:rsidP="00C328EF">
            <w:pPr>
              <w:tabs>
                <w:tab w:val="decimal" w:pos="1026"/>
              </w:tabs>
              <w:jc w:val="both"/>
            </w:pPr>
          </w:p>
        </w:tc>
        <w:tc>
          <w:tcPr>
            <w:tcW w:w="1418" w:type="dxa"/>
            <w:gridSpan w:val="2"/>
          </w:tcPr>
          <w:p w14:paraId="21D0D3BF" w14:textId="77777777" w:rsidR="00C328EF" w:rsidRPr="00C328EF" w:rsidRDefault="00C328EF" w:rsidP="00C328EF">
            <w:pPr>
              <w:tabs>
                <w:tab w:val="decimal" w:pos="1026"/>
              </w:tabs>
              <w:jc w:val="both"/>
            </w:pPr>
          </w:p>
        </w:tc>
      </w:tr>
      <w:tr w:rsidR="00C328EF" w:rsidRPr="00C328EF" w14:paraId="38C8DA9F" w14:textId="77777777" w:rsidTr="004D2FFF">
        <w:tc>
          <w:tcPr>
            <w:tcW w:w="4219" w:type="dxa"/>
            <w:gridSpan w:val="2"/>
          </w:tcPr>
          <w:p w14:paraId="45523455" w14:textId="77777777" w:rsidR="00C328EF" w:rsidRPr="00603D3E" w:rsidRDefault="00C328EF" w:rsidP="00C328EF">
            <w:pPr>
              <w:ind w:right="-108"/>
            </w:pPr>
            <w:r w:rsidRPr="00603D3E">
              <w:t>Revaluation of land and buildings</w:t>
            </w:r>
          </w:p>
        </w:tc>
        <w:tc>
          <w:tcPr>
            <w:tcW w:w="567" w:type="dxa"/>
          </w:tcPr>
          <w:p w14:paraId="7DAE6B47" w14:textId="77777777" w:rsidR="00C328EF" w:rsidRPr="00156CC8" w:rsidRDefault="00C328EF" w:rsidP="00C328EF">
            <w:pPr>
              <w:jc w:val="center"/>
            </w:pPr>
            <w:r w:rsidRPr="00156CC8">
              <w:t>8</w:t>
            </w:r>
          </w:p>
        </w:tc>
        <w:tc>
          <w:tcPr>
            <w:tcW w:w="1276" w:type="dxa"/>
          </w:tcPr>
          <w:p w14:paraId="27569129" w14:textId="77777777" w:rsidR="00C328EF" w:rsidRPr="00D052B9" w:rsidRDefault="00E70ECE" w:rsidP="00C328EF">
            <w:pPr>
              <w:tabs>
                <w:tab w:val="decimal" w:pos="1026"/>
              </w:tabs>
              <w:jc w:val="both"/>
            </w:pPr>
            <w:r w:rsidRPr="00D052B9">
              <w:t>50</w:t>
            </w:r>
          </w:p>
        </w:tc>
        <w:tc>
          <w:tcPr>
            <w:tcW w:w="1276" w:type="dxa"/>
            <w:gridSpan w:val="2"/>
          </w:tcPr>
          <w:p w14:paraId="3F0B89DE" w14:textId="77777777" w:rsidR="00C328EF" w:rsidRPr="00C328EF" w:rsidRDefault="00C328EF" w:rsidP="00C328EF">
            <w:pPr>
              <w:tabs>
                <w:tab w:val="decimal" w:pos="1026"/>
              </w:tabs>
              <w:jc w:val="both"/>
            </w:pPr>
            <w:r w:rsidRPr="00C328EF">
              <w:t>-</w:t>
            </w:r>
          </w:p>
        </w:tc>
        <w:tc>
          <w:tcPr>
            <w:tcW w:w="1275" w:type="dxa"/>
            <w:gridSpan w:val="2"/>
          </w:tcPr>
          <w:p w14:paraId="38B4D76D" w14:textId="77777777" w:rsidR="00C328EF" w:rsidRPr="00565458" w:rsidRDefault="00C328EF" w:rsidP="00C328EF">
            <w:pPr>
              <w:tabs>
                <w:tab w:val="decimal" w:pos="1026"/>
              </w:tabs>
              <w:jc w:val="both"/>
            </w:pPr>
            <w:r w:rsidRPr="00565458">
              <w:t>-</w:t>
            </w:r>
          </w:p>
        </w:tc>
        <w:tc>
          <w:tcPr>
            <w:tcW w:w="1418" w:type="dxa"/>
            <w:gridSpan w:val="2"/>
          </w:tcPr>
          <w:p w14:paraId="0CB938E8" w14:textId="77777777" w:rsidR="00C328EF" w:rsidRPr="00C328EF" w:rsidRDefault="00C328EF" w:rsidP="00C328EF">
            <w:pPr>
              <w:tabs>
                <w:tab w:val="decimal" w:pos="1026"/>
              </w:tabs>
              <w:jc w:val="both"/>
            </w:pPr>
            <w:r w:rsidRPr="00C328EF">
              <w:t>-</w:t>
            </w:r>
          </w:p>
        </w:tc>
      </w:tr>
      <w:tr w:rsidR="00C328EF" w:rsidRPr="00C328EF" w14:paraId="5C8E7CFD" w14:textId="77777777" w:rsidTr="004D2FFF">
        <w:tc>
          <w:tcPr>
            <w:tcW w:w="4219" w:type="dxa"/>
            <w:gridSpan w:val="2"/>
          </w:tcPr>
          <w:p w14:paraId="0C77E466" w14:textId="77777777" w:rsidR="00C328EF" w:rsidRPr="00603D3E" w:rsidRDefault="00C328EF" w:rsidP="00C328EF">
            <w:r w:rsidRPr="00603D3E">
              <w:t xml:space="preserve">Actuarial </w:t>
            </w:r>
            <w:r w:rsidR="00E70ECE" w:rsidRPr="00603D3E">
              <w:t>(loss)/</w:t>
            </w:r>
            <w:r w:rsidRPr="00603D3E">
              <w:t>gain on post-employment benefit obligations</w:t>
            </w:r>
          </w:p>
        </w:tc>
        <w:tc>
          <w:tcPr>
            <w:tcW w:w="567" w:type="dxa"/>
          </w:tcPr>
          <w:p w14:paraId="6E81E056" w14:textId="77777777" w:rsidR="00C328EF" w:rsidRPr="00156CC8" w:rsidRDefault="00C328EF" w:rsidP="00C328EF">
            <w:pPr>
              <w:jc w:val="center"/>
            </w:pPr>
          </w:p>
          <w:p w14:paraId="078847CB" w14:textId="77777777" w:rsidR="00C328EF" w:rsidRPr="00156CC8" w:rsidRDefault="00C328EF" w:rsidP="00C328EF">
            <w:pPr>
              <w:jc w:val="center"/>
            </w:pPr>
            <w:r w:rsidRPr="00156CC8">
              <w:t>2</w:t>
            </w:r>
            <w:r w:rsidR="00156CC8" w:rsidRPr="00156CC8">
              <w:t>4</w:t>
            </w:r>
          </w:p>
        </w:tc>
        <w:tc>
          <w:tcPr>
            <w:tcW w:w="1276" w:type="dxa"/>
          </w:tcPr>
          <w:p w14:paraId="1236F6AA" w14:textId="77777777" w:rsidR="00C328EF" w:rsidRPr="00D052B9" w:rsidRDefault="00C328EF" w:rsidP="00C328EF">
            <w:pPr>
              <w:tabs>
                <w:tab w:val="decimal" w:pos="1026"/>
              </w:tabs>
              <w:jc w:val="both"/>
            </w:pPr>
          </w:p>
          <w:p w14:paraId="61A188E9" w14:textId="77777777" w:rsidR="00C328EF" w:rsidRPr="00D052B9" w:rsidRDefault="00E70ECE" w:rsidP="00C328EF">
            <w:pPr>
              <w:tabs>
                <w:tab w:val="decimal" w:pos="1026"/>
              </w:tabs>
              <w:jc w:val="both"/>
            </w:pPr>
            <w:r w:rsidRPr="00D052B9">
              <w:t>(</w:t>
            </w:r>
            <w:r w:rsidR="00D052B9" w:rsidRPr="00D052B9">
              <w:t>18</w:t>
            </w:r>
            <w:r w:rsidR="00C328EF" w:rsidRPr="00D052B9">
              <w:t>,7</w:t>
            </w:r>
            <w:r w:rsidR="00D052B9" w:rsidRPr="00D052B9">
              <w:t>60</w:t>
            </w:r>
            <w:r w:rsidRPr="00D052B9">
              <w:t>)</w:t>
            </w:r>
          </w:p>
        </w:tc>
        <w:tc>
          <w:tcPr>
            <w:tcW w:w="1276" w:type="dxa"/>
            <w:gridSpan w:val="2"/>
          </w:tcPr>
          <w:p w14:paraId="0D0E327B" w14:textId="77777777" w:rsidR="00C328EF" w:rsidRPr="00C328EF" w:rsidRDefault="00C328EF" w:rsidP="00C328EF">
            <w:pPr>
              <w:tabs>
                <w:tab w:val="decimal" w:pos="1026"/>
              </w:tabs>
              <w:jc w:val="both"/>
            </w:pPr>
          </w:p>
          <w:p w14:paraId="74B3585F" w14:textId="77777777" w:rsidR="00C328EF" w:rsidRPr="00C328EF" w:rsidRDefault="00C328EF" w:rsidP="00C328EF">
            <w:pPr>
              <w:tabs>
                <w:tab w:val="decimal" w:pos="1026"/>
              </w:tabs>
              <w:jc w:val="both"/>
            </w:pPr>
            <w:r w:rsidRPr="00C328EF">
              <w:t>20,703</w:t>
            </w:r>
          </w:p>
        </w:tc>
        <w:tc>
          <w:tcPr>
            <w:tcW w:w="1275" w:type="dxa"/>
            <w:gridSpan w:val="2"/>
          </w:tcPr>
          <w:p w14:paraId="1F521D7D" w14:textId="77777777" w:rsidR="00C328EF" w:rsidRPr="00565458" w:rsidRDefault="00C328EF" w:rsidP="00C328EF">
            <w:pPr>
              <w:tabs>
                <w:tab w:val="decimal" w:pos="1026"/>
              </w:tabs>
              <w:jc w:val="both"/>
            </w:pPr>
          </w:p>
          <w:p w14:paraId="2C420A52" w14:textId="77777777" w:rsidR="00C328EF" w:rsidRPr="00565458" w:rsidRDefault="00C328EF" w:rsidP="00C328EF">
            <w:pPr>
              <w:tabs>
                <w:tab w:val="decimal" w:pos="1026"/>
              </w:tabs>
              <w:jc w:val="both"/>
            </w:pPr>
            <w:r w:rsidRPr="00565458">
              <w:t>-</w:t>
            </w:r>
          </w:p>
        </w:tc>
        <w:tc>
          <w:tcPr>
            <w:tcW w:w="1418" w:type="dxa"/>
            <w:gridSpan w:val="2"/>
          </w:tcPr>
          <w:p w14:paraId="7C92B152" w14:textId="77777777" w:rsidR="00C328EF" w:rsidRPr="00C328EF" w:rsidRDefault="00C328EF" w:rsidP="00C328EF">
            <w:pPr>
              <w:tabs>
                <w:tab w:val="decimal" w:pos="1026"/>
              </w:tabs>
              <w:jc w:val="both"/>
            </w:pPr>
          </w:p>
          <w:p w14:paraId="22A98636" w14:textId="77777777" w:rsidR="00C328EF" w:rsidRPr="00C328EF" w:rsidRDefault="00C328EF" w:rsidP="00C328EF">
            <w:pPr>
              <w:tabs>
                <w:tab w:val="decimal" w:pos="1026"/>
              </w:tabs>
              <w:jc w:val="both"/>
            </w:pPr>
            <w:r w:rsidRPr="00C328EF">
              <w:t>-</w:t>
            </w:r>
          </w:p>
        </w:tc>
      </w:tr>
      <w:tr w:rsidR="00C328EF" w:rsidRPr="00C328EF" w14:paraId="0C2DA461" w14:textId="77777777" w:rsidTr="004D2FFF">
        <w:tc>
          <w:tcPr>
            <w:tcW w:w="4219" w:type="dxa"/>
            <w:gridSpan w:val="2"/>
          </w:tcPr>
          <w:p w14:paraId="615DD8AA" w14:textId="77777777" w:rsidR="00C328EF" w:rsidRPr="00603D3E" w:rsidRDefault="00C328EF" w:rsidP="00C328EF">
            <w:r w:rsidRPr="00603D3E">
              <w:t>Deferred tax thereon</w:t>
            </w:r>
          </w:p>
        </w:tc>
        <w:tc>
          <w:tcPr>
            <w:tcW w:w="567" w:type="dxa"/>
          </w:tcPr>
          <w:p w14:paraId="684DDB08" w14:textId="77777777" w:rsidR="00C328EF" w:rsidRPr="00156CC8" w:rsidRDefault="00C328EF" w:rsidP="00C328EF">
            <w:r w:rsidRPr="00156CC8">
              <w:t xml:space="preserve"> 1</w:t>
            </w:r>
            <w:r w:rsidR="00156CC8" w:rsidRPr="00156CC8">
              <w:t>7</w:t>
            </w:r>
          </w:p>
        </w:tc>
        <w:tc>
          <w:tcPr>
            <w:tcW w:w="1276" w:type="dxa"/>
          </w:tcPr>
          <w:p w14:paraId="0DD8A39E" w14:textId="77777777" w:rsidR="00C328EF" w:rsidRPr="00D052B9" w:rsidRDefault="00D052B9" w:rsidP="00C328EF">
            <w:pPr>
              <w:tabs>
                <w:tab w:val="decimal" w:pos="1026"/>
              </w:tabs>
              <w:jc w:val="both"/>
            </w:pPr>
            <w:r w:rsidRPr="00D052B9">
              <w:t>4,687</w:t>
            </w:r>
          </w:p>
        </w:tc>
        <w:tc>
          <w:tcPr>
            <w:tcW w:w="1276" w:type="dxa"/>
            <w:gridSpan w:val="2"/>
          </w:tcPr>
          <w:p w14:paraId="4B09927B" w14:textId="77777777" w:rsidR="00C328EF" w:rsidRPr="00C328EF" w:rsidRDefault="00C328EF" w:rsidP="00C328EF">
            <w:pPr>
              <w:tabs>
                <w:tab w:val="decimal" w:pos="1026"/>
              </w:tabs>
              <w:jc w:val="both"/>
            </w:pPr>
            <w:r w:rsidRPr="00C328EF">
              <w:t>(6,413)</w:t>
            </w:r>
          </w:p>
        </w:tc>
        <w:tc>
          <w:tcPr>
            <w:tcW w:w="1275" w:type="dxa"/>
            <w:gridSpan w:val="2"/>
          </w:tcPr>
          <w:p w14:paraId="4945475C" w14:textId="77777777" w:rsidR="00C328EF" w:rsidRPr="00565458" w:rsidRDefault="00C328EF" w:rsidP="00C328EF">
            <w:pPr>
              <w:tabs>
                <w:tab w:val="decimal" w:pos="1026"/>
              </w:tabs>
              <w:jc w:val="both"/>
            </w:pPr>
            <w:r w:rsidRPr="00565458">
              <w:t>-</w:t>
            </w:r>
          </w:p>
        </w:tc>
        <w:tc>
          <w:tcPr>
            <w:tcW w:w="1418" w:type="dxa"/>
            <w:gridSpan w:val="2"/>
          </w:tcPr>
          <w:p w14:paraId="01CF63A0" w14:textId="77777777" w:rsidR="00C328EF" w:rsidRPr="00C328EF" w:rsidRDefault="00C328EF" w:rsidP="00C328EF">
            <w:pPr>
              <w:tabs>
                <w:tab w:val="decimal" w:pos="1026"/>
              </w:tabs>
              <w:jc w:val="both"/>
            </w:pPr>
            <w:r w:rsidRPr="00C328EF">
              <w:t>-</w:t>
            </w:r>
          </w:p>
        </w:tc>
      </w:tr>
      <w:tr w:rsidR="00C328EF" w:rsidRPr="00C328EF" w14:paraId="0C64506C" w14:textId="77777777" w:rsidTr="004D2FFF">
        <w:tc>
          <w:tcPr>
            <w:tcW w:w="4219" w:type="dxa"/>
            <w:gridSpan w:val="2"/>
          </w:tcPr>
          <w:p w14:paraId="4E07DA02" w14:textId="77777777" w:rsidR="00C328EF" w:rsidRPr="00C328EF" w:rsidRDefault="00C328EF" w:rsidP="00C328EF">
            <w:pPr>
              <w:rPr>
                <w:highlight w:val="yellow"/>
              </w:rPr>
            </w:pPr>
          </w:p>
        </w:tc>
        <w:tc>
          <w:tcPr>
            <w:tcW w:w="567" w:type="dxa"/>
          </w:tcPr>
          <w:p w14:paraId="1E43551D" w14:textId="77777777" w:rsidR="00C328EF" w:rsidRPr="00C328EF" w:rsidRDefault="00C328EF" w:rsidP="00C328EF">
            <w:pPr>
              <w:jc w:val="center"/>
              <w:rPr>
                <w:highlight w:val="yellow"/>
              </w:rPr>
            </w:pPr>
          </w:p>
        </w:tc>
        <w:tc>
          <w:tcPr>
            <w:tcW w:w="1276" w:type="dxa"/>
          </w:tcPr>
          <w:p w14:paraId="1824EE4A" w14:textId="77777777" w:rsidR="00C328EF" w:rsidRPr="00D052B9" w:rsidRDefault="00C328EF" w:rsidP="00C328EF">
            <w:pPr>
              <w:tabs>
                <w:tab w:val="decimal" w:pos="1026"/>
              </w:tabs>
              <w:jc w:val="both"/>
            </w:pPr>
            <w:r w:rsidRPr="00D052B9">
              <w:t>───────</w:t>
            </w:r>
          </w:p>
        </w:tc>
        <w:tc>
          <w:tcPr>
            <w:tcW w:w="1276" w:type="dxa"/>
            <w:gridSpan w:val="2"/>
          </w:tcPr>
          <w:p w14:paraId="5BD63B90" w14:textId="77777777" w:rsidR="00C328EF" w:rsidRPr="00C328EF" w:rsidRDefault="00C328EF" w:rsidP="00C328EF">
            <w:pPr>
              <w:tabs>
                <w:tab w:val="decimal" w:pos="1026"/>
              </w:tabs>
              <w:jc w:val="both"/>
            </w:pPr>
            <w:r w:rsidRPr="00C328EF">
              <w:t>───────</w:t>
            </w:r>
          </w:p>
        </w:tc>
        <w:tc>
          <w:tcPr>
            <w:tcW w:w="1275" w:type="dxa"/>
            <w:gridSpan w:val="2"/>
          </w:tcPr>
          <w:p w14:paraId="44B7E35F" w14:textId="77777777" w:rsidR="00C328EF" w:rsidRPr="00565458" w:rsidRDefault="00C328EF" w:rsidP="00C328EF">
            <w:pPr>
              <w:tabs>
                <w:tab w:val="decimal" w:pos="1026"/>
              </w:tabs>
              <w:jc w:val="both"/>
            </w:pPr>
            <w:r w:rsidRPr="00565458">
              <w:t>───────</w:t>
            </w:r>
          </w:p>
        </w:tc>
        <w:tc>
          <w:tcPr>
            <w:tcW w:w="1418" w:type="dxa"/>
            <w:gridSpan w:val="2"/>
          </w:tcPr>
          <w:p w14:paraId="5D9A881B" w14:textId="77777777" w:rsidR="00C328EF" w:rsidRPr="00C328EF" w:rsidRDefault="00C328EF" w:rsidP="00C328EF">
            <w:pPr>
              <w:tabs>
                <w:tab w:val="decimal" w:pos="1026"/>
              </w:tabs>
              <w:jc w:val="both"/>
            </w:pPr>
            <w:r w:rsidRPr="00C328EF">
              <w:t>───────</w:t>
            </w:r>
          </w:p>
        </w:tc>
      </w:tr>
      <w:tr w:rsidR="00C328EF" w:rsidRPr="00C328EF" w14:paraId="350ECAAE" w14:textId="77777777" w:rsidTr="004D2FFF">
        <w:tc>
          <w:tcPr>
            <w:tcW w:w="4219" w:type="dxa"/>
            <w:gridSpan w:val="2"/>
          </w:tcPr>
          <w:p w14:paraId="7F6E0630" w14:textId="77777777" w:rsidR="00C328EF" w:rsidRPr="00C328EF" w:rsidRDefault="00C328EF" w:rsidP="00C328EF">
            <w:pPr>
              <w:rPr>
                <w:b/>
                <w:highlight w:val="yellow"/>
              </w:rPr>
            </w:pPr>
            <w:r w:rsidRPr="00E70ECE">
              <w:rPr>
                <w:b/>
              </w:rPr>
              <w:t xml:space="preserve">Total </w:t>
            </w:r>
            <w:r w:rsidRPr="00603D3E">
              <w:rPr>
                <w:b/>
              </w:rPr>
              <w:t>comprehensive (expense)</w:t>
            </w:r>
            <w:r w:rsidR="00603D3E" w:rsidRPr="00603D3E">
              <w:rPr>
                <w:b/>
              </w:rPr>
              <w:t>/income</w:t>
            </w:r>
            <w:r w:rsidR="00603D3E" w:rsidRPr="00E70ECE">
              <w:rPr>
                <w:b/>
              </w:rPr>
              <w:t xml:space="preserve"> </w:t>
            </w:r>
            <w:r w:rsidRPr="00E70ECE">
              <w:rPr>
                <w:b/>
              </w:rPr>
              <w:t xml:space="preserve">for the </w:t>
            </w:r>
            <w:r w:rsidR="00002C01">
              <w:rPr>
                <w:b/>
              </w:rPr>
              <w:t>period</w:t>
            </w:r>
          </w:p>
        </w:tc>
        <w:tc>
          <w:tcPr>
            <w:tcW w:w="567" w:type="dxa"/>
          </w:tcPr>
          <w:p w14:paraId="3AF0602A" w14:textId="77777777" w:rsidR="00C328EF" w:rsidRPr="00C328EF" w:rsidRDefault="00C328EF" w:rsidP="00C328EF">
            <w:pPr>
              <w:jc w:val="center"/>
              <w:rPr>
                <w:highlight w:val="yellow"/>
              </w:rPr>
            </w:pPr>
          </w:p>
        </w:tc>
        <w:tc>
          <w:tcPr>
            <w:tcW w:w="1276" w:type="dxa"/>
          </w:tcPr>
          <w:p w14:paraId="32A6077F" w14:textId="77777777" w:rsidR="00C328EF" w:rsidRPr="00D052B9" w:rsidRDefault="00C328EF" w:rsidP="00C328EF">
            <w:pPr>
              <w:tabs>
                <w:tab w:val="decimal" w:pos="1026"/>
              </w:tabs>
              <w:jc w:val="both"/>
            </w:pPr>
          </w:p>
          <w:p w14:paraId="267A5D9E" w14:textId="77777777" w:rsidR="00C328EF" w:rsidRPr="00D052B9" w:rsidRDefault="00D052B9" w:rsidP="00C328EF">
            <w:pPr>
              <w:tabs>
                <w:tab w:val="decimal" w:pos="1026"/>
              </w:tabs>
              <w:jc w:val="both"/>
            </w:pPr>
            <w:r w:rsidRPr="00D052B9">
              <w:t>(</w:t>
            </w:r>
            <w:r w:rsidR="00C328EF" w:rsidRPr="00D052B9">
              <w:t>1</w:t>
            </w:r>
            <w:r w:rsidRPr="00D052B9">
              <w:t>9</w:t>
            </w:r>
            <w:r w:rsidR="00C328EF" w:rsidRPr="00D052B9">
              <w:t>,</w:t>
            </w:r>
            <w:r w:rsidRPr="00D052B9">
              <w:t>644)</w:t>
            </w:r>
          </w:p>
        </w:tc>
        <w:tc>
          <w:tcPr>
            <w:tcW w:w="1276" w:type="dxa"/>
            <w:gridSpan w:val="2"/>
          </w:tcPr>
          <w:p w14:paraId="3F663F01" w14:textId="77777777" w:rsidR="00C328EF" w:rsidRPr="00C328EF" w:rsidRDefault="00C328EF" w:rsidP="00C328EF">
            <w:pPr>
              <w:tabs>
                <w:tab w:val="decimal" w:pos="1026"/>
              </w:tabs>
              <w:jc w:val="both"/>
            </w:pPr>
          </w:p>
          <w:p w14:paraId="508BE394" w14:textId="77777777" w:rsidR="00C328EF" w:rsidRPr="00C328EF" w:rsidRDefault="00C328EF" w:rsidP="00C328EF">
            <w:pPr>
              <w:tabs>
                <w:tab w:val="decimal" w:pos="1026"/>
              </w:tabs>
              <w:jc w:val="both"/>
            </w:pPr>
            <w:r w:rsidRPr="00C328EF">
              <w:t>15,381</w:t>
            </w:r>
          </w:p>
        </w:tc>
        <w:tc>
          <w:tcPr>
            <w:tcW w:w="1275" w:type="dxa"/>
            <w:gridSpan w:val="2"/>
          </w:tcPr>
          <w:p w14:paraId="21A672EB" w14:textId="77777777" w:rsidR="00C328EF" w:rsidRPr="00565458" w:rsidRDefault="00C328EF" w:rsidP="00C328EF">
            <w:pPr>
              <w:tabs>
                <w:tab w:val="decimal" w:pos="1026"/>
              </w:tabs>
              <w:jc w:val="both"/>
            </w:pPr>
          </w:p>
          <w:p w14:paraId="09936629" w14:textId="77777777" w:rsidR="00C328EF" w:rsidRPr="00565458" w:rsidRDefault="00C328EF" w:rsidP="00C328EF">
            <w:pPr>
              <w:tabs>
                <w:tab w:val="decimal" w:pos="1026"/>
              </w:tabs>
              <w:jc w:val="both"/>
            </w:pPr>
            <w:r w:rsidRPr="00565458">
              <w:t>(</w:t>
            </w:r>
            <w:r w:rsidR="00E70ECE" w:rsidRPr="00565458">
              <w:t>8</w:t>
            </w:r>
            <w:r w:rsidRPr="00565458">
              <w:t>,</w:t>
            </w:r>
            <w:r w:rsidR="00565458" w:rsidRPr="00565458">
              <w:t>17</w:t>
            </w:r>
            <w:r w:rsidRPr="00565458">
              <w:t>9)</w:t>
            </w:r>
          </w:p>
        </w:tc>
        <w:tc>
          <w:tcPr>
            <w:tcW w:w="1418" w:type="dxa"/>
            <w:gridSpan w:val="2"/>
          </w:tcPr>
          <w:p w14:paraId="76C2DCA0" w14:textId="77777777" w:rsidR="00C328EF" w:rsidRPr="00C328EF" w:rsidRDefault="00C328EF" w:rsidP="00C328EF">
            <w:pPr>
              <w:tabs>
                <w:tab w:val="decimal" w:pos="1026"/>
              </w:tabs>
              <w:jc w:val="both"/>
            </w:pPr>
          </w:p>
          <w:p w14:paraId="2C96ECFF" w14:textId="77777777" w:rsidR="00C328EF" w:rsidRPr="00C328EF" w:rsidRDefault="00C328EF" w:rsidP="00C328EF">
            <w:pPr>
              <w:tabs>
                <w:tab w:val="decimal" w:pos="1026"/>
              </w:tabs>
              <w:jc w:val="both"/>
            </w:pPr>
            <w:r w:rsidRPr="00C328EF">
              <w:t>(9,219)</w:t>
            </w:r>
          </w:p>
        </w:tc>
      </w:tr>
      <w:tr w:rsidR="00C328EF" w:rsidRPr="00C328EF" w14:paraId="02C87A42" w14:textId="77777777" w:rsidTr="004D2FFF">
        <w:tc>
          <w:tcPr>
            <w:tcW w:w="4219" w:type="dxa"/>
            <w:gridSpan w:val="2"/>
          </w:tcPr>
          <w:p w14:paraId="13823919" w14:textId="77777777" w:rsidR="00C328EF" w:rsidRPr="00C328EF" w:rsidRDefault="00C328EF" w:rsidP="00C328EF">
            <w:pPr>
              <w:rPr>
                <w:highlight w:val="yellow"/>
              </w:rPr>
            </w:pPr>
          </w:p>
        </w:tc>
        <w:tc>
          <w:tcPr>
            <w:tcW w:w="567" w:type="dxa"/>
          </w:tcPr>
          <w:p w14:paraId="05D53D4A" w14:textId="77777777" w:rsidR="00C328EF" w:rsidRPr="00C328EF" w:rsidRDefault="00C328EF" w:rsidP="00C328EF">
            <w:pPr>
              <w:jc w:val="center"/>
              <w:rPr>
                <w:highlight w:val="yellow"/>
              </w:rPr>
            </w:pPr>
          </w:p>
        </w:tc>
        <w:tc>
          <w:tcPr>
            <w:tcW w:w="1276" w:type="dxa"/>
          </w:tcPr>
          <w:p w14:paraId="609D051D" w14:textId="77777777" w:rsidR="00C328EF" w:rsidRPr="00D052B9" w:rsidRDefault="00C328EF" w:rsidP="00C328EF">
            <w:pPr>
              <w:tabs>
                <w:tab w:val="decimal" w:pos="1026"/>
              </w:tabs>
              <w:jc w:val="both"/>
            </w:pPr>
            <w:r w:rsidRPr="00D052B9">
              <w:t>═══════</w:t>
            </w:r>
          </w:p>
        </w:tc>
        <w:tc>
          <w:tcPr>
            <w:tcW w:w="1276" w:type="dxa"/>
            <w:gridSpan w:val="2"/>
          </w:tcPr>
          <w:p w14:paraId="02DA2373" w14:textId="77777777" w:rsidR="00C328EF" w:rsidRPr="00C328EF" w:rsidRDefault="00C328EF" w:rsidP="00C328EF">
            <w:pPr>
              <w:tabs>
                <w:tab w:val="decimal" w:pos="1026"/>
              </w:tabs>
              <w:jc w:val="both"/>
            </w:pPr>
            <w:r w:rsidRPr="00C328EF">
              <w:t>═══════</w:t>
            </w:r>
          </w:p>
        </w:tc>
        <w:tc>
          <w:tcPr>
            <w:tcW w:w="1275" w:type="dxa"/>
            <w:gridSpan w:val="2"/>
          </w:tcPr>
          <w:p w14:paraId="058E9433" w14:textId="77777777" w:rsidR="00C328EF" w:rsidRPr="00565458" w:rsidRDefault="00C328EF" w:rsidP="00C328EF">
            <w:pPr>
              <w:tabs>
                <w:tab w:val="decimal" w:pos="1026"/>
              </w:tabs>
              <w:jc w:val="both"/>
            </w:pPr>
            <w:r w:rsidRPr="00565458">
              <w:t>═══════</w:t>
            </w:r>
          </w:p>
        </w:tc>
        <w:tc>
          <w:tcPr>
            <w:tcW w:w="1418" w:type="dxa"/>
            <w:gridSpan w:val="2"/>
          </w:tcPr>
          <w:p w14:paraId="49D81C74" w14:textId="77777777" w:rsidR="00C328EF" w:rsidRPr="00C328EF" w:rsidRDefault="00C328EF" w:rsidP="00C328EF">
            <w:pPr>
              <w:tabs>
                <w:tab w:val="decimal" w:pos="1026"/>
              </w:tabs>
              <w:jc w:val="both"/>
            </w:pPr>
            <w:r w:rsidRPr="00C328EF">
              <w:t>═══════</w:t>
            </w:r>
          </w:p>
        </w:tc>
      </w:tr>
      <w:tr w:rsidR="00C328EF" w:rsidRPr="00C328EF" w14:paraId="71B18059" w14:textId="77777777" w:rsidTr="004D2FFF">
        <w:tc>
          <w:tcPr>
            <w:tcW w:w="4219" w:type="dxa"/>
            <w:gridSpan w:val="2"/>
          </w:tcPr>
          <w:p w14:paraId="6006DE49" w14:textId="77777777" w:rsidR="00C328EF" w:rsidRPr="00E70ECE" w:rsidRDefault="00C328EF" w:rsidP="00C328EF">
            <w:r w:rsidRPr="00E70ECE">
              <w:t>Attributable to:</w:t>
            </w:r>
          </w:p>
        </w:tc>
        <w:tc>
          <w:tcPr>
            <w:tcW w:w="567" w:type="dxa"/>
          </w:tcPr>
          <w:p w14:paraId="028A8C17" w14:textId="77777777" w:rsidR="00C328EF" w:rsidRPr="00C328EF" w:rsidRDefault="00C328EF" w:rsidP="00C328EF">
            <w:pPr>
              <w:jc w:val="center"/>
              <w:rPr>
                <w:highlight w:val="yellow"/>
              </w:rPr>
            </w:pPr>
          </w:p>
        </w:tc>
        <w:tc>
          <w:tcPr>
            <w:tcW w:w="1276" w:type="dxa"/>
          </w:tcPr>
          <w:p w14:paraId="182CF240" w14:textId="77777777" w:rsidR="00C328EF" w:rsidRPr="00C328EF" w:rsidRDefault="00C328EF" w:rsidP="00C328EF">
            <w:pPr>
              <w:tabs>
                <w:tab w:val="decimal" w:pos="1026"/>
              </w:tabs>
              <w:jc w:val="both"/>
              <w:rPr>
                <w:highlight w:val="yellow"/>
              </w:rPr>
            </w:pPr>
          </w:p>
        </w:tc>
        <w:tc>
          <w:tcPr>
            <w:tcW w:w="1276" w:type="dxa"/>
            <w:gridSpan w:val="2"/>
          </w:tcPr>
          <w:p w14:paraId="0F5634F5" w14:textId="77777777" w:rsidR="00C328EF" w:rsidRPr="00C328EF" w:rsidRDefault="00C328EF" w:rsidP="00C328EF">
            <w:pPr>
              <w:tabs>
                <w:tab w:val="decimal" w:pos="1026"/>
              </w:tabs>
              <w:jc w:val="both"/>
            </w:pPr>
          </w:p>
        </w:tc>
        <w:tc>
          <w:tcPr>
            <w:tcW w:w="1275" w:type="dxa"/>
            <w:gridSpan w:val="2"/>
          </w:tcPr>
          <w:p w14:paraId="793A4BDB" w14:textId="77777777" w:rsidR="00C328EF" w:rsidRPr="00565458" w:rsidRDefault="00C328EF" w:rsidP="00C328EF">
            <w:pPr>
              <w:tabs>
                <w:tab w:val="decimal" w:pos="1026"/>
              </w:tabs>
              <w:jc w:val="both"/>
            </w:pPr>
          </w:p>
        </w:tc>
        <w:tc>
          <w:tcPr>
            <w:tcW w:w="1418" w:type="dxa"/>
            <w:gridSpan w:val="2"/>
          </w:tcPr>
          <w:p w14:paraId="4C7CFAE2" w14:textId="77777777" w:rsidR="00C328EF" w:rsidRPr="00C328EF" w:rsidRDefault="00C328EF" w:rsidP="00C328EF">
            <w:pPr>
              <w:tabs>
                <w:tab w:val="decimal" w:pos="1026"/>
              </w:tabs>
              <w:jc w:val="both"/>
            </w:pPr>
          </w:p>
        </w:tc>
      </w:tr>
      <w:tr w:rsidR="00C328EF" w:rsidRPr="00C328EF" w14:paraId="1187ECD6" w14:textId="77777777" w:rsidTr="004D2FFF">
        <w:tc>
          <w:tcPr>
            <w:tcW w:w="4219" w:type="dxa"/>
            <w:gridSpan w:val="2"/>
          </w:tcPr>
          <w:p w14:paraId="4195C4C7" w14:textId="77777777" w:rsidR="00C328EF" w:rsidRPr="00E70ECE" w:rsidRDefault="00C328EF" w:rsidP="00C328EF">
            <w:r w:rsidRPr="00E70ECE">
              <w:t xml:space="preserve">Equity holders </w:t>
            </w:r>
          </w:p>
        </w:tc>
        <w:tc>
          <w:tcPr>
            <w:tcW w:w="567" w:type="dxa"/>
          </w:tcPr>
          <w:p w14:paraId="29AAD63E" w14:textId="77777777" w:rsidR="00C328EF" w:rsidRPr="00C328EF" w:rsidRDefault="00C328EF" w:rsidP="00C328EF">
            <w:pPr>
              <w:jc w:val="center"/>
              <w:rPr>
                <w:highlight w:val="yellow"/>
              </w:rPr>
            </w:pPr>
          </w:p>
        </w:tc>
        <w:tc>
          <w:tcPr>
            <w:tcW w:w="1276" w:type="dxa"/>
          </w:tcPr>
          <w:p w14:paraId="19E9DB19" w14:textId="77777777" w:rsidR="00C328EF" w:rsidRPr="00D052B9" w:rsidRDefault="00D052B9" w:rsidP="00C328EF">
            <w:pPr>
              <w:tabs>
                <w:tab w:val="decimal" w:pos="1026"/>
              </w:tabs>
              <w:jc w:val="both"/>
            </w:pPr>
            <w:r w:rsidRPr="00D052B9">
              <w:t>(</w:t>
            </w:r>
            <w:r w:rsidR="00C328EF" w:rsidRPr="00D052B9">
              <w:t>1</w:t>
            </w:r>
            <w:r w:rsidRPr="00D052B9">
              <w:t>8</w:t>
            </w:r>
            <w:r w:rsidR="00C328EF" w:rsidRPr="00D052B9">
              <w:t>,</w:t>
            </w:r>
            <w:r w:rsidRPr="00D052B9">
              <w:t>761)</w:t>
            </w:r>
          </w:p>
        </w:tc>
        <w:tc>
          <w:tcPr>
            <w:tcW w:w="1276" w:type="dxa"/>
            <w:gridSpan w:val="2"/>
          </w:tcPr>
          <w:p w14:paraId="3B870801" w14:textId="77777777" w:rsidR="00C328EF" w:rsidRPr="00C328EF" w:rsidRDefault="00C328EF" w:rsidP="00C328EF">
            <w:pPr>
              <w:tabs>
                <w:tab w:val="decimal" w:pos="1026"/>
              </w:tabs>
              <w:jc w:val="both"/>
            </w:pPr>
            <w:r w:rsidRPr="00C328EF">
              <w:t>13,058</w:t>
            </w:r>
          </w:p>
        </w:tc>
        <w:tc>
          <w:tcPr>
            <w:tcW w:w="1275" w:type="dxa"/>
            <w:gridSpan w:val="2"/>
          </w:tcPr>
          <w:p w14:paraId="464AD180" w14:textId="77777777" w:rsidR="00C328EF" w:rsidRPr="00565458" w:rsidRDefault="00C328EF" w:rsidP="00C328EF">
            <w:pPr>
              <w:tabs>
                <w:tab w:val="decimal" w:pos="1026"/>
              </w:tabs>
              <w:jc w:val="both"/>
            </w:pPr>
            <w:r w:rsidRPr="00565458">
              <w:t>(</w:t>
            </w:r>
            <w:r w:rsidR="00E70ECE" w:rsidRPr="00565458">
              <w:t>8</w:t>
            </w:r>
            <w:r w:rsidRPr="00565458">
              <w:t>,</w:t>
            </w:r>
            <w:r w:rsidR="00565458" w:rsidRPr="00565458">
              <w:t>17</w:t>
            </w:r>
            <w:r w:rsidRPr="00565458">
              <w:t>9)</w:t>
            </w:r>
          </w:p>
        </w:tc>
        <w:tc>
          <w:tcPr>
            <w:tcW w:w="1418" w:type="dxa"/>
            <w:gridSpan w:val="2"/>
          </w:tcPr>
          <w:p w14:paraId="3F53EBC0" w14:textId="77777777" w:rsidR="00C328EF" w:rsidRPr="00C328EF" w:rsidRDefault="00C328EF" w:rsidP="00C328EF">
            <w:pPr>
              <w:tabs>
                <w:tab w:val="decimal" w:pos="1026"/>
              </w:tabs>
              <w:jc w:val="both"/>
            </w:pPr>
            <w:r w:rsidRPr="00C328EF">
              <w:t>(9,219)</w:t>
            </w:r>
          </w:p>
        </w:tc>
      </w:tr>
      <w:tr w:rsidR="00C328EF" w:rsidRPr="00C328EF" w14:paraId="3EA59204" w14:textId="77777777" w:rsidTr="004D2FFF">
        <w:tc>
          <w:tcPr>
            <w:tcW w:w="4219" w:type="dxa"/>
            <w:gridSpan w:val="2"/>
          </w:tcPr>
          <w:p w14:paraId="2695772E" w14:textId="77777777" w:rsidR="00C328EF" w:rsidRPr="00E70ECE" w:rsidRDefault="00C328EF" w:rsidP="00C328EF">
            <w:r w:rsidRPr="00E70ECE">
              <w:t>Non-controlling interest</w:t>
            </w:r>
          </w:p>
        </w:tc>
        <w:tc>
          <w:tcPr>
            <w:tcW w:w="567" w:type="dxa"/>
          </w:tcPr>
          <w:p w14:paraId="4F09E458" w14:textId="77777777" w:rsidR="00C328EF" w:rsidRPr="00C328EF" w:rsidRDefault="00C328EF" w:rsidP="00C328EF">
            <w:pPr>
              <w:jc w:val="center"/>
              <w:rPr>
                <w:highlight w:val="yellow"/>
              </w:rPr>
            </w:pPr>
          </w:p>
        </w:tc>
        <w:tc>
          <w:tcPr>
            <w:tcW w:w="1276" w:type="dxa"/>
          </w:tcPr>
          <w:p w14:paraId="4989EC7E" w14:textId="77777777" w:rsidR="00C328EF" w:rsidRPr="00D052B9" w:rsidRDefault="00D052B9" w:rsidP="00C328EF">
            <w:pPr>
              <w:tabs>
                <w:tab w:val="decimal" w:pos="1026"/>
              </w:tabs>
              <w:jc w:val="both"/>
            </w:pPr>
            <w:r w:rsidRPr="00D052B9">
              <w:t>(88</w:t>
            </w:r>
            <w:r w:rsidR="00C328EF" w:rsidRPr="00D052B9">
              <w:t>3</w:t>
            </w:r>
            <w:r w:rsidRPr="00D052B9">
              <w:t>)</w:t>
            </w:r>
          </w:p>
        </w:tc>
        <w:tc>
          <w:tcPr>
            <w:tcW w:w="1276" w:type="dxa"/>
            <w:gridSpan w:val="2"/>
          </w:tcPr>
          <w:p w14:paraId="4B428686" w14:textId="77777777" w:rsidR="00C328EF" w:rsidRPr="00C328EF" w:rsidRDefault="00C328EF" w:rsidP="00C328EF">
            <w:pPr>
              <w:tabs>
                <w:tab w:val="decimal" w:pos="1026"/>
              </w:tabs>
              <w:jc w:val="both"/>
            </w:pPr>
            <w:r w:rsidRPr="00C328EF">
              <w:t>2,323</w:t>
            </w:r>
          </w:p>
        </w:tc>
        <w:tc>
          <w:tcPr>
            <w:tcW w:w="1275" w:type="dxa"/>
            <w:gridSpan w:val="2"/>
          </w:tcPr>
          <w:p w14:paraId="522F99F8" w14:textId="77777777" w:rsidR="00C328EF" w:rsidRPr="00565458" w:rsidRDefault="00C328EF" w:rsidP="00C328EF">
            <w:pPr>
              <w:tabs>
                <w:tab w:val="decimal" w:pos="1026"/>
              </w:tabs>
              <w:jc w:val="both"/>
            </w:pPr>
            <w:r w:rsidRPr="00565458">
              <w:t>-</w:t>
            </w:r>
          </w:p>
        </w:tc>
        <w:tc>
          <w:tcPr>
            <w:tcW w:w="1418" w:type="dxa"/>
            <w:gridSpan w:val="2"/>
          </w:tcPr>
          <w:p w14:paraId="0732B064" w14:textId="77777777" w:rsidR="00C328EF" w:rsidRPr="00C328EF" w:rsidRDefault="00C328EF" w:rsidP="00C328EF">
            <w:pPr>
              <w:tabs>
                <w:tab w:val="decimal" w:pos="1026"/>
              </w:tabs>
              <w:jc w:val="both"/>
            </w:pPr>
            <w:r w:rsidRPr="00C328EF">
              <w:t>-</w:t>
            </w:r>
          </w:p>
        </w:tc>
      </w:tr>
      <w:tr w:rsidR="00C328EF" w:rsidRPr="00C328EF" w14:paraId="123368D3" w14:textId="77777777" w:rsidTr="004D2FFF">
        <w:tc>
          <w:tcPr>
            <w:tcW w:w="4219" w:type="dxa"/>
            <w:gridSpan w:val="2"/>
          </w:tcPr>
          <w:p w14:paraId="70DF8B4D" w14:textId="77777777" w:rsidR="00C328EF" w:rsidRPr="00C328EF" w:rsidRDefault="00C328EF" w:rsidP="00C328EF">
            <w:pPr>
              <w:jc w:val="both"/>
              <w:rPr>
                <w:highlight w:val="yellow"/>
              </w:rPr>
            </w:pPr>
          </w:p>
        </w:tc>
        <w:tc>
          <w:tcPr>
            <w:tcW w:w="567" w:type="dxa"/>
          </w:tcPr>
          <w:p w14:paraId="4AEFFFBC" w14:textId="77777777" w:rsidR="00C328EF" w:rsidRPr="00C328EF" w:rsidRDefault="00C328EF" w:rsidP="00C328EF">
            <w:pPr>
              <w:jc w:val="both"/>
              <w:rPr>
                <w:highlight w:val="yellow"/>
              </w:rPr>
            </w:pPr>
          </w:p>
        </w:tc>
        <w:tc>
          <w:tcPr>
            <w:tcW w:w="1276" w:type="dxa"/>
          </w:tcPr>
          <w:p w14:paraId="7432A563" w14:textId="77777777" w:rsidR="00C328EF" w:rsidRPr="00D052B9" w:rsidRDefault="00C328EF" w:rsidP="00C328EF">
            <w:pPr>
              <w:tabs>
                <w:tab w:val="decimal" w:pos="1026"/>
              </w:tabs>
              <w:jc w:val="both"/>
            </w:pPr>
            <w:r w:rsidRPr="00D052B9">
              <w:t>═══════</w:t>
            </w:r>
          </w:p>
        </w:tc>
        <w:tc>
          <w:tcPr>
            <w:tcW w:w="1276" w:type="dxa"/>
            <w:gridSpan w:val="2"/>
          </w:tcPr>
          <w:p w14:paraId="55FFBBDA" w14:textId="77777777" w:rsidR="00C328EF" w:rsidRPr="00C328EF" w:rsidRDefault="00C328EF" w:rsidP="00C328EF">
            <w:pPr>
              <w:tabs>
                <w:tab w:val="decimal" w:pos="1026"/>
              </w:tabs>
              <w:jc w:val="both"/>
            </w:pPr>
            <w:r w:rsidRPr="00C328EF">
              <w:t>═══════</w:t>
            </w:r>
          </w:p>
        </w:tc>
        <w:tc>
          <w:tcPr>
            <w:tcW w:w="1275" w:type="dxa"/>
            <w:gridSpan w:val="2"/>
          </w:tcPr>
          <w:p w14:paraId="4ED681D2" w14:textId="77777777" w:rsidR="00C328EF" w:rsidRPr="00565458" w:rsidRDefault="00C328EF" w:rsidP="00C328EF">
            <w:pPr>
              <w:tabs>
                <w:tab w:val="decimal" w:pos="1026"/>
              </w:tabs>
              <w:jc w:val="both"/>
            </w:pPr>
            <w:r w:rsidRPr="00565458">
              <w:t>═══════</w:t>
            </w:r>
          </w:p>
        </w:tc>
        <w:tc>
          <w:tcPr>
            <w:tcW w:w="1418" w:type="dxa"/>
            <w:gridSpan w:val="2"/>
          </w:tcPr>
          <w:p w14:paraId="163F3726" w14:textId="77777777" w:rsidR="00C328EF" w:rsidRPr="00C328EF" w:rsidRDefault="00C328EF" w:rsidP="00C328EF">
            <w:pPr>
              <w:tabs>
                <w:tab w:val="decimal" w:pos="1026"/>
              </w:tabs>
              <w:jc w:val="both"/>
            </w:pPr>
            <w:r w:rsidRPr="00C328EF">
              <w:t>═══════</w:t>
            </w:r>
          </w:p>
        </w:tc>
      </w:tr>
    </w:tbl>
    <w:p w14:paraId="59492D15" w14:textId="77777777" w:rsidR="005C0380" w:rsidRPr="00C328EF" w:rsidRDefault="005C0380" w:rsidP="004F7C95">
      <w:pPr>
        <w:rPr>
          <w:highlight w:val="yellow"/>
        </w:rPr>
      </w:pPr>
    </w:p>
    <w:p w14:paraId="675374F0" w14:textId="77777777" w:rsidR="005C0380" w:rsidRPr="00C328EF" w:rsidRDefault="005C0380" w:rsidP="004F7C95">
      <w:pPr>
        <w:rPr>
          <w:highlight w:val="yellow"/>
        </w:rPr>
      </w:pPr>
    </w:p>
    <w:p w14:paraId="07BA1420" w14:textId="77777777" w:rsidR="005C0380" w:rsidRPr="008D25F6" w:rsidRDefault="005C0380" w:rsidP="004F7C95"/>
    <w:p w14:paraId="08A2C98C" w14:textId="77777777" w:rsidR="005C0380" w:rsidRPr="008D25F6" w:rsidRDefault="005C0380" w:rsidP="004F7C95"/>
    <w:p w14:paraId="681AC2FE" w14:textId="0E07C356" w:rsidR="00E87B78" w:rsidRPr="008D25F6" w:rsidRDefault="00E87B78" w:rsidP="00E87B78">
      <w:pPr>
        <w:jc w:val="center"/>
      </w:pPr>
      <w:r w:rsidRPr="008D25F6">
        <w:t>The accompanying notes</w:t>
      </w:r>
      <w:r w:rsidR="008F50BB" w:rsidRPr="008D25F6">
        <w:t xml:space="preserve"> on pages </w:t>
      </w:r>
      <w:r w:rsidR="00BE1FC9" w:rsidRPr="008D25F6">
        <w:t>3</w:t>
      </w:r>
      <w:r w:rsidR="008D7CD4">
        <w:t>7</w:t>
      </w:r>
      <w:r w:rsidR="008F50BB" w:rsidRPr="008D25F6">
        <w:t xml:space="preserve"> to </w:t>
      </w:r>
      <w:r w:rsidR="008D25F6" w:rsidRPr="008D25F6">
        <w:t>7</w:t>
      </w:r>
      <w:r w:rsidR="008D7CD4">
        <w:t>2</w:t>
      </w:r>
      <w:r w:rsidRPr="008D25F6">
        <w:t xml:space="preserve"> form part of these financial statements</w:t>
      </w:r>
    </w:p>
    <w:p w14:paraId="65B780E2" w14:textId="77777777" w:rsidR="009950A8" w:rsidRPr="00E70ECE" w:rsidRDefault="00207A56" w:rsidP="009950A8">
      <w:pPr>
        <w:jc w:val="center"/>
        <w:rPr>
          <w:b/>
        </w:rPr>
      </w:pPr>
      <w:r w:rsidRPr="008D25F6">
        <w:br w:type="page"/>
      </w:r>
      <w:r w:rsidR="009A78BE" w:rsidRPr="00E70ECE">
        <w:rPr>
          <w:b/>
        </w:rPr>
        <w:lastRenderedPageBreak/>
        <w:t>TRANSPORT FOR EDINBURGH LIMITED</w:t>
      </w:r>
    </w:p>
    <w:p w14:paraId="4BD84C8C" w14:textId="77777777" w:rsidR="00C7393B" w:rsidRPr="00E70ECE" w:rsidRDefault="00C7393B" w:rsidP="009950A8">
      <w:pPr>
        <w:jc w:val="center"/>
        <w:rPr>
          <w:b/>
        </w:rPr>
      </w:pPr>
    </w:p>
    <w:p w14:paraId="43FD66A8" w14:textId="77777777" w:rsidR="009950A8" w:rsidRPr="00E70ECE" w:rsidRDefault="00C009EE" w:rsidP="000D6FBB">
      <w:pPr>
        <w:jc w:val="center"/>
        <w:rPr>
          <w:b/>
        </w:rPr>
      </w:pPr>
      <w:r w:rsidRPr="00E70ECE">
        <w:rPr>
          <w:b/>
        </w:rPr>
        <w:t>Consolidated and</w:t>
      </w:r>
      <w:r w:rsidR="00A60D48" w:rsidRPr="00E70ECE">
        <w:rPr>
          <w:b/>
        </w:rPr>
        <w:t xml:space="preserve"> </w:t>
      </w:r>
      <w:r w:rsidR="00C33886">
        <w:rPr>
          <w:b/>
        </w:rPr>
        <w:t xml:space="preserve">Parent </w:t>
      </w:r>
      <w:r w:rsidR="00A60D48" w:rsidRPr="00E70ECE">
        <w:rPr>
          <w:b/>
        </w:rPr>
        <w:t xml:space="preserve">Company </w:t>
      </w:r>
      <w:r w:rsidR="009950A8" w:rsidRPr="00E70ECE">
        <w:rPr>
          <w:b/>
        </w:rPr>
        <w:t>Statement of Financial Position</w:t>
      </w:r>
    </w:p>
    <w:p w14:paraId="6B582607" w14:textId="77777777" w:rsidR="00C7393B" w:rsidRPr="00E70ECE" w:rsidRDefault="00C7393B" w:rsidP="000D6FBB">
      <w:pPr>
        <w:jc w:val="center"/>
        <w:rPr>
          <w:b/>
        </w:rPr>
      </w:pPr>
    </w:p>
    <w:p w14:paraId="2FB7C312" w14:textId="77777777" w:rsidR="004F1CD6" w:rsidRPr="00E70ECE" w:rsidRDefault="00011636" w:rsidP="004F1CD6">
      <w:pPr>
        <w:jc w:val="center"/>
        <w:rPr>
          <w:b/>
        </w:rPr>
      </w:pPr>
      <w:r w:rsidRPr="00E70ECE">
        <w:rPr>
          <w:b/>
        </w:rPr>
        <w:t xml:space="preserve">As </w:t>
      </w:r>
      <w:r w:rsidR="00BF113F" w:rsidRPr="00E70ECE">
        <w:rPr>
          <w:b/>
        </w:rPr>
        <w:t>a</w:t>
      </w:r>
      <w:r w:rsidRPr="00E70ECE">
        <w:rPr>
          <w:b/>
        </w:rPr>
        <w:t xml:space="preserve">t </w:t>
      </w:r>
      <w:r w:rsidR="00002C01">
        <w:rPr>
          <w:b/>
        </w:rPr>
        <w:t>28</w:t>
      </w:r>
      <w:r w:rsidRPr="00E70ECE">
        <w:rPr>
          <w:b/>
        </w:rPr>
        <w:t xml:space="preserve"> December 20</w:t>
      </w:r>
      <w:r w:rsidR="001F1B1A" w:rsidRPr="00E70ECE">
        <w:rPr>
          <w:b/>
        </w:rPr>
        <w:t>2</w:t>
      </w:r>
      <w:r w:rsidR="00E70ECE" w:rsidRPr="00E70ECE">
        <w:rPr>
          <w:b/>
        </w:rPr>
        <w:t>4</w:t>
      </w:r>
    </w:p>
    <w:p w14:paraId="37C34C00" w14:textId="77777777" w:rsidR="00AF52C3" w:rsidRPr="00E70ECE" w:rsidRDefault="00AF52C3" w:rsidP="004F1CD6">
      <w:pPr>
        <w:jc w:val="center"/>
        <w:rPr>
          <w:b/>
        </w:rPr>
      </w:pPr>
    </w:p>
    <w:tbl>
      <w:tblPr>
        <w:tblW w:w="10598" w:type="dxa"/>
        <w:tblLayout w:type="fixed"/>
        <w:tblLook w:val="0000" w:firstRow="0" w:lastRow="0" w:firstColumn="0" w:lastColumn="0" w:noHBand="0" w:noVBand="0"/>
      </w:tblPr>
      <w:tblGrid>
        <w:gridCol w:w="30"/>
        <w:gridCol w:w="2630"/>
        <w:gridCol w:w="142"/>
        <w:gridCol w:w="567"/>
        <w:gridCol w:w="1134"/>
        <w:gridCol w:w="567"/>
        <w:gridCol w:w="1984"/>
        <w:gridCol w:w="1701"/>
        <w:gridCol w:w="1843"/>
      </w:tblGrid>
      <w:tr w:rsidR="004D2FFF" w:rsidRPr="00E70ECE" w14:paraId="6A86BDFE" w14:textId="77777777" w:rsidTr="004D2FFF">
        <w:trPr>
          <w:gridBefore w:val="1"/>
          <w:wBefore w:w="30" w:type="dxa"/>
          <w:trHeight w:val="189"/>
        </w:trPr>
        <w:tc>
          <w:tcPr>
            <w:tcW w:w="2772" w:type="dxa"/>
            <w:gridSpan w:val="2"/>
          </w:tcPr>
          <w:p w14:paraId="5A477A42" w14:textId="77777777" w:rsidR="004D2FFF" w:rsidRPr="00E70ECE" w:rsidRDefault="004D2FFF" w:rsidP="006E4C23">
            <w:pPr>
              <w:jc w:val="both"/>
              <w:rPr>
                <w:rFonts w:cs="Arial"/>
                <w:sz w:val="18"/>
                <w:szCs w:val="18"/>
              </w:rPr>
            </w:pPr>
          </w:p>
        </w:tc>
        <w:tc>
          <w:tcPr>
            <w:tcW w:w="567" w:type="dxa"/>
          </w:tcPr>
          <w:p w14:paraId="032A2327" w14:textId="77777777" w:rsidR="004D2FFF" w:rsidRPr="00E70ECE" w:rsidRDefault="004D2FFF" w:rsidP="006E4C23">
            <w:pPr>
              <w:jc w:val="both"/>
              <w:rPr>
                <w:rFonts w:cs="Arial"/>
                <w:sz w:val="18"/>
                <w:szCs w:val="18"/>
              </w:rPr>
            </w:pPr>
          </w:p>
        </w:tc>
        <w:tc>
          <w:tcPr>
            <w:tcW w:w="3685" w:type="dxa"/>
            <w:gridSpan w:val="3"/>
          </w:tcPr>
          <w:p w14:paraId="0293353C" w14:textId="77777777" w:rsidR="004D2FFF" w:rsidRPr="00E70ECE" w:rsidRDefault="004D2FFF" w:rsidP="00D90D04">
            <w:pPr>
              <w:ind w:left="118"/>
              <w:jc w:val="center"/>
              <w:rPr>
                <w:rFonts w:cs="Arial"/>
                <w:b/>
                <w:sz w:val="18"/>
                <w:szCs w:val="18"/>
              </w:rPr>
            </w:pPr>
            <w:r w:rsidRPr="00E70ECE">
              <w:rPr>
                <w:b/>
                <w:sz w:val="18"/>
                <w:szCs w:val="18"/>
              </w:rPr>
              <w:t>Consolidated Group</w:t>
            </w:r>
          </w:p>
        </w:tc>
        <w:tc>
          <w:tcPr>
            <w:tcW w:w="3544" w:type="dxa"/>
            <w:gridSpan w:val="2"/>
          </w:tcPr>
          <w:p w14:paraId="646DFCC3" w14:textId="77777777" w:rsidR="004D2FFF" w:rsidRPr="00E70ECE" w:rsidRDefault="004D2FFF" w:rsidP="0093773D">
            <w:pPr>
              <w:jc w:val="center"/>
              <w:rPr>
                <w:rFonts w:cs="Arial"/>
                <w:b/>
                <w:sz w:val="18"/>
                <w:szCs w:val="18"/>
              </w:rPr>
            </w:pPr>
            <w:r w:rsidRPr="00E70ECE">
              <w:rPr>
                <w:rFonts w:cs="Arial"/>
                <w:b/>
                <w:sz w:val="18"/>
                <w:szCs w:val="18"/>
              </w:rPr>
              <w:t>Parent Entity</w:t>
            </w:r>
          </w:p>
        </w:tc>
      </w:tr>
      <w:tr w:rsidR="004D2FFF" w:rsidRPr="00E70ECE" w14:paraId="210CC898" w14:textId="77777777" w:rsidTr="004D2FFF">
        <w:trPr>
          <w:gridBefore w:val="1"/>
          <w:wBefore w:w="30" w:type="dxa"/>
        </w:trPr>
        <w:tc>
          <w:tcPr>
            <w:tcW w:w="2772" w:type="dxa"/>
            <w:gridSpan w:val="2"/>
          </w:tcPr>
          <w:p w14:paraId="4E33A6D1" w14:textId="77777777" w:rsidR="004D2FFF" w:rsidRPr="00E70ECE" w:rsidRDefault="004D2FFF" w:rsidP="008F1379">
            <w:pPr>
              <w:jc w:val="both"/>
              <w:rPr>
                <w:rFonts w:cs="Arial"/>
                <w:b/>
                <w:sz w:val="18"/>
                <w:szCs w:val="18"/>
              </w:rPr>
            </w:pPr>
          </w:p>
        </w:tc>
        <w:tc>
          <w:tcPr>
            <w:tcW w:w="567" w:type="dxa"/>
          </w:tcPr>
          <w:p w14:paraId="2E938F32" w14:textId="77777777" w:rsidR="004D2FFF" w:rsidRPr="00E70ECE" w:rsidRDefault="004D2FFF" w:rsidP="008F1379">
            <w:pPr>
              <w:jc w:val="both"/>
              <w:rPr>
                <w:rFonts w:cs="Arial"/>
                <w:b/>
                <w:sz w:val="18"/>
                <w:szCs w:val="18"/>
              </w:rPr>
            </w:pPr>
          </w:p>
        </w:tc>
        <w:tc>
          <w:tcPr>
            <w:tcW w:w="1701" w:type="dxa"/>
            <w:gridSpan w:val="2"/>
          </w:tcPr>
          <w:p w14:paraId="6DE940E3" w14:textId="77777777" w:rsidR="004D2FFF" w:rsidRPr="00E70ECE" w:rsidRDefault="004D2FFF" w:rsidP="008F1379">
            <w:pPr>
              <w:tabs>
                <w:tab w:val="decimal" w:pos="459"/>
              </w:tabs>
              <w:ind w:left="-108" w:right="-108"/>
              <w:jc w:val="center"/>
              <w:rPr>
                <w:rFonts w:cs="Arial"/>
                <w:b/>
                <w:sz w:val="18"/>
                <w:szCs w:val="18"/>
              </w:rPr>
            </w:pPr>
          </w:p>
        </w:tc>
        <w:tc>
          <w:tcPr>
            <w:tcW w:w="1984" w:type="dxa"/>
          </w:tcPr>
          <w:p w14:paraId="286B287F" w14:textId="77777777" w:rsidR="004D2FFF" w:rsidRPr="00E70ECE" w:rsidRDefault="004D2FFF" w:rsidP="008F1379">
            <w:pPr>
              <w:tabs>
                <w:tab w:val="decimal" w:pos="459"/>
              </w:tabs>
              <w:ind w:left="-108" w:right="-108"/>
              <w:jc w:val="center"/>
              <w:rPr>
                <w:rFonts w:cs="Arial"/>
                <w:b/>
                <w:sz w:val="18"/>
                <w:szCs w:val="18"/>
              </w:rPr>
            </w:pPr>
          </w:p>
        </w:tc>
        <w:tc>
          <w:tcPr>
            <w:tcW w:w="1701" w:type="dxa"/>
          </w:tcPr>
          <w:p w14:paraId="31FD567F" w14:textId="77777777" w:rsidR="004D2FFF" w:rsidRPr="00E70ECE" w:rsidRDefault="004D2FFF" w:rsidP="00D901E1">
            <w:pPr>
              <w:tabs>
                <w:tab w:val="decimal" w:pos="459"/>
              </w:tabs>
              <w:ind w:left="-397" w:right="-108"/>
              <w:jc w:val="center"/>
              <w:rPr>
                <w:rFonts w:cs="Arial"/>
                <w:b/>
                <w:sz w:val="18"/>
                <w:szCs w:val="18"/>
              </w:rPr>
            </w:pPr>
          </w:p>
        </w:tc>
        <w:tc>
          <w:tcPr>
            <w:tcW w:w="1843" w:type="dxa"/>
          </w:tcPr>
          <w:p w14:paraId="5EEC0F1E" w14:textId="77777777" w:rsidR="004D2FFF" w:rsidRPr="00E70ECE" w:rsidRDefault="004D2FFF" w:rsidP="008F1379">
            <w:pPr>
              <w:tabs>
                <w:tab w:val="decimal" w:pos="459"/>
              </w:tabs>
              <w:ind w:left="-108" w:right="-108"/>
              <w:jc w:val="center"/>
              <w:rPr>
                <w:rFonts w:cs="Arial"/>
                <w:b/>
                <w:sz w:val="18"/>
                <w:szCs w:val="18"/>
              </w:rPr>
            </w:pPr>
          </w:p>
        </w:tc>
      </w:tr>
      <w:tr w:rsidR="004D2FFF" w:rsidRPr="00E70ECE" w14:paraId="4A4E068A" w14:textId="77777777" w:rsidTr="004D2FFF">
        <w:trPr>
          <w:gridBefore w:val="1"/>
          <w:wBefore w:w="30" w:type="dxa"/>
        </w:trPr>
        <w:tc>
          <w:tcPr>
            <w:tcW w:w="2772" w:type="dxa"/>
            <w:gridSpan w:val="2"/>
          </w:tcPr>
          <w:p w14:paraId="027828C5" w14:textId="77777777" w:rsidR="004D2FFF" w:rsidRPr="00E70ECE" w:rsidRDefault="004D2FFF" w:rsidP="008F1379">
            <w:pPr>
              <w:jc w:val="both"/>
              <w:rPr>
                <w:rFonts w:cs="Arial"/>
                <w:b/>
                <w:sz w:val="18"/>
                <w:szCs w:val="18"/>
              </w:rPr>
            </w:pPr>
          </w:p>
        </w:tc>
        <w:tc>
          <w:tcPr>
            <w:tcW w:w="567" w:type="dxa"/>
          </w:tcPr>
          <w:p w14:paraId="56C0ADDC" w14:textId="77777777" w:rsidR="004D2FFF" w:rsidRPr="00E70ECE" w:rsidRDefault="004D2FFF" w:rsidP="008F1379">
            <w:pPr>
              <w:jc w:val="both"/>
              <w:rPr>
                <w:rFonts w:cs="Arial"/>
                <w:b/>
                <w:sz w:val="18"/>
                <w:szCs w:val="18"/>
              </w:rPr>
            </w:pPr>
          </w:p>
        </w:tc>
        <w:tc>
          <w:tcPr>
            <w:tcW w:w="1701" w:type="dxa"/>
            <w:gridSpan w:val="2"/>
          </w:tcPr>
          <w:p w14:paraId="38DAB5C7" w14:textId="77777777" w:rsidR="004D2FFF" w:rsidRPr="00E70ECE" w:rsidRDefault="004D2FFF" w:rsidP="008F1379">
            <w:pPr>
              <w:tabs>
                <w:tab w:val="decimal" w:pos="459"/>
              </w:tabs>
              <w:ind w:left="-108" w:right="-108"/>
              <w:jc w:val="center"/>
              <w:rPr>
                <w:rFonts w:cs="Arial"/>
                <w:b/>
                <w:sz w:val="18"/>
                <w:szCs w:val="18"/>
              </w:rPr>
            </w:pPr>
          </w:p>
        </w:tc>
        <w:tc>
          <w:tcPr>
            <w:tcW w:w="1984" w:type="dxa"/>
          </w:tcPr>
          <w:p w14:paraId="397C7081" w14:textId="77777777" w:rsidR="004D2FFF" w:rsidRPr="00E70ECE" w:rsidRDefault="004D2FFF" w:rsidP="008F1379">
            <w:pPr>
              <w:tabs>
                <w:tab w:val="decimal" w:pos="459"/>
              </w:tabs>
              <w:ind w:left="-108" w:right="-108"/>
              <w:jc w:val="center"/>
              <w:rPr>
                <w:rFonts w:cs="Arial"/>
                <w:b/>
                <w:sz w:val="18"/>
                <w:szCs w:val="18"/>
              </w:rPr>
            </w:pPr>
          </w:p>
        </w:tc>
        <w:tc>
          <w:tcPr>
            <w:tcW w:w="1701" w:type="dxa"/>
          </w:tcPr>
          <w:p w14:paraId="75F4DD33" w14:textId="77777777" w:rsidR="004D2FFF" w:rsidRPr="00E70ECE" w:rsidRDefault="004D2FFF" w:rsidP="00D901E1">
            <w:pPr>
              <w:tabs>
                <w:tab w:val="decimal" w:pos="459"/>
              </w:tabs>
              <w:ind w:left="-397" w:right="-108"/>
              <w:jc w:val="center"/>
              <w:rPr>
                <w:rFonts w:cs="Arial"/>
                <w:b/>
                <w:sz w:val="18"/>
                <w:szCs w:val="18"/>
              </w:rPr>
            </w:pPr>
          </w:p>
        </w:tc>
        <w:tc>
          <w:tcPr>
            <w:tcW w:w="1843" w:type="dxa"/>
          </w:tcPr>
          <w:p w14:paraId="4DD6F3A6" w14:textId="77777777" w:rsidR="004D2FFF" w:rsidRPr="00E70ECE" w:rsidRDefault="004D2FFF" w:rsidP="008F1379">
            <w:pPr>
              <w:tabs>
                <w:tab w:val="decimal" w:pos="459"/>
              </w:tabs>
              <w:ind w:left="-108" w:right="-108"/>
              <w:jc w:val="center"/>
              <w:rPr>
                <w:rFonts w:cs="Arial"/>
                <w:b/>
                <w:sz w:val="18"/>
                <w:szCs w:val="18"/>
              </w:rPr>
            </w:pPr>
          </w:p>
        </w:tc>
      </w:tr>
      <w:tr w:rsidR="004D2FFF" w:rsidRPr="00E70ECE" w14:paraId="209952FB" w14:textId="77777777" w:rsidTr="004D2FFF">
        <w:trPr>
          <w:gridBefore w:val="1"/>
          <w:wBefore w:w="30" w:type="dxa"/>
        </w:trPr>
        <w:tc>
          <w:tcPr>
            <w:tcW w:w="2772" w:type="dxa"/>
            <w:gridSpan w:val="2"/>
          </w:tcPr>
          <w:p w14:paraId="2E5DB0CE" w14:textId="77777777" w:rsidR="004D2FFF" w:rsidRPr="00E70ECE" w:rsidRDefault="004D2FFF" w:rsidP="008F1379">
            <w:pPr>
              <w:jc w:val="both"/>
              <w:rPr>
                <w:rFonts w:cs="Arial"/>
                <w:b/>
                <w:sz w:val="18"/>
                <w:szCs w:val="18"/>
              </w:rPr>
            </w:pPr>
          </w:p>
        </w:tc>
        <w:tc>
          <w:tcPr>
            <w:tcW w:w="567" w:type="dxa"/>
          </w:tcPr>
          <w:p w14:paraId="5B548C0D" w14:textId="77777777" w:rsidR="004D2FFF" w:rsidRPr="00E70ECE" w:rsidRDefault="004D2FFF" w:rsidP="008F1379">
            <w:pPr>
              <w:jc w:val="both"/>
              <w:rPr>
                <w:rFonts w:cs="Arial"/>
                <w:b/>
                <w:sz w:val="18"/>
                <w:szCs w:val="18"/>
              </w:rPr>
            </w:pPr>
          </w:p>
        </w:tc>
        <w:tc>
          <w:tcPr>
            <w:tcW w:w="1701" w:type="dxa"/>
            <w:gridSpan w:val="2"/>
          </w:tcPr>
          <w:p w14:paraId="558DB7EC" w14:textId="77777777" w:rsidR="004D2FFF" w:rsidRPr="00E70ECE" w:rsidRDefault="004D2FFF" w:rsidP="00A65A74">
            <w:pPr>
              <w:tabs>
                <w:tab w:val="right" w:pos="1161"/>
              </w:tabs>
              <w:ind w:left="-108" w:right="-108"/>
              <w:rPr>
                <w:rFonts w:cs="Arial"/>
                <w:b/>
                <w:sz w:val="18"/>
                <w:szCs w:val="18"/>
              </w:rPr>
            </w:pPr>
            <w:r>
              <w:rPr>
                <w:rFonts w:cs="Arial"/>
                <w:b/>
                <w:sz w:val="18"/>
                <w:szCs w:val="18"/>
              </w:rPr>
              <w:tab/>
              <w:t>28/12/</w:t>
            </w:r>
            <w:r w:rsidRPr="00E70ECE">
              <w:rPr>
                <w:rFonts w:cs="Arial"/>
                <w:b/>
                <w:sz w:val="18"/>
                <w:szCs w:val="18"/>
              </w:rPr>
              <w:t>202</w:t>
            </w:r>
            <w:r>
              <w:rPr>
                <w:rFonts w:cs="Arial"/>
                <w:b/>
                <w:sz w:val="18"/>
                <w:szCs w:val="18"/>
              </w:rPr>
              <w:t>4</w:t>
            </w:r>
          </w:p>
        </w:tc>
        <w:tc>
          <w:tcPr>
            <w:tcW w:w="1984" w:type="dxa"/>
          </w:tcPr>
          <w:p w14:paraId="38D5B379" w14:textId="77777777" w:rsidR="004D2FFF" w:rsidRPr="00E70ECE" w:rsidRDefault="004D2FFF" w:rsidP="00A65A74">
            <w:pPr>
              <w:tabs>
                <w:tab w:val="right" w:pos="1032"/>
              </w:tabs>
              <w:ind w:left="-108" w:right="-108"/>
              <w:rPr>
                <w:rFonts w:cs="Arial"/>
                <w:b/>
                <w:sz w:val="18"/>
                <w:szCs w:val="18"/>
              </w:rPr>
            </w:pPr>
            <w:r>
              <w:rPr>
                <w:rFonts w:cs="Arial"/>
                <w:b/>
                <w:sz w:val="18"/>
                <w:szCs w:val="18"/>
              </w:rPr>
              <w:tab/>
              <w:t>30/12/</w:t>
            </w:r>
            <w:r w:rsidRPr="00E70ECE">
              <w:rPr>
                <w:rFonts w:cs="Arial"/>
                <w:b/>
                <w:sz w:val="18"/>
                <w:szCs w:val="18"/>
              </w:rPr>
              <w:t>202</w:t>
            </w:r>
            <w:r>
              <w:rPr>
                <w:rFonts w:cs="Arial"/>
                <w:b/>
                <w:sz w:val="18"/>
                <w:szCs w:val="18"/>
              </w:rPr>
              <w:t>3</w:t>
            </w:r>
          </w:p>
        </w:tc>
        <w:tc>
          <w:tcPr>
            <w:tcW w:w="1701" w:type="dxa"/>
          </w:tcPr>
          <w:p w14:paraId="79530185" w14:textId="77777777" w:rsidR="004D2FFF" w:rsidRPr="00E70ECE" w:rsidRDefault="004D2FFF" w:rsidP="00A65A74">
            <w:pPr>
              <w:tabs>
                <w:tab w:val="right" w:pos="1457"/>
              </w:tabs>
              <w:ind w:left="-397" w:right="-108"/>
              <w:rPr>
                <w:rFonts w:cs="Arial"/>
                <w:b/>
                <w:sz w:val="18"/>
                <w:szCs w:val="18"/>
              </w:rPr>
            </w:pPr>
            <w:r>
              <w:rPr>
                <w:rFonts w:cs="Arial"/>
                <w:b/>
                <w:sz w:val="18"/>
                <w:szCs w:val="18"/>
              </w:rPr>
              <w:tab/>
              <w:t>28/12/</w:t>
            </w:r>
            <w:r w:rsidRPr="00E70ECE">
              <w:rPr>
                <w:rFonts w:cs="Arial"/>
                <w:b/>
                <w:sz w:val="18"/>
                <w:szCs w:val="18"/>
              </w:rPr>
              <w:t>202</w:t>
            </w:r>
            <w:r>
              <w:rPr>
                <w:rFonts w:cs="Arial"/>
                <w:b/>
                <w:sz w:val="18"/>
                <w:szCs w:val="18"/>
              </w:rPr>
              <w:t>4</w:t>
            </w:r>
          </w:p>
        </w:tc>
        <w:tc>
          <w:tcPr>
            <w:tcW w:w="1843" w:type="dxa"/>
          </w:tcPr>
          <w:p w14:paraId="006E3FFC" w14:textId="77777777" w:rsidR="004D2FFF" w:rsidRPr="00E70ECE" w:rsidRDefault="004D2FFF" w:rsidP="00A65A74">
            <w:pPr>
              <w:tabs>
                <w:tab w:val="right" w:pos="1163"/>
              </w:tabs>
              <w:ind w:left="-108" w:right="-108"/>
              <w:rPr>
                <w:rFonts w:cs="Arial"/>
                <w:b/>
                <w:sz w:val="18"/>
                <w:szCs w:val="18"/>
              </w:rPr>
            </w:pPr>
            <w:r>
              <w:rPr>
                <w:rFonts w:cs="Arial"/>
                <w:b/>
                <w:sz w:val="18"/>
                <w:szCs w:val="18"/>
              </w:rPr>
              <w:tab/>
              <w:t>28/12/</w:t>
            </w:r>
            <w:r w:rsidRPr="00E70ECE">
              <w:rPr>
                <w:rFonts w:cs="Arial"/>
                <w:b/>
                <w:sz w:val="18"/>
                <w:szCs w:val="18"/>
              </w:rPr>
              <w:t>202</w:t>
            </w:r>
            <w:r>
              <w:rPr>
                <w:rFonts w:cs="Arial"/>
                <w:b/>
                <w:sz w:val="18"/>
                <w:szCs w:val="18"/>
              </w:rPr>
              <w:t>3</w:t>
            </w:r>
          </w:p>
        </w:tc>
      </w:tr>
      <w:tr w:rsidR="004D2FFF" w:rsidRPr="00E70ECE" w14:paraId="6D87F11B" w14:textId="77777777" w:rsidTr="004D2FFF">
        <w:trPr>
          <w:gridBefore w:val="1"/>
          <w:wBefore w:w="30" w:type="dxa"/>
        </w:trPr>
        <w:tc>
          <w:tcPr>
            <w:tcW w:w="2772" w:type="dxa"/>
            <w:gridSpan w:val="2"/>
          </w:tcPr>
          <w:p w14:paraId="35113603" w14:textId="77777777" w:rsidR="004D2FFF" w:rsidRPr="00E70ECE" w:rsidRDefault="004D2FFF" w:rsidP="008F1379">
            <w:pPr>
              <w:jc w:val="both"/>
              <w:rPr>
                <w:rFonts w:cs="Arial"/>
                <w:b/>
                <w:sz w:val="18"/>
                <w:szCs w:val="18"/>
              </w:rPr>
            </w:pPr>
          </w:p>
        </w:tc>
        <w:tc>
          <w:tcPr>
            <w:tcW w:w="567" w:type="dxa"/>
          </w:tcPr>
          <w:p w14:paraId="7051D35C" w14:textId="77777777" w:rsidR="004D2FFF" w:rsidRPr="00E70ECE" w:rsidRDefault="004D2FFF" w:rsidP="008F1379">
            <w:pPr>
              <w:ind w:left="-108" w:right="-108"/>
              <w:jc w:val="both"/>
              <w:rPr>
                <w:rFonts w:cs="Arial"/>
                <w:b/>
                <w:sz w:val="18"/>
                <w:szCs w:val="18"/>
              </w:rPr>
            </w:pPr>
            <w:r w:rsidRPr="00E70ECE">
              <w:rPr>
                <w:rFonts w:cs="Arial"/>
                <w:b/>
                <w:sz w:val="18"/>
                <w:szCs w:val="18"/>
              </w:rPr>
              <w:t>Note</w:t>
            </w:r>
          </w:p>
        </w:tc>
        <w:tc>
          <w:tcPr>
            <w:tcW w:w="1701" w:type="dxa"/>
            <w:gridSpan w:val="2"/>
          </w:tcPr>
          <w:p w14:paraId="0E2676CF" w14:textId="77777777" w:rsidR="004D2FFF" w:rsidRPr="00E70ECE" w:rsidRDefault="004D2FFF" w:rsidP="008F1379">
            <w:pPr>
              <w:tabs>
                <w:tab w:val="decimal" w:pos="1168"/>
              </w:tabs>
              <w:ind w:right="48"/>
              <w:jc w:val="both"/>
              <w:rPr>
                <w:rFonts w:cs="Arial"/>
                <w:b/>
                <w:sz w:val="18"/>
                <w:szCs w:val="18"/>
              </w:rPr>
            </w:pPr>
            <w:r w:rsidRPr="00E70ECE">
              <w:rPr>
                <w:rFonts w:cs="Arial"/>
                <w:b/>
                <w:sz w:val="18"/>
                <w:szCs w:val="18"/>
              </w:rPr>
              <w:t>£’000</w:t>
            </w:r>
          </w:p>
        </w:tc>
        <w:tc>
          <w:tcPr>
            <w:tcW w:w="1984" w:type="dxa"/>
          </w:tcPr>
          <w:p w14:paraId="74A8A129" w14:textId="77777777" w:rsidR="004D2FFF" w:rsidRPr="00E70ECE" w:rsidRDefault="004D2FFF" w:rsidP="00D901E1">
            <w:pPr>
              <w:tabs>
                <w:tab w:val="decimal" w:pos="1168"/>
              </w:tabs>
              <w:ind w:right="113"/>
              <w:jc w:val="both"/>
              <w:rPr>
                <w:rFonts w:cs="Arial"/>
                <w:b/>
                <w:sz w:val="18"/>
                <w:szCs w:val="18"/>
              </w:rPr>
            </w:pPr>
            <w:r w:rsidRPr="00E70ECE">
              <w:rPr>
                <w:rFonts w:cs="Arial"/>
                <w:b/>
                <w:sz w:val="18"/>
                <w:szCs w:val="18"/>
              </w:rPr>
              <w:t>£’000</w:t>
            </w:r>
          </w:p>
        </w:tc>
        <w:tc>
          <w:tcPr>
            <w:tcW w:w="1701" w:type="dxa"/>
          </w:tcPr>
          <w:p w14:paraId="043BAA6B" w14:textId="77777777" w:rsidR="004D2FFF" w:rsidRPr="00E70ECE" w:rsidRDefault="004D2FFF" w:rsidP="004D2FFF">
            <w:pPr>
              <w:tabs>
                <w:tab w:val="decimal" w:pos="1168"/>
              </w:tabs>
              <w:ind w:right="283"/>
              <w:jc w:val="both"/>
              <w:rPr>
                <w:rFonts w:cs="Arial"/>
                <w:b/>
                <w:sz w:val="18"/>
                <w:szCs w:val="18"/>
              </w:rPr>
            </w:pPr>
            <w:r w:rsidRPr="00E70ECE">
              <w:rPr>
                <w:rFonts w:cs="Arial"/>
                <w:b/>
                <w:sz w:val="18"/>
                <w:szCs w:val="18"/>
              </w:rPr>
              <w:t>£’000</w:t>
            </w:r>
          </w:p>
        </w:tc>
        <w:tc>
          <w:tcPr>
            <w:tcW w:w="1843" w:type="dxa"/>
          </w:tcPr>
          <w:p w14:paraId="00057C8E" w14:textId="77777777" w:rsidR="004D2FFF" w:rsidRPr="00E70ECE" w:rsidRDefault="004D2FFF" w:rsidP="008F1379">
            <w:pPr>
              <w:tabs>
                <w:tab w:val="decimal" w:pos="1168"/>
              </w:tabs>
              <w:ind w:left="48" w:right="48"/>
              <w:jc w:val="both"/>
              <w:rPr>
                <w:rFonts w:cs="Arial"/>
                <w:b/>
                <w:sz w:val="18"/>
                <w:szCs w:val="18"/>
              </w:rPr>
            </w:pPr>
            <w:r w:rsidRPr="00E70ECE">
              <w:rPr>
                <w:rFonts w:cs="Arial"/>
                <w:b/>
                <w:sz w:val="18"/>
                <w:szCs w:val="18"/>
              </w:rPr>
              <w:t>£’000</w:t>
            </w:r>
          </w:p>
        </w:tc>
      </w:tr>
      <w:tr w:rsidR="004D2FFF" w:rsidRPr="00E70ECE" w14:paraId="46FF9233" w14:textId="77777777" w:rsidTr="004D2FFF">
        <w:trPr>
          <w:gridBefore w:val="1"/>
          <w:wBefore w:w="30" w:type="dxa"/>
        </w:trPr>
        <w:tc>
          <w:tcPr>
            <w:tcW w:w="2772" w:type="dxa"/>
            <w:gridSpan w:val="2"/>
          </w:tcPr>
          <w:p w14:paraId="13398862" w14:textId="77777777" w:rsidR="004D2FFF" w:rsidRPr="00E70ECE" w:rsidRDefault="004D2FFF" w:rsidP="008F1379">
            <w:pPr>
              <w:rPr>
                <w:rFonts w:cs="Arial"/>
                <w:b/>
                <w:sz w:val="18"/>
                <w:szCs w:val="18"/>
              </w:rPr>
            </w:pPr>
            <w:r w:rsidRPr="00E70ECE">
              <w:rPr>
                <w:rFonts w:cs="Arial"/>
                <w:b/>
                <w:sz w:val="18"/>
                <w:szCs w:val="18"/>
              </w:rPr>
              <w:t>Assets</w:t>
            </w:r>
          </w:p>
          <w:p w14:paraId="2131C456" w14:textId="77777777" w:rsidR="004D2FFF" w:rsidRPr="00E70ECE" w:rsidRDefault="004D2FFF" w:rsidP="008F1379">
            <w:pPr>
              <w:rPr>
                <w:rFonts w:cs="Arial"/>
                <w:b/>
                <w:sz w:val="18"/>
                <w:szCs w:val="18"/>
              </w:rPr>
            </w:pPr>
            <w:r w:rsidRPr="00E70ECE">
              <w:rPr>
                <w:rFonts w:cs="Arial"/>
                <w:b/>
                <w:sz w:val="18"/>
                <w:szCs w:val="18"/>
              </w:rPr>
              <w:t>Non-current assets</w:t>
            </w:r>
          </w:p>
        </w:tc>
        <w:tc>
          <w:tcPr>
            <w:tcW w:w="567" w:type="dxa"/>
          </w:tcPr>
          <w:p w14:paraId="0D45DB95" w14:textId="77777777" w:rsidR="004D2FFF" w:rsidRPr="00E70ECE" w:rsidRDefault="004D2FFF" w:rsidP="008F1379">
            <w:pPr>
              <w:jc w:val="both"/>
              <w:rPr>
                <w:rFonts w:cs="Arial"/>
                <w:sz w:val="18"/>
                <w:szCs w:val="18"/>
              </w:rPr>
            </w:pPr>
          </w:p>
        </w:tc>
        <w:tc>
          <w:tcPr>
            <w:tcW w:w="1701" w:type="dxa"/>
            <w:gridSpan w:val="2"/>
          </w:tcPr>
          <w:p w14:paraId="4C05896B" w14:textId="77777777" w:rsidR="004D2FFF" w:rsidRPr="00E70ECE" w:rsidRDefault="004D2FFF" w:rsidP="008F1379">
            <w:pPr>
              <w:tabs>
                <w:tab w:val="decimal" w:pos="1002"/>
              </w:tabs>
              <w:ind w:right="48"/>
              <w:jc w:val="both"/>
              <w:rPr>
                <w:rFonts w:cs="Arial"/>
                <w:sz w:val="18"/>
                <w:szCs w:val="18"/>
              </w:rPr>
            </w:pPr>
          </w:p>
        </w:tc>
        <w:tc>
          <w:tcPr>
            <w:tcW w:w="1984" w:type="dxa"/>
          </w:tcPr>
          <w:p w14:paraId="0B75A0BF" w14:textId="77777777" w:rsidR="004D2FFF" w:rsidRPr="00E70ECE" w:rsidRDefault="004D2FFF" w:rsidP="008F1379">
            <w:pPr>
              <w:tabs>
                <w:tab w:val="decimal" w:pos="1002"/>
              </w:tabs>
              <w:ind w:right="48"/>
              <w:jc w:val="both"/>
              <w:rPr>
                <w:rFonts w:cs="Arial"/>
                <w:sz w:val="18"/>
                <w:szCs w:val="18"/>
              </w:rPr>
            </w:pPr>
          </w:p>
        </w:tc>
        <w:tc>
          <w:tcPr>
            <w:tcW w:w="1701" w:type="dxa"/>
          </w:tcPr>
          <w:p w14:paraId="3AA46ED1" w14:textId="77777777" w:rsidR="004D2FFF" w:rsidRPr="00E70ECE" w:rsidRDefault="004D2FFF" w:rsidP="008F1379">
            <w:pPr>
              <w:tabs>
                <w:tab w:val="decimal" w:pos="1168"/>
              </w:tabs>
              <w:ind w:left="48" w:right="48"/>
              <w:jc w:val="both"/>
              <w:rPr>
                <w:rFonts w:cs="Arial"/>
                <w:b/>
                <w:sz w:val="18"/>
                <w:szCs w:val="18"/>
              </w:rPr>
            </w:pPr>
            <w:r w:rsidRPr="00E70ECE">
              <w:rPr>
                <w:rFonts w:cs="Arial"/>
                <w:b/>
                <w:sz w:val="18"/>
                <w:szCs w:val="18"/>
              </w:rPr>
              <w:t>Recoverable</w:t>
            </w:r>
          </w:p>
          <w:p w14:paraId="513C20F1" w14:textId="77777777" w:rsidR="004D2FFF" w:rsidRPr="00E70ECE" w:rsidRDefault="004D2FFF" w:rsidP="008F1379">
            <w:pPr>
              <w:tabs>
                <w:tab w:val="decimal" w:pos="1168"/>
              </w:tabs>
              <w:ind w:left="48" w:right="48"/>
              <w:jc w:val="both"/>
              <w:rPr>
                <w:rFonts w:cs="Arial"/>
                <w:b/>
                <w:sz w:val="18"/>
                <w:szCs w:val="18"/>
              </w:rPr>
            </w:pPr>
            <w:r w:rsidRPr="00E70ECE">
              <w:rPr>
                <w:rFonts w:cs="Arial"/>
                <w:b/>
                <w:sz w:val="18"/>
                <w:szCs w:val="18"/>
              </w:rPr>
              <w:t>value</w:t>
            </w:r>
          </w:p>
        </w:tc>
        <w:tc>
          <w:tcPr>
            <w:tcW w:w="1843" w:type="dxa"/>
          </w:tcPr>
          <w:p w14:paraId="0AC88F4D" w14:textId="77777777" w:rsidR="004D2FFF" w:rsidRPr="00E70ECE" w:rsidRDefault="004D2FFF" w:rsidP="00B648C4">
            <w:pPr>
              <w:tabs>
                <w:tab w:val="decimal" w:pos="1168"/>
              </w:tabs>
              <w:ind w:left="48" w:right="48"/>
              <w:jc w:val="both"/>
              <w:rPr>
                <w:rFonts w:cs="Arial"/>
                <w:b/>
                <w:sz w:val="18"/>
                <w:szCs w:val="18"/>
              </w:rPr>
            </w:pPr>
            <w:r w:rsidRPr="00E70ECE">
              <w:rPr>
                <w:rFonts w:cs="Arial"/>
                <w:b/>
                <w:sz w:val="18"/>
                <w:szCs w:val="18"/>
              </w:rPr>
              <w:t>Recoverable</w:t>
            </w:r>
          </w:p>
          <w:p w14:paraId="4B2E36F8" w14:textId="77777777" w:rsidR="004D2FFF" w:rsidRPr="00E70ECE" w:rsidRDefault="004D2FFF" w:rsidP="00B648C4">
            <w:pPr>
              <w:tabs>
                <w:tab w:val="decimal" w:pos="1168"/>
              </w:tabs>
              <w:ind w:left="48" w:right="48"/>
              <w:jc w:val="both"/>
              <w:rPr>
                <w:rFonts w:cs="Arial"/>
                <w:b/>
                <w:sz w:val="18"/>
                <w:szCs w:val="18"/>
              </w:rPr>
            </w:pPr>
            <w:r w:rsidRPr="00E70ECE">
              <w:rPr>
                <w:rFonts w:cs="Arial"/>
                <w:b/>
                <w:sz w:val="18"/>
                <w:szCs w:val="18"/>
              </w:rPr>
              <w:t>value</w:t>
            </w:r>
          </w:p>
        </w:tc>
      </w:tr>
      <w:tr w:rsidR="004D2FFF" w:rsidRPr="00C328EF" w14:paraId="3B855D29" w14:textId="77777777" w:rsidTr="004D2FFF">
        <w:trPr>
          <w:gridBefore w:val="1"/>
          <w:wBefore w:w="30" w:type="dxa"/>
        </w:trPr>
        <w:tc>
          <w:tcPr>
            <w:tcW w:w="2772" w:type="dxa"/>
            <w:gridSpan w:val="2"/>
          </w:tcPr>
          <w:p w14:paraId="55987AA7" w14:textId="77777777" w:rsidR="004D2FFF" w:rsidRPr="00002C01" w:rsidRDefault="004D2FFF" w:rsidP="00E70ECE">
            <w:pPr>
              <w:rPr>
                <w:rFonts w:cs="Arial"/>
                <w:sz w:val="18"/>
                <w:szCs w:val="18"/>
              </w:rPr>
            </w:pPr>
            <w:r w:rsidRPr="00002C01">
              <w:rPr>
                <w:rFonts w:cs="Arial"/>
                <w:sz w:val="18"/>
                <w:szCs w:val="18"/>
              </w:rPr>
              <w:t>Property, plant and equipment</w:t>
            </w:r>
          </w:p>
        </w:tc>
        <w:tc>
          <w:tcPr>
            <w:tcW w:w="567" w:type="dxa"/>
          </w:tcPr>
          <w:p w14:paraId="55A6477C" w14:textId="77777777" w:rsidR="004D2FFF" w:rsidRPr="00B6081F" w:rsidRDefault="004D2FFF" w:rsidP="00E70ECE">
            <w:pPr>
              <w:ind w:left="-170"/>
              <w:jc w:val="center"/>
              <w:rPr>
                <w:rFonts w:cs="Arial"/>
                <w:sz w:val="18"/>
                <w:szCs w:val="18"/>
              </w:rPr>
            </w:pPr>
            <w:r w:rsidRPr="00B6081F">
              <w:rPr>
                <w:rFonts w:cs="Arial"/>
                <w:sz w:val="18"/>
                <w:szCs w:val="18"/>
              </w:rPr>
              <w:t>8</w:t>
            </w:r>
          </w:p>
        </w:tc>
        <w:tc>
          <w:tcPr>
            <w:tcW w:w="1701" w:type="dxa"/>
            <w:gridSpan w:val="2"/>
          </w:tcPr>
          <w:p w14:paraId="671152AF" w14:textId="77777777" w:rsidR="004D2FFF" w:rsidRPr="00002C01" w:rsidRDefault="004D2FFF" w:rsidP="00E70ECE">
            <w:pPr>
              <w:tabs>
                <w:tab w:val="decimal" w:pos="1168"/>
              </w:tabs>
              <w:ind w:right="48"/>
              <w:jc w:val="both"/>
              <w:rPr>
                <w:rFonts w:cs="Arial"/>
                <w:sz w:val="18"/>
                <w:szCs w:val="18"/>
              </w:rPr>
            </w:pPr>
            <w:r w:rsidRPr="00002C01">
              <w:rPr>
                <w:rFonts w:cs="Arial"/>
                <w:sz w:val="18"/>
                <w:szCs w:val="18"/>
              </w:rPr>
              <w:t>158,827</w:t>
            </w:r>
          </w:p>
        </w:tc>
        <w:tc>
          <w:tcPr>
            <w:tcW w:w="1984" w:type="dxa"/>
          </w:tcPr>
          <w:p w14:paraId="1E9E0055" w14:textId="77777777" w:rsidR="004D2FFF" w:rsidRPr="00E70ECE" w:rsidRDefault="004D2FFF" w:rsidP="00E70ECE">
            <w:pPr>
              <w:tabs>
                <w:tab w:val="decimal" w:pos="1168"/>
              </w:tabs>
              <w:ind w:right="48"/>
              <w:jc w:val="both"/>
              <w:rPr>
                <w:rFonts w:cs="Arial"/>
                <w:sz w:val="18"/>
                <w:szCs w:val="18"/>
              </w:rPr>
            </w:pPr>
            <w:r w:rsidRPr="00E70ECE">
              <w:rPr>
                <w:rFonts w:cs="Arial"/>
                <w:sz w:val="18"/>
                <w:szCs w:val="18"/>
              </w:rPr>
              <w:t>159,375</w:t>
            </w:r>
          </w:p>
        </w:tc>
        <w:tc>
          <w:tcPr>
            <w:tcW w:w="1701" w:type="dxa"/>
          </w:tcPr>
          <w:p w14:paraId="2E7F80EA"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c>
          <w:tcPr>
            <w:tcW w:w="1843" w:type="dxa"/>
          </w:tcPr>
          <w:p w14:paraId="6C816826"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r>
      <w:tr w:rsidR="004D2FFF" w:rsidRPr="00C328EF" w14:paraId="53231E5B" w14:textId="77777777" w:rsidTr="004D2FFF">
        <w:trPr>
          <w:gridBefore w:val="1"/>
          <w:wBefore w:w="30" w:type="dxa"/>
        </w:trPr>
        <w:tc>
          <w:tcPr>
            <w:tcW w:w="2772" w:type="dxa"/>
            <w:gridSpan w:val="2"/>
          </w:tcPr>
          <w:p w14:paraId="0653C258" w14:textId="77777777" w:rsidR="004D2FFF" w:rsidRPr="008F4946" w:rsidRDefault="004D2FFF" w:rsidP="00E70ECE">
            <w:pPr>
              <w:rPr>
                <w:rFonts w:cs="Arial"/>
                <w:sz w:val="18"/>
                <w:szCs w:val="18"/>
              </w:rPr>
            </w:pPr>
            <w:bookmarkStart w:id="21" w:name="_Hlk191658293"/>
            <w:r w:rsidRPr="008F4946">
              <w:rPr>
                <w:rFonts w:cs="Arial"/>
                <w:sz w:val="18"/>
                <w:szCs w:val="18"/>
              </w:rPr>
              <w:t>Intangible assets</w:t>
            </w:r>
          </w:p>
        </w:tc>
        <w:tc>
          <w:tcPr>
            <w:tcW w:w="567" w:type="dxa"/>
          </w:tcPr>
          <w:p w14:paraId="56535247" w14:textId="77777777" w:rsidR="004D2FFF" w:rsidRPr="008F4946" w:rsidRDefault="004D2FFF" w:rsidP="00E70ECE">
            <w:pPr>
              <w:rPr>
                <w:rFonts w:cs="Arial"/>
                <w:sz w:val="18"/>
                <w:szCs w:val="18"/>
              </w:rPr>
            </w:pPr>
            <w:r>
              <w:rPr>
                <w:rFonts w:cs="Arial"/>
                <w:sz w:val="18"/>
                <w:szCs w:val="18"/>
              </w:rPr>
              <w:t xml:space="preserve"> </w:t>
            </w:r>
            <w:r w:rsidRPr="008F4946">
              <w:rPr>
                <w:rFonts w:cs="Arial"/>
                <w:sz w:val="18"/>
                <w:szCs w:val="18"/>
              </w:rPr>
              <w:t>9</w:t>
            </w:r>
          </w:p>
        </w:tc>
        <w:tc>
          <w:tcPr>
            <w:tcW w:w="1701" w:type="dxa"/>
            <w:gridSpan w:val="2"/>
          </w:tcPr>
          <w:p w14:paraId="5588635B" w14:textId="77777777" w:rsidR="004D2FFF" w:rsidRPr="00002C01" w:rsidRDefault="004D2FFF" w:rsidP="00E70ECE">
            <w:pPr>
              <w:tabs>
                <w:tab w:val="decimal" w:pos="1168"/>
              </w:tabs>
              <w:ind w:right="48"/>
              <w:jc w:val="both"/>
              <w:rPr>
                <w:rFonts w:cs="Arial"/>
                <w:spacing w:val="-2"/>
                <w:sz w:val="18"/>
                <w:szCs w:val="18"/>
              </w:rPr>
            </w:pPr>
            <w:r w:rsidRPr="00002C01">
              <w:rPr>
                <w:rFonts w:cs="Arial"/>
                <w:spacing w:val="-2"/>
                <w:sz w:val="18"/>
                <w:szCs w:val="18"/>
              </w:rPr>
              <w:t>486</w:t>
            </w:r>
          </w:p>
        </w:tc>
        <w:tc>
          <w:tcPr>
            <w:tcW w:w="1984" w:type="dxa"/>
          </w:tcPr>
          <w:p w14:paraId="6C5873AC" w14:textId="77777777" w:rsidR="004D2FFF" w:rsidRPr="00E70ECE" w:rsidRDefault="004D2FFF" w:rsidP="00E70ECE">
            <w:pPr>
              <w:tabs>
                <w:tab w:val="decimal" w:pos="1168"/>
              </w:tabs>
              <w:ind w:right="48"/>
              <w:jc w:val="both"/>
              <w:rPr>
                <w:rFonts w:cs="Arial"/>
                <w:spacing w:val="-2"/>
                <w:sz w:val="18"/>
                <w:szCs w:val="18"/>
              </w:rPr>
            </w:pPr>
            <w:r>
              <w:rPr>
                <w:rFonts w:cs="Arial"/>
                <w:spacing w:val="-2"/>
                <w:sz w:val="18"/>
                <w:szCs w:val="18"/>
              </w:rPr>
              <w:t>-</w:t>
            </w:r>
          </w:p>
        </w:tc>
        <w:tc>
          <w:tcPr>
            <w:tcW w:w="1701" w:type="dxa"/>
          </w:tcPr>
          <w:p w14:paraId="185A709E"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c>
          <w:tcPr>
            <w:tcW w:w="1843" w:type="dxa"/>
          </w:tcPr>
          <w:p w14:paraId="609F1CDC"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r>
      <w:bookmarkEnd w:id="21"/>
      <w:tr w:rsidR="004D2FFF" w:rsidRPr="00C328EF" w14:paraId="238D5128" w14:textId="77777777" w:rsidTr="004D2FFF">
        <w:trPr>
          <w:gridBefore w:val="1"/>
          <w:wBefore w:w="30" w:type="dxa"/>
        </w:trPr>
        <w:tc>
          <w:tcPr>
            <w:tcW w:w="2772" w:type="dxa"/>
            <w:gridSpan w:val="2"/>
          </w:tcPr>
          <w:p w14:paraId="05505B42" w14:textId="77777777" w:rsidR="004D2FFF" w:rsidRPr="00B6081F" w:rsidRDefault="004D2FFF" w:rsidP="00E70ECE">
            <w:pPr>
              <w:rPr>
                <w:rFonts w:cs="Arial"/>
                <w:sz w:val="18"/>
                <w:szCs w:val="18"/>
              </w:rPr>
            </w:pPr>
            <w:r w:rsidRPr="00B6081F">
              <w:rPr>
                <w:rFonts w:cs="Arial"/>
                <w:sz w:val="18"/>
                <w:szCs w:val="18"/>
              </w:rPr>
              <w:t>Investment</w:t>
            </w:r>
            <w:r>
              <w:rPr>
                <w:rFonts w:cs="Arial"/>
                <w:sz w:val="18"/>
                <w:szCs w:val="18"/>
              </w:rPr>
              <w:t xml:space="preserve"> in </w:t>
            </w:r>
            <w:r w:rsidRPr="00B6081F">
              <w:rPr>
                <w:rFonts w:cs="Arial"/>
                <w:sz w:val="18"/>
                <w:szCs w:val="18"/>
              </w:rPr>
              <w:t>s</w:t>
            </w:r>
            <w:r>
              <w:rPr>
                <w:rFonts w:cs="Arial"/>
                <w:sz w:val="18"/>
                <w:szCs w:val="18"/>
              </w:rPr>
              <w:t>ubsidiaries</w:t>
            </w:r>
          </w:p>
        </w:tc>
        <w:tc>
          <w:tcPr>
            <w:tcW w:w="567" w:type="dxa"/>
          </w:tcPr>
          <w:p w14:paraId="76C9B06A" w14:textId="77777777" w:rsidR="004D2FFF" w:rsidRPr="009A7722" w:rsidRDefault="004D2FFF" w:rsidP="00E70ECE">
            <w:pPr>
              <w:rPr>
                <w:rFonts w:cs="Arial"/>
                <w:sz w:val="18"/>
                <w:szCs w:val="18"/>
              </w:rPr>
            </w:pPr>
            <w:r w:rsidRPr="009A7722">
              <w:rPr>
                <w:rFonts w:cs="Arial"/>
                <w:sz w:val="18"/>
                <w:szCs w:val="18"/>
              </w:rPr>
              <w:t>10</w:t>
            </w:r>
          </w:p>
        </w:tc>
        <w:tc>
          <w:tcPr>
            <w:tcW w:w="1701" w:type="dxa"/>
            <w:gridSpan w:val="2"/>
          </w:tcPr>
          <w:p w14:paraId="3281D09D" w14:textId="77777777" w:rsidR="004D2FFF" w:rsidRPr="009A7722" w:rsidRDefault="004D2FFF" w:rsidP="00E70ECE">
            <w:pPr>
              <w:tabs>
                <w:tab w:val="decimal" w:pos="1168"/>
              </w:tabs>
              <w:ind w:right="48"/>
              <w:jc w:val="both"/>
              <w:rPr>
                <w:rFonts w:cs="Arial"/>
                <w:spacing w:val="-2"/>
                <w:sz w:val="18"/>
                <w:szCs w:val="18"/>
              </w:rPr>
            </w:pPr>
            <w:r w:rsidRPr="009A7722">
              <w:rPr>
                <w:rFonts w:cs="Arial"/>
                <w:spacing w:val="-2"/>
                <w:sz w:val="18"/>
                <w:szCs w:val="18"/>
              </w:rPr>
              <w:t>-</w:t>
            </w:r>
          </w:p>
        </w:tc>
        <w:tc>
          <w:tcPr>
            <w:tcW w:w="1984" w:type="dxa"/>
          </w:tcPr>
          <w:p w14:paraId="392CE57C" w14:textId="77777777" w:rsidR="004D2FFF" w:rsidRPr="00E70ECE" w:rsidRDefault="004D2FFF" w:rsidP="00E70ECE">
            <w:pPr>
              <w:tabs>
                <w:tab w:val="decimal" w:pos="1168"/>
              </w:tabs>
              <w:ind w:right="48"/>
              <w:jc w:val="both"/>
              <w:rPr>
                <w:rFonts w:cs="Arial"/>
                <w:spacing w:val="-2"/>
                <w:sz w:val="18"/>
                <w:szCs w:val="18"/>
              </w:rPr>
            </w:pPr>
            <w:r w:rsidRPr="00E70ECE">
              <w:rPr>
                <w:rFonts w:cs="Arial"/>
                <w:spacing w:val="-2"/>
                <w:sz w:val="18"/>
                <w:szCs w:val="18"/>
              </w:rPr>
              <w:t>-</w:t>
            </w:r>
          </w:p>
        </w:tc>
        <w:tc>
          <w:tcPr>
            <w:tcW w:w="1701" w:type="dxa"/>
          </w:tcPr>
          <w:p w14:paraId="0A6CA6B5"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5,824</w:t>
            </w:r>
          </w:p>
        </w:tc>
        <w:tc>
          <w:tcPr>
            <w:tcW w:w="1843" w:type="dxa"/>
          </w:tcPr>
          <w:p w14:paraId="05442D5F"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5,824</w:t>
            </w:r>
          </w:p>
        </w:tc>
      </w:tr>
      <w:tr w:rsidR="004D2FFF" w:rsidRPr="00C328EF" w14:paraId="647B8C84" w14:textId="77777777" w:rsidTr="004D2FFF">
        <w:trPr>
          <w:gridBefore w:val="1"/>
          <w:wBefore w:w="30" w:type="dxa"/>
        </w:trPr>
        <w:tc>
          <w:tcPr>
            <w:tcW w:w="2772" w:type="dxa"/>
            <w:gridSpan w:val="2"/>
          </w:tcPr>
          <w:p w14:paraId="7F6F357B" w14:textId="77777777" w:rsidR="004D2FFF" w:rsidRPr="00B6081F" w:rsidRDefault="004D2FFF" w:rsidP="00B6081F">
            <w:pPr>
              <w:rPr>
                <w:rFonts w:cs="Arial"/>
                <w:sz w:val="18"/>
                <w:szCs w:val="18"/>
              </w:rPr>
            </w:pPr>
            <w:r w:rsidRPr="00B6081F">
              <w:rPr>
                <w:rFonts w:cs="Arial"/>
                <w:sz w:val="18"/>
                <w:szCs w:val="18"/>
              </w:rPr>
              <w:t>Retirement benefit asset</w:t>
            </w:r>
          </w:p>
        </w:tc>
        <w:tc>
          <w:tcPr>
            <w:tcW w:w="567" w:type="dxa"/>
          </w:tcPr>
          <w:p w14:paraId="6863BA99" w14:textId="77777777" w:rsidR="004D2FFF" w:rsidRPr="0047306F" w:rsidRDefault="004D2FFF" w:rsidP="00B6081F">
            <w:pPr>
              <w:rPr>
                <w:rFonts w:cs="Arial"/>
                <w:sz w:val="18"/>
                <w:szCs w:val="18"/>
              </w:rPr>
            </w:pPr>
            <w:r w:rsidRPr="0047306F">
              <w:rPr>
                <w:rFonts w:cs="Arial"/>
                <w:sz w:val="18"/>
                <w:szCs w:val="18"/>
              </w:rPr>
              <w:t>24</w:t>
            </w:r>
          </w:p>
        </w:tc>
        <w:tc>
          <w:tcPr>
            <w:tcW w:w="1701" w:type="dxa"/>
            <w:gridSpan w:val="2"/>
          </w:tcPr>
          <w:p w14:paraId="54FA76CB" w14:textId="77777777" w:rsidR="004D2FFF" w:rsidRPr="00002C01" w:rsidRDefault="004D2FFF" w:rsidP="00B6081F">
            <w:pPr>
              <w:tabs>
                <w:tab w:val="decimal" w:pos="1168"/>
              </w:tabs>
              <w:ind w:right="48"/>
              <w:jc w:val="both"/>
              <w:rPr>
                <w:rFonts w:cs="Arial"/>
                <w:spacing w:val="-2"/>
                <w:sz w:val="18"/>
                <w:szCs w:val="18"/>
              </w:rPr>
            </w:pPr>
            <w:r w:rsidRPr="00002C01">
              <w:rPr>
                <w:rFonts w:cs="Arial"/>
                <w:spacing w:val="-2"/>
                <w:sz w:val="18"/>
                <w:szCs w:val="18"/>
              </w:rPr>
              <w:t>32,951</w:t>
            </w:r>
          </w:p>
        </w:tc>
        <w:tc>
          <w:tcPr>
            <w:tcW w:w="1984" w:type="dxa"/>
          </w:tcPr>
          <w:p w14:paraId="27AC2336" w14:textId="77777777" w:rsidR="004D2FFF" w:rsidRPr="00E70ECE" w:rsidRDefault="004D2FFF" w:rsidP="00B6081F">
            <w:pPr>
              <w:tabs>
                <w:tab w:val="decimal" w:pos="1168"/>
              </w:tabs>
              <w:ind w:right="48"/>
              <w:jc w:val="both"/>
              <w:rPr>
                <w:rFonts w:cs="Arial"/>
                <w:spacing w:val="-2"/>
                <w:sz w:val="18"/>
                <w:szCs w:val="18"/>
              </w:rPr>
            </w:pPr>
            <w:r w:rsidRPr="00E70ECE">
              <w:rPr>
                <w:rFonts w:cs="Arial"/>
                <w:spacing w:val="-2"/>
                <w:sz w:val="18"/>
                <w:szCs w:val="18"/>
              </w:rPr>
              <w:t>51,699</w:t>
            </w:r>
          </w:p>
        </w:tc>
        <w:tc>
          <w:tcPr>
            <w:tcW w:w="1701" w:type="dxa"/>
          </w:tcPr>
          <w:p w14:paraId="11CFA3D0" w14:textId="77777777" w:rsidR="004D2FFF" w:rsidRPr="00E70ECE" w:rsidRDefault="004D2FFF" w:rsidP="00B6081F">
            <w:pPr>
              <w:tabs>
                <w:tab w:val="decimal" w:pos="1168"/>
              </w:tabs>
              <w:ind w:left="48" w:right="48"/>
              <w:jc w:val="both"/>
              <w:rPr>
                <w:rFonts w:cs="Arial"/>
                <w:sz w:val="18"/>
                <w:szCs w:val="18"/>
              </w:rPr>
            </w:pPr>
            <w:r w:rsidRPr="00E70ECE">
              <w:rPr>
                <w:rFonts w:cs="Arial"/>
                <w:sz w:val="18"/>
                <w:szCs w:val="18"/>
              </w:rPr>
              <w:t>-</w:t>
            </w:r>
          </w:p>
        </w:tc>
        <w:tc>
          <w:tcPr>
            <w:tcW w:w="1843" w:type="dxa"/>
          </w:tcPr>
          <w:p w14:paraId="65CC2A31" w14:textId="77777777" w:rsidR="004D2FFF" w:rsidRPr="00E70ECE" w:rsidRDefault="004D2FFF" w:rsidP="00B6081F">
            <w:pPr>
              <w:tabs>
                <w:tab w:val="decimal" w:pos="1168"/>
              </w:tabs>
              <w:ind w:left="48" w:right="48"/>
              <w:jc w:val="both"/>
              <w:rPr>
                <w:rFonts w:cs="Arial"/>
                <w:sz w:val="18"/>
                <w:szCs w:val="18"/>
              </w:rPr>
            </w:pPr>
            <w:r w:rsidRPr="00E70ECE">
              <w:rPr>
                <w:rFonts w:cs="Arial"/>
                <w:sz w:val="18"/>
                <w:szCs w:val="18"/>
              </w:rPr>
              <w:t>-</w:t>
            </w:r>
          </w:p>
        </w:tc>
      </w:tr>
      <w:tr w:rsidR="004D2FFF" w:rsidRPr="00C328EF" w14:paraId="25B55FB3" w14:textId="77777777" w:rsidTr="004D2FFF">
        <w:trPr>
          <w:gridBefore w:val="1"/>
          <w:wBefore w:w="30" w:type="dxa"/>
        </w:trPr>
        <w:tc>
          <w:tcPr>
            <w:tcW w:w="2772" w:type="dxa"/>
            <w:gridSpan w:val="2"/>
          </w:tcPr>
          <w:p w14:paraId="72CA8150" w14:textId="77777777" w:rsidR="004D2FFF" w:rsidRPr="00B6081F" w:rsidRDefault="004D2FFF" w:rsidP="00E70ECE">
            <w:pPr>
              <w:rPr>
                <w:rFonts w:cs="Arial"/>
                <w:sz w:val="18"/>
                <w:szCs w:val="18"/>
              </w:rPr>
            </w:pPr>
          </w:p>
        </w:tc>
        <w:tc>
          <w:tcPr>
            <w:tcW w:w="567" w:type="dxa"/>
          </w:tcPr>
          <w:p w14:paraId="5DCFC057" w14:textId="77777777" w:rsidR="004D2FFF" w:rsidRPr="0047306F" w:rsidRDefault="004D2FFF" w:rsidP="00E70ECE">
            <w:pPr>
              <w:jc w:val="both"/>
              <w:rPr>
                <w:rFonts w:cs="Arial"/>
                <w:sz w:val="18"/>
                <w:szCs w:val="18"/>
              </w:rPr>
            </w:pPr>
          </w:p>
        </w:tc>
        <w:tc>
          <w:tcPr>
            <w:tcW w:w="1701" w:type="dxa"/>
            <w:gridSpan w:val="2"/>
          </w:tcPr>
          <w:p w14:paraId="0612A133" w14:textId="77777777" w:rsidR="004D2FFF" w:rsidRPr="00002C01" w:rsidRDefault="004D2FFF" w:rsidP="00E70ECE">
            <w:pPr>
              <w:tabs>
                <w:tab w:val="decimal" w:pos="1168"/>
              </w:tabs>
              <w:ind w:right="48"/>
              <w:jc w:val="both"/>
              <w:rPr>
                <w:rFonts w:cs="Arial"/>
                <w:sz w:val="18"/>
                <w:szCs w:val="18"/>
              </w:rPr>
            </w:pPr>
            <w:r w:rsidRPr="00002C01">
              <w:rPr>
                <w:rFonts w:cs="Arial"/>
                <w:spacing w:val="-2"/>
                <w:sz w:val="18"/>
                <w:szCs w:val="18"/>
              </w:rPr>
              <w:t>───────</w:t>
            </w:r>
          </w:p>
        </w:tc>
        <w:tc>
          <w:tcPr>
            <w:tcW w:w="1984" w:type="dxa"/>
          </w:tcPr>
          <w:p w14:paraId="13BEE1F8" w14:textId="77777777" w:rsidR="004D2FFF" w:rsidRPr="00E70ECE" w:rsidRDefault="004D2FFF" w:rsidP="00E70ECE">
            <w:pPr>
              <w:tabs>
                <w:tab w:val="decimal" w:pos="1168"/>
              </w:tabs>
              <w:ind w:right="48"/>
              <w:jc w:val="both"/>
              <w:rPr>
                <w:rFonts w:cs="Arial"/>
                <w:sz w:val="18"/>
                <w:szCs w:val="18"/>
              </w:rPr>
            </w:pPr>
            <w:r w:rsidRPr="00E70ECE">
              <w:rPr>
                <w:rFonts w:cs="Arial"/>
                <w:spacing w:val="-2"/>
                <w:sz w:val="18"/>
                <w:szCs w:val="18"/>
              </w:rPr>
              <w:t>───────</w:t>
            </w:r>
          </w:p>
        </w:tc>
        <w:tc>
          <w:tcPr>
            <w:tcW w:w="1701" w:type="dxa"/>
          </w:tcPr>
          <w:p w14:paraId="1CEFA2AA"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c>
          <w:tcPr>
            <w:tcW w:w="1843" w:type="dxa"/>
          </w:tcPr>
          <w:p w14:paraId="304016BF"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r>
      <w:tr w:rsidR="004D2FFF" w:rsidRPr="00C328EF" w14:paraId="7D191C68" w14:textId="77777777" w:rsidTr="004D2FFF">
        <w:trPr>
          <w:gridBefore w:val="1"/>
          <w:wBefore w:w="30" w:type="dxa"/>
        </w:trPr>
        <w:tc>
          <w:tcPr>
            <w:tcW w:w="3339" w:type="dxa"/>
            <w:gridSpan w:val="3"/>
          </w:tcPr>
          <w:p w14:paraId="3A25265A" w14:textId="77777777" w:rsidR="004D2FFF" w:rsidRPr="0047306F" w:rsidRDefault="004D2FFF" w:rsidP="00E70ECE">
            <w:pPr>
              <w:rPr>
                <w:rFonts w:cs="Arial"/>
                <w:sz w:val="18"/>
                <w:szCs w:val="18"/>
              </w:rPr>
            </w:pPr>
            <w:r w:rsidRPr="0047306F">
              <w:rPr>
                <w:rFonts w:cs="Arial"/>
                <w:b/>
                <w:sz w:val="18"/>
                <w:szCs w:val="18"/>
              </w:rPr>
              <w:t>Total non-current assets</w:t>
            </w:r>
          </w:p>
        </w:tc>
        <w:tc>
          <w:tcPr>
            <w:tcW w:w="1701" w:type="dxa"/>
            <w:gridSpan w:val="2"/>
          </w:tcPr>
          <w:p w14:paraId="3E3D19BF" w14:textId="77777777" w:rsidR="004D2FFF" w:rsidRPr="00002C01" w:rsidRDefault="004D2FFF" w:rsidP="00E70ECE">
            <w:pPr>
              <w:tabs>
                <w:tab w:val="decimal" w:pos="1168"/>
              </w:tabs>
              <w:ind w:right="48"/>
              <w:jc w:val="both"/>
              <w:rPr>
                <w:rFonts w:cs="Arial"/>
                <w:sz w:val="18"/>
                <w:szCs w:val="18"/>
              </w:rPr>
            </w:pPr>
            <w:r w:rsidRPr="00002C01">
              <w:rPr>
                <w:rFonts w:cs="Arial"/>
                <w:sz w:val="18"/>
                <w:szCs w:val="18"/>
              </w:rPr>
              <w:t>192,264</w:t>
            </w:r>
          </w:p>
        </w:tc>
        <w:tc>
          <w:tcPr>
            <w:tcW w:w="1984" w:type="dxa"/>
          </w:tcPr>
          <w:p w14:paraId="49118010" w14:textId="77777777" w:rsidR="004D2FFF" w:rsidRPr="00E70ECE" w:rsidRDefault="004D2FFF" w:rsidP="00E70ECE">
            <w:pPr>
              <w:tabs>
                <w:tab w:val="decimal" w:pos="1168"/>
              </w:tabs>
              <w:ind w:right="48"/>
              <w:jc w:val="both"/>
              <w:rPr>
                <w:rFonts w:cs="Arial"/>
                <w:sz w:val="18"/>
                <w:szCs w:val="18"/>
              </w:rPr>
            </w:pPr>
            <w:r w:rsidRPr="00E70ECE">
              <w:rPr>
                <w:rFonts w:cs="Arial"/>
                <w:sz w:val="18"/>
                <w:szCs w:val="18"/>
              </w:rPr>
              <w:t>211,074</w:t>
            </w:r>
          </w:p>
        </w:tc>
        <w:tc>
          <w:tcPr>
            <w:tcW w:w="1701" w:type="dxa"/>
          </w:tcPr>
          <w:p w14:paraId="3F6AD12F" w14:textId="77777777" w:rsidR="004D2FFF" w:rsidRPr="00E70ECE" w:rsidRDefault="004D2FFF" w:rsidP="00E70ECE">
            <w:pPr>
              <w:tabs>
                <w:tab w:val="decimal" w:pos="1168"/>
              </w:tabs>
              <w:ind w:right="48"/>
              <w:jc w:val="both"/>
              <w:rPr>
                <w:rFonts w:cs="Arial"/>
                <w:sz w:val="18"/>
                <w:szCs w:val="18"/>
              </w:rPr>
            </w:pPr>
            <w:r w:rsidRPr="00E70ECE">
              <w:rPr>
                <w:rFonts w:cs="Arial"/>
                <w:sz w:val="18"/>
                <w:szCs w:val="18"/>
              </w:rPr>
              <w:t>5,824</w:t>
            </w:r>
          </w:p>
        </w:tc>
        <w:tc>
          <w:tcPr>
            <w:tcW w:w="1843" w:type="dxa"/>
          </w:tcPr>
          <w:p w14:paraId="7FE7DD13"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5,824</w:t>
            </w:r>
          </w:p>
        </w:tc>
      </w:tr>
      <w:tr w:rsidR="004D2FFF" w:rsidRPr="00C328EF" w14:paraId="39D9FB87" w14:textId="77777777" w:rsidTr="004D2FFF">
        <w:trPr>
          <w:gridBefore w:val="1"/>
          <w:wBefore w:w="30" w:type="dxa"/>
        </w:trPr>
        <w:tc>
          <w:tcPr>
            <w:tcW w:w="2772" w:type="dxa"/>
            <w:gridSpan w:val="2"/>
          </w:tcPr>
          <w:p w14:paraId="4763C162" w14:textId="77777777" w:rsidR="004D2FFF" w:rsidRPr="00C328EF" w:rsidRDefault="004D2FFF" w:rsidP="00E70ECE">
            <w:pPr>
              <w:rPr>
                <w:rFonts w:cs="Arial"/>
                <w:sz w:val="18"/>
                <w:szCs w:val="18"/>
                <w:highlight w:val="yellow"/>
              </w:rPr>
            </w:pPr>
          </w:p>
        </w:tc>
        <w:tc>
          <w:tcPr>
            <w:tcW w:w="567" w:type="dxa"/>
          </w:tcPr>
          <w:p w14:paraId="58FEB354" w14:textId="77777777" w:rsidR="004D2FFF" w:rsidRPr="0047306F" w:rsidRDefault="004D2FFF" w:rsidP="00E70ECE">
            <w:pPr>
              <w:jc w:val="both"/>
              <w:rPr>
                <w:rFonts w:cs="Arial"/>
                <w:sz w:val="18"/>
                <w:szCs w:val="18"/>
              </w:rPr>
            </w:pPr>
          </w:p>
        </w:tc>
        <w:tc>
          <w:tcPr>
            <w:tcW w:w="1701" w:type="dxa"/>
            <w:gridSpan w:val="2"/>
          </w:tcPr>
          <w:p w14:paraId="3E32787B" w14:textId="77777777" w:rsidR="004D2FFF" w:rsidRPr="00002C01" w:rsidRDefault="004D2FFF" w:rsidP="00E70ECE">
            <w:pPr>
              <w:tabs>
                <w:tab w:val="decimal" w:pos="1168"/>
              </w:tabs>
              <w:ind w:right="48"/>
              <w:jc w:val="both"/>
              <w:rPr>
                <w:rFonts w:cs="Arial"/>
                <w:sz w:val="18"/>
                <w:szCs w:val="18"/>
              </w:rPr>
            </w:pPr>
            <w:r w:rsidRPr="00002C01">
              <w:rPr>
                <w:rFonts w:cs="Arial"/>
                <w:sz w:val="18"/>
                <w:szCs w:val="18"/>
              </w:rPr>
              <w:t>═══════</w:t>
            </w:r>
          </w:p>
        </w:tc>
        <w:tc>
          <w:tcPr>
            <w:tcW w:w="1984" w:type="dxa"/>
          </w:tcPr>
          <w:p w14:paraId="3144CDCB" w14:textId="77777777" w:rsidR="004D2FFF" w:rsidRPr="00E70ECE" w:rsidRDefault="004D2FFF" w:rsidP="00E70ECE">
            <w:pPr>
              <w:tabs>
                <w:tab w:val="decimal" w:pos="1168"/>
              </w:tabs>
              <w:ind w:right="48"/>
              <w:jc w:val="both"/>
              <w:rPr>
                <w:rFonts w:cs="Arial"/>
                <w:sz w:val="18"/>
                <w:szCs w:val="18"/>
              </w:rPr>
            </w:pPr>
            <w:r w:rsidRPr="00E70ECE">
              <w:rPr>
                <w:rFonts w:cs="Arial"/>
                <w:sz w:val="18"/>
                <w:szCs w:val="18"/>
              </w:rPr>
              <w:t>═══════</w:t>
            </w:r>
          </w:p>
        </w:tc>
        <w:tc>
          <w:tcPr>
            <w:tcW w:w="1701" w:type="dxa"/>
          </w:tcPr>
          <w:p w14:paraId="3797A6AF"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c>
          <w:tcPr>
            <w:tcW w:w="1843" w:type="dxa"/>
          </w:tcPr>
          <w:p w14:paraId="4FE25B6B"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r>
      <w:tr w:rsidR="004D2FFF" w:rsidRPr="00C328EF" w14:paraId="47B9F877" w14:textId="77777777" w:rsidTr="004D2FFF">
        <w:trPr>
          <w:gridBefore w:val="1"/>
          <w:wBefore w:w="30" w:type="dxa"/>
        </w:trPr>
        <w:tc>
          <w:tcPr>
            <w:tcW w:w="2772" w:type="dxa"/>
            <w:gridSpan w:val="2"/>
          </w:tcPr>
          <w:p w14:paraId="7A9333D8" w14:textId="77777777" w:rsidR="004D2FFF" w:rsidRPr="00B6081F" w:rsidRDefault="004D2FFF" w:rsidP="00E70ECE">
            <w:pPr>
              <w:rPr>
                <w:rFonts w:cs="Arial"/>
                <w:b/>
                <w:sz w:val="18"/>
                <w:szCs w:val="18"/>
              </w:rPr>
            </w:pPr>
            <w:r w:rsidRPr="00B6081F">
              <w:rPr>
                <w:rFonts w:cs="Arial"/>
                <w:b/>
                <w:sz w:val="18"/>
                <w:szCs w:val="18"/>
              </w:rPr>
              <w:t>Current assets</w:t>
            </w:r>
          </w:p>
        </w:tc>
        <w:tc>
          <w:tcPr>
            <w:tcW w:w="567" w:type="dxa"/>
          </w:tcPr>
          <w:p w14:paraId="7C38E272" w14:textId="77777777" w:rsidR="004D2FFF" w:rsidRPr="0047306F" w:rsidRDefault="004D2FFF" w:rsidP="00E70ECE">
            <w:pPr>
              <w:jc w:val="both"/>
              <w:rPr>
                <w:rFonts w:cs="Arial"/>
                <w:sz w:val="18"/>
                <w:szCs w:val="18"/>
              </w:rPr>
            </w:pPr>
          </w:p>
        </w:tc>
        <w:tc>
          <w:tcPr>
            <w:tcW w:w="1701" w:type="dxa"/>
            <w:gridSpan w:val="2"/>
          </w:tcPr>
          <w:p w14:paraId="2D542EB8" w14:textId="77777777" w:rsidR="004D2FFF" w:rsidRPr="00C328EF" w:rsidRDefault="004D2FFF" w:rsidP="00E70ECE">
            <w:pPr>
              <w:tabs>
                <w:tab w:val="decimal" w:pos="1168"/>
              </w:tabs>
              <w:ind w:right="48"/>
              <w:jc w:val="both"/>
              <w:rPr>
                <w:rFonts w:cs="Arial"/>
                <w:sz w:val="18"/>
                <w:szCs w:val="18"/>
                <w:highlight w:val="yellow"/>
              </w:rPr>
            </w:pPr>
          </w:p>
        </w:tc>
        <w:tc>
          <w:tcPr>
            <w:tcW w:w="1984" w:type="dxa"/>
          </w:tcPr>
          <w:p w14:paraId="119113B3" w14:textId="77777777" w:rsidR="004D2FFF" w:rsidRPr="00C328EF" w:rsidRDefault="004D2FFF" w:rsidP="00E70ECE">
            <w:pPr>
              <w:tabs>
                <w:tab w:val="decimal" w:pos="1168"/>
              </w:tabs>
              <w:ind w:right="48"/>
              <w:jc w:val="both"/>
              <w:rPr>
                <w:rFonts w:cs="Arial"/>
                <w:sz w:val="18"/>
                <w:szCs w:val="18"/>
                <w:highlight w:val="yellow"/>
              </w:rPr>
            </w:pPr>
          </w:p>
        </w:tc>
        <w:tc>
          <w:tcPr>
            <w:tcW w:w="1701" w:type="dxa"/>
          </w:tcPr>
          <w:p w14:paraId="05AD7F1D" w14:textId="77777777" w:rsidR="004D2FFF" w:rsidRPr="00C328EF" w:rsidRDefault="004D2FFF" w:rsidP="00E70ECE">
            <w:pPr>
              <w:tabs>
                <w:tab w:val="decimal" w:pos="1168"/>
              </w:tabs>
              <w:ind w:left="48" w:right="48"/>
              <w:jc w:val="both"/>
              <w:rPr>
                <w:rFonts w:cs="Arial"/>
                <w:sz w:val="18"/>
                <w:szCs w:val="18"/>
                <w:highlight w:val="yellow"/>
              </w:rPr>
            </w:pPr>
          </w:p>
        </w:tc>
        <w:tc>
          <w:tcPr>
            <w:tcW w:w="1843" w:type="dxa"/>
          </w:tcPr>
          <w:p w14:paraId="6BF24124" w14:textId="77777777" w:rsidR="004D2FFF" w:rsidRPr="00C328EF" w:rsidRDefault="004D2FFF" w:rsidP="00E70ECE">
            <w:pPr>
              <w:tabs>
                <w:tab w:val="decimal" w:pos="1168"/>
              </w:tabs>
              <w:ind w:left="48" w:right="48"/>
              <w:jc w:val="both"/>
              <w:rPr>
                <w:rFonts w:cs="Arial"/>
                <w:sz w:val="18"/>
                <w:szCs w:val="18"/>
                <w:highlight w:val="yellow"/>
              </w:rPr>
            </w:pPr>
          </w:p>
        </w:tc>
      </w:tr>
      <w:tr w:rsidR="004D2FFF" w:rsidRPr="00C328EF" w14:paraId="65E11862" w14:textId="77777777" w:rsidTr="004D2FFF">
        <w:trPr>
          <w:gridBefore w:val="1"/>
          <w:wBefore w:w="30" w:type="dxa"/>
        </w:trPr>
        <w:tc>
          <w:tcPr>
            <w:tcW w:w="2772" w:type="dxa"/>
            <w:gridSpan w:val="2"/>
          </w:tcPr>
          <w:p w14:paraId="447DC6C5" w14:textId="77777777" w:rsidR="004D2FFF" w:rsidRPr="00B6081F" w:rsidRDefault="004D2FFF" w:rsidP="00E70ECE">
            <w:pPr>
              <w:rPr>
                <w:rFonts w:cs="Arial"/>
                <w:sz w:val="18"/>
                <w:szCs w:val="18"/>
              </w:rPr>
            </w:pPr>
            <w:r w:rsidRPr="00B6081F">
              <w:rPr>
                <w:rFonts w:cs="Arial"/>
                <w:sz w:val="18"/>
                <w:szCs w:val="18"/>
              </w:rPr>
              <w:t>Inventories</w:t>
            </w:r>
          </w:p>
        </w:tc>
        <w:tc>
          <w:tcPr>
            <w:tcW w:w="567" w:type="dxa"/>
          </w:tcPr>
          <w:p w14:paraId="283F4FBB" w14:textId="77777777" w:rsidR="004D2FFF" w:rsidRPr="0047306F" w:rsidRDefault="004D2FFF" w:rsidP="00E70ECE">
            <w:pPr>
              <w:jc w:val="both"/>
              <w:rPr>
                <w:rFonts w:cs="Arial"/>
                <w:sz w:val="18"/>
                <w:szCs w:val="18"/>
              </w:rPr>
            </w:pPr>
            <w:r w:rsidRPr="0047306F">
              <w:rPr>
                <w:rFonts w:cs="Arial"/>
                <w:sz w:val="18"/>
                <w:szCs w:val="18"/>
              </w:rPr>
              <w:t>11</w:t>
            </w:r>
          </w:p>
        </w:tc>
        <w:tc>
          <w:tcPr>
            <w:tcW w:w="1701" w:type="dxa"/>
            <w:gridSpan w:val="2"/>
          </w:tcPr>
          <w:p w14:paraId="1FE27C72" w14:textId="77777777" w:rsidR="004D2FFF" w:rsidRPr="00002C01" w:rsidRDefault="004D2FFF" w:rsidP="00E70ECE">
            <w:pPr>
              <w:tabs>
                <w:tab w:val="decimal" w:pos="1168"/>
              </w:tabs>
              <w:ind w:right="48"/>
              <w:jc w:val="both"/>
              <w:rPr>
                <w:rFonts w:cs="Arial"/>
                <w:sz w:val="18"/>
                <w:szCs w:val="18"/>
              </w:rPr>
            </w:pPr>
            <w:r w:rsidRPr="00002C01">
              <w:rPr>
                <w:rFonts w:cs="Arial"/>
                <w:sz w:val="18"/>
                <w:szCs w:val="18"/>
              </w:rPr>
              <w:t>1,247</w:t>
            </w:r>
          </w:p>
        </w:tc>
        <w:tc>
          <w:tcPr>
            <w:tcW w:w="1984" w:type="dxa"/>
          </w:tcPr>
          <w:p w14:paraId="4ECCEE24" w14:textId="77777777" w:rsidR="004D2FFF" w:rsidRPr="00A10A6D" w:rsidRDefault="004D2FFF" w:rsidP="00E70ECE">
            <w:pPr>
              <w:tabs>
                <w:tab w:val="decimal" w:pos="1168"/>
              </w:tabs>
              <w:ind w:right="48"/>
              <w:jc w:val="both"/>
              <w:rPr>
                <w:rFonts w:cs="Arial"/>
                <w:sz w:val="18"/>
                <w:szCs w:val="18"/>
              </w:rPr>
            </w:pPr>
            <w:r w:rsidRPr="00A10A6D">
              <w:rPr>
                <w:rFonts w:cs="Arial"/>
                <w:sz w:val="18"/>
                <w:szCs w:val="18"/>
              </w:rPr>
              <w:t>989</w:t>
            </w:r>
          </w:p>
        </w:tc>
        <w:tc>
          <w:tcPr>
            <w:tcW w:w="1701" w:type="dxa"/>
          </w:tcPr>
          <w:p w14:paraId="26D8B4EB" w14:textId="77777777" w:rsidR="004D2FFF" w:rsidRPr="00B6081F" w:rsidRDefault="004D2FFF" w:rsidP="00E70ECE">
            <w:pPr>
              <w:tabs>
                <w:tab w:val="decimal" w:pos="1168"/>
              </w:tabs>
              <w:ind w:left="48" w:right="48"/>
              <w:jc w:val="both"/>
              <w:rPr>
                <w:rFonts w:cs="Arial"/>
                <w:sz w:val="18"/>
                <w:szCs w:val="18"/>
              </w:rPr>
            </w:pPr>
            <w:r w:rsidRPr="00B6081F">
              <w:rPr>
                <w:rFonts w:cs="Arial"/>
                <w:sz w:val="18"/>
                <w:szCs w:val="18"/>
              </w:rPr>
              <w:t>-</w:t>
            </w:r>
          </w:p>
        </w:tc>
        <w:tc>
          <w:tcPr>
            <w:tcW w:w="1843" w:type="dxa"/>
          </w:tcPr>
          <w:p w14:paraId="62A16D0B"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r>
      <w:tr w:rsidR="004D2FFF" w:rsidRPr="00C328EF" w14:paraId="1AB3336D" w14:textId="77777777" w:rsidTr="004D2FFF">
        <w:trPr>
          <w:gridBefore w:val="1"/>
          <w:wBefore w:w="30" w:type="dxa"/>
        </w:trPr>
        <w:tc>
          <w:tcPr>
            <w:tcW w:w="2772" w:type="dxa"/>
            <w:gridSpan w:val="2"/>
          </w:tcPr>
          <w:p w14:paraId="07715C32" w14:textId="77777777" w:rsidR="004D2FFF" w:rsidRPr="00B6081F" w:rsidRDefault="004D2FFF" w:rsidP="00E70ECE">
            <w:pPr>
              <w:rPr>
                <w:rFonts w:cs="Arial"/>
                <w:sz w:val="18"/>
                <w:szCs w:val="18"/>
              </w:rPr>
            </w:pPr>
            <w:r w:rsidRPr="00B6081F">
              <w:rPr>
                <w:rFonts w:cs="Arial"/>
                <w:sz w:val="18"/>
                <w:szCs w:val="18"/>
              </w:rPr>
              <w:t xml:space="preserve">Trade and other receivables </w:t>
            </w:r>
          </w:p>
        </w:tc>
        <w:tc>
          <w:tcPr>
            <w:tcW w:w="567" w:type="dxa"/>
          </w:tcPr>
          <w:p w14:paraId="22EA8F8E" w14:textId="77777777" w:rsidR="004D2FFF" w:rsidRPr="0047306F" w:rsidRDefault="004D2FFF" w:rsidP="00E70ECE">
            <w:pPr>
              <w:jc w:val="both"/>
              <w:rPr>
                <w:rFonts w:cs="Arial"/>
                <w:sz w:val="18"/>
                <w:szCs w:val="18"/>
              </w:rPr>
            </w:pPr>
            <w:r w:rsidRPr="0047306F">
              <w:rPr>
                <w:rFonts w:cs="Arial"/>
                <w:sz w:val="18"/>
                <w:szCs w:val="18"/>
              </w:rPr>
              <w:t>12</w:t>
            </w:r>
          </w:p>
        </w:tc>
        <w:tc>
          <w:tcPr>
            <w:tcW w:w="1701" w:type="dxa"/>
            <w:gridSpan w:val="2"/>
          </w:tcPr>
          <w:p w14:paraId="1B920691" w14:textId="77777777" w:rsidR="004D2FFF" w:rsidRPr="00002C01" w:rsidRDefault="004D2FFF" w:rsidP="00E70ECE">
            <w:pPr>
              <w:tabs>
                <w:tab w:val="decimal" w:pos="1168"/>
              </w:tabs>
              <w:ind w:right="48"/>
              <w:jc w:val="both"/>
              <w:rPr>
                <w:rFonts w:cs="Arial"/>
                <w:sz w:val="18"/>
                <w:szCs w:val="18"/>
              </w:rPr>
            </w:pPr>
            <w:r w:rsidRPr="00002C01">
              <w:rPr>
                <w:rFonts w:cs="Arial"/>
                <w:sz w:val="18"/>
                <w:szCs w:val="18"/>
              </w:rPr>
              <w:t>14,</w:t>
            </w:r>
            <w:r>
              <w:rPr>
                <w:rFonts w:cs="Arial"/>
                <w:sz w:val="18"/>
                <w:szCs w:val="18"/>
              </w:rPr>
              <w:t>104</w:t>
            </w:r>
          </w:p>
        </w:tc>
        <w:tc>
          <w:tcPr>
            <w:tcW w:w="1984" w:type="dxa"/>
          </w:tcPr>
          <w:p w14:paraId="4C12A332" w14:textId="77777777" w:rsidR="004D2FFF" w:rsidRPr="00A10A6D" w:rsidRDefault="004D2FFF" w:rsidP="00E70ECE">
            <w:pPr>
              <w:tabs>
                <w:tab w:val="decimal" w:pos="1168"/>
              </w:tabs>
              <w:ind w:right="48"/>
              <w:jc w:val="both"/>
              <w:rPr>
                <w:rFonts w:cs="Arial"/>
                <w:sz w:val="18"/>
                <w:szCs w:val="18"/>
              </w:rPr>
            </w:pPr>
            <w:r w:rsidRPr="00A10A6D">
              <w:rPr>
                <w:rFonts w:cs="Arial"/>
                <w:sz w:val="18"/>
                <w:szCs w:val="18"/>
              </w:rPr>
              <w:t>11,436</w:t>
            </w:r>
          </w:p>
        </w:tc>
        <w:tc>
          <w:tcPr>
            <w:tcW w:w="1701" w:type="dxa"/>
          </w:tcPr>
          <w:p w14:paraId="020B89B0" w14:textId="77777777" w:rsidR="004D2FFF" w:rsidRPr="00B6081F" w:rsidRDefault="004D2FFF" w:rsidP="00E70ECE">
            <w:pPr>
              <w:tabs>
                <w:tab w:val="decimal" w:pos="1168"/>
              </w:tabs>
              <w:ind w:right="48"/>
              <w:jc w:val="both"/>
              <w:rPr>
                <w:rFonts w:cs="Arial"/>
                <w:sz w:val="18"/>
                <w:szCs w:val="18"/>
              </w:rPr>
            </w:pPr>
            <w:r>
              <w:rPr>
                <w:rFonts w:cs="Arial"/>
                <w:sz w:val="18"/>
                <w:szCs w:val="18"/>
              </w:rPr>
              <w:t>114</w:t>
            </w:r>
          </w:p>
        </w:tc>
        <w:tc>
          <w:tcPr>
            <w:tcW w:w="1843" w:type="dxa"/>
          </w:tcPr>
          <w:p w14:paraId="0FADD438" w14:textId="77777777" w:rsidR="004D2FFF" w:rsidRPr="00E70ECE" w:rsidRDefault="004D2FFF" w:rsidP="00E70ECE">
            <w:pPr>
              <w:tabs>
                <w:tab w:val="decimal" w:pos="1168"/>
              </w:tabs>
              <w:ind w:right="48"/>
              <w:jc w:val="both"/>
              <w:rPr>
                <w:rFonts w:cs="Arial"/>
                <w:sz w:val="18"/>
                <w:szCs w:val="18"/>
              </w:rPr>
            </w:pPr>
            <w:r w:rsidRPr="00E70ECE">
              <w:rPr>
                <w:rFonts w:cs="Arial"/>
                <w:sz w:val="18"/>
                <w:szCs w:val="18"/>
              </w:rPr>
              <w:t>2,963</w:t>
            </w:r>
          </w:p>
        </w:tc>
      </w:tr>
      <w:tr w:rsidR="004D2FFF" w:rsidRPr="00C328EF" w14:paraId="516379D4" w14:textId="77777777" w:rsidTr="004D2FFF">
        <w:trPr>
          <w:gridBefore w:val="1"/>
          <w:wBefore w:w="30" w:type="dxa"/>
        </w:trPr>
        <w:tc>
          <w:tcPr>
            <w:tcW w:w="2772" w:type="dxa"/>
            <w:gridSpan w:val="2"/>
          </w:tcPr>
          <w:p w14:paraId="67C8A739" w14:textId="77777777" w:rsidR="004D2FFF" w:rsidRPr="00B6081F" w:rsidRDefault="004D2FFF" w:rsidP="00E70ECE">
            <w:pPr>
              <w:rPr>
                <w:rFonts w:cs="Arial"/>
                <w:sz w:val="18"/>
                <w:szCs w:val="18"/>
              </w:rPr>
            </w:pPr>
            <w:r w:rsidRPr="00B6081F">
              <w:rPr>
                <w:rFonts w:cs="Arial"/>
                <w:sz w:val="18"/>
                <w:szCs w:val="18"/>
              </w:rPr>
              <w:t>Cash and cash equivalents</w:t>
            </w:r>
          </w:p>
        </w:tc>
        <w:tc>
          <w:tcPr>
            <w:tcW w:w="567" w:type="dxa"/>
          </w:tcPr>
          <w:p w14:paraId="17C4329E" w14:textId="77777777" w:rsidR="004D2FFF" w:rsidRPr="0047306F" w:rsidRDefault="004D2FFF" w:rsidP="00E70ECE">
            <w:pPr>
              <w:jc w:val="both"/>
              <w:rPr>
                <w:rFonts w:cs="Arial"/>
                <w:sz w:val="18"/>
                <w:szCs w:val="18"/>
              </w:rPr>
            </w:pPr>
            <w:r w:rsidRPr="0047306F">
              <w:rPr>
                <w:rFonts w:cs="Arial"/>
                <w:sz w:val="18"/>
                <w:szCs w:val="18"/>
              </w:rPr>
              <w:t>13</w:t>
            </w:r>
          </w:p>
        </w:tc>
        <w:tc>
          <w:tcPr>
            <w:tcW w:w="1701" w:type="dxa"/>
            <w:gridSpan w:val="2"/>
          </w:tcPr>
          <w:p w14:paraId="5CD68301" w14:textId="77777777" w:rsidR="004D2FFF" w:rsidRPr="00002C01" w:rsidRDefault="004D2FFF" w:rsidP="00E70ECE">
            <w:pPr>
              <w:tabs>
                <w:tab w:val="decimal" w:pos="1168"/>
              </w:tabs>
              <w:ind w:right="48"/>
              <w:jc w:val="both"/>
              <w:rPr>
                <w:rFonts w:cs="Arial"/>
                <w:sz w:val="18"/>
                <w:szCs w:val="18"/>
              </w:rPr>
            </w:pPr>
            <w:r w:rsidRPr="00002C01">
              <w:rPr>
                <w:rFonts w:cs="Arial"/>
                <w:sz w:val="18"/>
                <w:szCs w:val="18"/>
              </w:rPr>
              <w:t>34,200</w:t>
            </w:r>
          </w:p>
        </w:tc>
        <w:tc>
          <w:tcPr>
            <w:tcW w:w="1984" w:type="dxa"/>
          </w:tcPr>
          <w:p w14:paraId="2C6CB2A1" w14:textId="77777777" w:rsidR="004D2FFF" w:rsidRPr="00A10A6D" w:rsidRDefault="004D2FFF" w:rsidP="00E70ECE">
            <w:pPr>
              <w:tabs>
                <w:tab w:val="decimal" w:pos="1168"/>
              </w:tabs>
              <w:ind w:right="48"/>
              <w:jc w:val="both"/>
              <w:rPr>
                <w:rFonts w:cs="Arial"/>
                <w:sz w:val="18"/>
                <w:szCs w:val="18"/>
              </w:rPr>
            </w:pPr>
            <w:r w:rsidRPr="00A10A6D">
              <w:rPr>
                <w:rFonts w:cs="Arial"/>
                <w:sz w:val="18"/>
                <w:szCs w:val="18"/>
              </w:rPr>
              <w:t>47,915</w:t>
            </w:r>
          </w:p>
        </w:tc>
        <w:tc>
          <w:tcPr>
            <w:tcW w:w="1701" w:type="dxa"/>
          </w:tcPr>
          <w:p w14:paraId="610D883A" w14:textId="77777777" w:rsidR="004D2FFF" w:rsidRPr="00B6081F" w:rsidRDefault="004D2FFF" w:rsidP="00E70ECE">
            <w:pPr>
              <w:tabs>
                <w:tab w:val="decimal" w:pos="1168"/>
              </w:tabs>
              <w:ind w:left="48" w:right="48"/>
              <w:jc w:val="both"/>
              <w:rPr>
                <w:rFonts w:cs="Arial"/>
                <w:sz w:val="18"/>
                <w:szCs w:val="18"/>
              </w:rPr>
            </w:pPr>
            <w:r w:rsidRPr="00B6081F">
              <w:rPr>
                <w:rFonts w:cs="Arial"/>
                <w:sz w:val="18"/>
                <w:szCs w:val="18"/>
              </w:rPr>
              <w:t>217</w:t>
            </w:r>
          </w:p>
        </w:tc>
        <w:tc>
          <w:tcPr>
            <w:tcW w:w="1843" w:type="dxa"/>
          </w:tcPr>
          <w:p w14:paraId="5F300CAF"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456</w:t>
            </w:r>
          </w:p>
        </w:tc>
      </w:tr>
      <w:tr w:rsidR="004D2FFF" w:rsidRPr="00C328EF" w14:paraId="26FCEB6A" w14:textId="77777777" w:rsidTr="004D2FFF">
        <w:trPr>
          <w:gridBefore w:val="1"/>
          <w:wBefore w:w="30" w:type="dxa"/>
        </w:trPr>
        <w:tc>
          <w:tcPr>
            <w:tcW w:w="2772" w:type="dxa"/>
            <w:gridSpan w:val="2"/>
          </w:tcPr>
          <w:p w14:paraId="70459533" w14:textId="77777777" w:rsidR="004D2FFF" w:rsidRPr="00B6081F" w:rsidRDefault="004D2FFF" w:rsidP="00E70ECE">
            <w:pPr>
              <w:rPr>
                <w:rFonts w:cs="Arial"/>
                <w:sz w:val="18"/>
                <w:szCs w:val="18"/>
              </w:rPr>
            </w:pPr>
          </w:p>
        </w:tc>
        <w:tc>
          <w:tcPr>
            <w:tcW w:w="567" w:type="dxa"/>
          </w:tcPr>
          <w:p w14:paraId="3879C7E7" w14:textId="77777777" w:rsidR="004D2FFF" w:rsidRPr="00C328EF" w:rsidRDefault="004D2FFF" w:rsidP="00E70ECE">
            <w:pPr>
              <w:jc w:val="both"/>
              <w:rPr>
                <w:rFonts w:cs="Arial"/>
                <w:sz w:val="18"/>
                <w:szCs w:val="18"/>
                <w:highlight w:val="yellow"/>
              </w:rPr>
            </w:pPr>
          </w:p>
        </w:tc>
        <w:tc>
          <w:tcPr>
            <w:tcW w:w="1701" w:type="dxa"/>
            <w:gridSpan w:val="2"/>
          </w:tcPr>
          <w:p w14:paraId="32F6C4DB" w14:textId="77777777" w:rsidR="004D2FFF" w:rsidRPr="00002C01" w:rsidRDefault="004D2FFF" w:rsidP="00E70ECE">
            <w:pPr>
              <w:tabs>
                <w:tab w:val="decimal" w:pos="1168"/>
              </w:tabs>
              <w:ind w:right="48"/>
              <w:jc w:val="both"/>
              <w:rPr>
                <w:rFonts w:cs="Arial"/>
                <w:sz w:val="18"/>
                <w:szCs w:val="18"/>
              </w:rPr>
            </w:pPr>
            <w:r w:rsidRPr="00002C01">
              <w:rPr>
                <w:rFonts w:cs="Arial"/>
                <w:spacing w:val="-2"/>
                <w:sz w:val="18"/>
                <w:szCs w:val="18"/>
              </w:rPr>
              <w:t>───────</w:t>
            </w:r>
          </w:p>
        </w:tc>
        <w:tc>
          <w:tcPr>
            <w:tcW w:w="1984" w:type="dxa"/>
          </w:tcPr>
          <w:p w14:paraId="3FEADA87" w14:textId="77777777" w:rsidR="004D2FFF" w:rsidRPr="00A10A6D" w:rsidRDefault="004D2FFF" w:rsidP="00E70ECE">
            <w:pPr>
              <w:tabs>
                <w:tab w:val="decimal" w:pos="1168"/>
              </w:tabs>
              <w:ind w:right="48"/>
              <w:jc w:val="both"/>
              <w:rPr>
                <w:rFonts w:cs="Arial"/>
                <w:sz w:val="18"/>
                <w:szCs w:val="18"/>
              </w:rPr>
            </w:pPr>
            <w:r w:rsidRPr="00A10A6D">
              <w:rPr>
                <w:rFonts w:cs="Arial"/>
                <w:spacing w:val="-2"/>
                <w:sz w:val="18"/>
                <w:szCs w:val="18"/>
              </w:rPr>
              <w:t>───────</w:t>
            </w:r>
          </w:p>
        </w:tc>
        <w:tc>
          <w:tcPr>
            <w:tcW w:w="1701" w:type="dxa"/>
          </w:tcPr>
          <w:p w14:paraId="2FCE4622" w14:textId="77777777" w:rsidR="004D2FFF" w:rsidRPr="00B6081F" w:rsidRDefault="004D2FFF" w:rsidP="00E70ECE">
            <w:pPr>
              <w:tabs>
                <w:tab w:val="decimal" w:pos="1168"/>
              </w:tabs>
              <w:ind w:left="48" w:right="48"/>
              <w:jc w:val="both"/>
              <w:rPr>
                <w:rFonts w:cs="Arial"/>
                <w:sz w:val="18"/>
                <w:szCs w:val="18"/>
              </w:rPr>
            </w:pPr>
            <w:r w:rsidRPr="00B6081F">
              <w:rPr>
                <w:rFonts w:cs="Arial"/>
                <w:sz w:val="18"/>
                <w:szCs w:val="18"/>
              </w:rPr>
              <w:t>───────</w:t>
            </w:r>
          </w:p>
        </w:tc>
        <w:tc>
          <w:tcPr>
            <w:tcW w:w="1843" w:type="dxa"/>
          </w:tcPr>
          <w:p w14:paraId="17655F12"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r>
      <w:tr w:rsidR="004D2FFF" w:rsidRPr="00C328EF" w14:paraId="208D2447" w14:textId="77777777" w:rsidTr="004D2FFF">
        <w:trPr>
          <w:gridBefore w:val="1"/>
          <w:wBefore w:w="30" w:type="dxa"/>
        </w:trPr>
        <w:tc>
          <w:tcPr>
            <w:tcW w:w="2772" w:type="dxa"/>
            <w:gridSpan w:val="2"/>
          </w:tcPr>
          <w:p w14:paraId="4FE00BFC" w14:textId="77777777" w:rsidR="004D2FFF" w:rsidRPr="00B6081F" w:rsidRDefault="004D2FFF" w:rsidP="00E70ECE">
            <w:pPr>
              <w:rPr>
                <w:rFonts w:cs="Arial"/>
                <w:b/>
                <w:sz w:val="18"/>
                <w:szCs w:val="18"/>
              </w:rPr>
            </w:pPr>
            <w:r w:rsidRPr="00B6081F">
              <w:rPr>
                <w:rFonts w:cs="Arial"/>
                <w:b/>
                <w:sz w:val="18"/>
                <w:szCs w:val="18"/>
              </w:rPr>
              <w:t>Total current assets</w:t>
            </w:r>
          </w:p>
        </w:tc>
        <w:tc>
          <w:tcPr>
            <w:tcW w:w="567" w:type="dxa"/>
          </w:tcPr>
          <w:p w14:paraId="6138B184" w14:textId="77777777" w:rsidR="004D2FFF" w:rsidRPr="00C328EF" w:rsidRDefault="004D2FFF" w:rsidP="00E70ECE">
            <w:pPr>
              <w:jc w:val="both"/>
              <w:rPr>
                <w:rFonts w:cs="Arial"/>
                <w:sz w:val="18"/>
                <w:szCs w:val="18"/>
                <w:highlight w:val="yellow"/>
              </w:rPr>
            </w:pPr>
          </w:p>
        </w:tc>
        <w:tc>
          <w:tcPr>
            <w:tcW w:w="1701" w:type="dxa"/>
            <w:gridSpan w:val="2"/>
          </w:tcPr>
          <w:p w14:paraId="56FEEF2A" w14:textId="77777777" w:rsidR="004D2FFF" w:rsidRPr="00002C01" w:rsidRDefault="004D2FFF" w:rsidP="00E70ECE">
            <w:pPr>
              <w:tabs>
                <w:tab w:val="decimal" w:pos="1168"/>
              </w:tabs>
              <w:ind w:right="48"/>
              <w:jc w:val="both"/>
              <w:rPr>
                <w:rFonts w:cs="Arial"/>
                <w:sz w:val="18"/>
                <w:szCs w:val="18"/>
              </w:rPr>
            </w:pPr>
            <w:r w:rsidRPr="00002C01">
              <w:rPr>
                <w:rFonts w:cs="Arial"/>
                <w:sz w:val="18"/>
                <w:szCs w:val="18"/>
              </w:rPr>
              <w:t>49,</w:t>
            </w:r>
            <w:r>
              <w:rPr>
                <w:rFonts w:cs="Arial"/>
                <w:sz w:val="18"/>
                <w:szCs w:val="18"/>
              </w:rPr>
              <w:t>551</w:t>
            </w:r>
          </w:p>
        </w:tc>
        <w:tc>
          <w:tcPr>
            <w:tcW w:w="1984" w:type="dxa"/>
          </w:tcPr>
          <w:p w14:paraId="0D2A12C6" w14:textId="77777777" w:rsidR="004D2FFF" w:rsidRPr="00A10A6D" w:rsidRDefault="004D2FFF" w:rsidP="00E70ECE">
            <w:pPr>
              <w:tabs>
                <w:tab w:val="decimal" w:pos="1168"/>
              </w:tabs>
              <w:ind w:right="48"/>
              <w:jc w:val="both"/>
              <w:rPr>
                <w:rFonts w:cs="Arial"/>
                <w:sz w:val="18"/>
                <w:szCs w:val="18"/>
              </w:rPr>
            </w:pPr>
            <w:r w:rsidRPr="00A10A6D">
              <w:rPr>
                <w:rFonts w:cs="Arial"/>
                <w:sz w:val="18"/>
                <w:szCs w:val="18"/>
              </w:rPr>
              <w:t>60,340</w:t>
            </w:r>
          </w:p>
        </w:tc>
        <w:tc>
          <w:tcPr>
            <w:tcW w:w="1701" w:type="dxa"/>
          </w:tcPr>
          <w:p w14:paraId="221EFAB7" w14:textId="77777777" w:rsidR="004D2FFF" w:rsidRPr="00B6081F" w:rsidRDefault="004D2FFF" w:rsidP="00E70ECE">
            <w:pPr>
              <w:tabs>
                <w:tab w:val="decimal" w:pos="1168"/>
              </w:tabs>
              <w:ind w:left="48" w:right="48"/>
              <w:jc w:val="both"/>
              <w:rPr>
                <w:rFonts w:cs="Arial"/>
                <w:sz w:val="18"/>
                <w:szCs w:val="18"/>
              </w:rPr>
            </w:pPr>
            <w:r>
              <w:rPr>
                <w:rFonts w:cs="Arial"/>
                <w:sz w:val="18"/>
                <w:szCs w:val="18"/>
              </w:rPr>
              <w:t>331</w:t>
            </w:r>
          </w:p>
        </w:tc>
        <w:tc>
          <w:tcPr>
            <w:tcW w:w="1843" w:type="dxa"/>
          </w:tcPr>
          <w:p w14:paraId="19850E95"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3,419</w:t>
            </w:r>
          </w:p>
        </w:tc>
      </w:tr>
      <w:tr w:rsidR="004D2FFF" w:rsidRPr="00C328EF" w14:paraId="4A998E47" w14:textId="77777777" w:rsidTr="004D2FFF">
        <w:trPr>
          <w:gridBefore w:val="1"/>
          <w:wBefore w:w="30" w:type="dxa"/>
        </w:trPr>
        <w:tc>
          <w:tcPr>
            <w:tcW w:w="2772" w:type="dxa"/>
            <w:gridSpan w:val="2"/>
          </w:tcPr>
          <w:p w14:paraId="61B56978" w14:textId="77777777" w:rsidR="004D2FFF" w:rsidRPr="00B6081F" w:rsidRDefault="004D2FFF" w:rsidP="00E70ECE">
            <w:pPr>
              <w:rPr>
                <w:rFonts w:cs="Arial"/>
                <w:sz w:val="18"/>
                <w:szCs w:val="18"/>
              </w:rPr>
            </w:pPr>
          </w:p>
        </w:tc>
        <w:tc>
          <w:tcPr>
            <w:tcW w:w="567" w:type="dxa"/>
          </w:tcPr>
          <w:p w14:paraId="079C0AD9" w14:textId="77777777" w:rsidR="004D2FFF" w:rsidRPr="00C328EF" w:rsidRDefault="004D2FFF" w:rsidP="00E70ECE">
            <w:pPr>
              <w:jc w:val="both"/>
              <w:rPr>
                <w:rFonts w:cs="Arial"/>
                <w:sz w:val="18"/>
                <w:szCs w:val="18"/>
                <w:highlight w:val="yellow"/>
              </w:rPr>
            </w:pPr>
          </w:p>
        </w:tc>
        <w:tc>
          <w:tcPr>
            <w:tcW w:w="1701" w:type="dxa"/>
            <w:gridSpan w:val="2"/>
          </w:tcPr>
          <w:p w14:paraId="0858C9AD" w14:textId="77777777" w:rsidR="004D2FFF" w:rsidRPr="00002C01" w:rsidRDefault="004D2FFF" w:rsidP="00E70ECE">
            <w:pPr>
              <w:tabs>
                <w:tab w:val="decimal" w:pos="1168"/>
              </w:tabs>
              <w:ind w:right="48"/>
              <w:jc w:val="both"/>
              <w:rPr>
                <w:rFonts w:cs="Arial"/>
                <w:sz w:val="18"/>
                <w:szCs w:val="18"/>
              </w:rPr>
            </w:pPr>
            <w:r w:rsidRPr="00002C01">
              <w:rPr>
                <w:rFonts w:cs="Arial"/>
                <w:sz w:val="18"/>
                <w:szCs w:val="18"/>
              </w:rPr>
              <w:t>═══════</w:t>
            </w:r>
          </w:p>
        </w:tc>
        <w:tc>
          <w:tcPr>
            <w:tcW w:w="1984" w:type="dxa"/>
          </w:tcPr>
          <w:p w14:paraId="513DB715" w14:textId="77777777" w:rsidR="004D2FFF" w:rsidRPr="00A10A6D" w:rsidRDefault="004D2FFF" w:rsidP="00E70ECE">
            <w:pPr>
              <w:tabs>
                <w:tab w:val="decimal" w:pos="1168"/>
              </w:tabs>
              <w:ind w:right="48"/>
              <w:jc w:val="both"/>
              <w:rPr>
                <w:rFonts w:cs="Arial"/>
                <w:sz w:val="18"/>
                <w:szCs w:val="18"/>
              </w:rPr>
            </w:pPr>
            <w:r w:rsidRPr="00A10A6D">
              <w:rPr>
                <w:rFonts w:cs="Arial"/>
                <w:sz w:val="18"/>
                <w:szCs w:val="18"/>
              </w:rPr>
              <w:t>═══════</w:t>
            </w:r>
          </w:p>
        </w:tc>
        <w:tc>
          <w:tcPr>
            <w:tcW w:w="1701" w:type="dxa"/>
          </w:tcPr>
          <w:p w14:paraId="47A5742C" w14:textId="77777777" w:rsidR="004D2FFF" w:rsidRPr="00B6081F" w:rsidRDefault="004D2FFF" w:rsidP="00E70ECE">
            <w:pPr>
              <w:tabs>
                <w:tab w:val="decimal" w:pos="1168"/>
              </w:tabs>
              <w:ind w:left="48" w:right="48"/>
              <w:jc w:val="both"/>
              <w:rPr>
                <w:rFonts w:cs="Arial"/>
                <w:sz w:val="18"/>
                <w:szCs w:val="18"/>
              </w:rPr>
            </w:pPr>
            <w:r w:rsidRPr="00B6081F">
              <w:rPr>
                <w:rFonts w:cs="Arial"/>
                <w:sz w:val="18"/>
                <w:szCs w:val="18"/>
              </w:rPr>
              <w:t>═══════</w:t>
            </w:r>
          </w:p>
        </w:tc>
        <w:tc>
          <w:tcPr>
            <w:tcW w:w="1843" w:type="dxa"/>
          </w:tcPr>
          <w:p w14:paraId="3166AA21"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r>
      <w:tr w:rsidR="004D2FFF" w:rsidRPr="00C328EF" w14:paraId="024F0094" w14:textId="77777777" w:rsidTr="004D2FFF">
        <w:trPr>
          <w:gridBefore w:val="1"/>
          <w:wBefore w:w="30" w:type="dxa"/>
        </w:trPr>
        <w:tc>
          <w:tcPr>
            <w:tcW w:w="2772" w:type="dxa"/>
            <w:gridSpan w:val="2"/>
          </w:tcPr>
          <w:p w14:paraId="7FF40EE8" w14:textId="77777777" w:rsidR="004D2FFF" w:rsidRPr="00B6081F" w:rsidRDefault="004D2FFF" w:rsidP="00E70ECE">
            <w:pPr>
              <w:rPr>
                <w:rFonts w:cs="Arial"/>
                <w:b/>
                <w:sz w:val="18"/>
                <w:szCs w:val="18"/>
              </w:rPr>
            </w:pPr>
            <w:r w:rsidRPr="00B6081F">
              <w:rPr>
                <w:rFonts w:cs="Arial"/>
                <w:b/>
                <w:sz w:val="18"/>
                <w:szCs w:val="18"/>
              </w:rPr>
              <w:t>Total assets</w:t>
            </w:r>
          </w:p>
        </w:tc>
        <w:tc>
          <w:tcPr>
            <w:tcW w:w="567" w:type="dxa"/>
          </w:tcPr>
          <w:p w14:paraId="50ECE7AC" w14:textId="77777777" w:rsidR="004D2FFF" w:rsidRPr="00C328EF" w:rsidRDefault="004D2FFF" w:rsidP="00E70ECE">
            <w:pPr>
              <w:jc w:val="both"/>
              <w:rPr>
                <w:rFonts w:cs="Arial"/>
                <w:sz w:val="18"/>
                <w:szCs w:val="18"/>
                <w:highlight w:val="yellow"/>
              </w:rPr>
            </w:pPr>
          </w:p>
        </w:tc>
        <w:tc>
          <w:tcPr>
            <w:tcW w:w="1701" w:type="dxa"/>
            <w:gridSpan w:val="2"/>
          </w:tcPr>
          <w:p w14:paraId="2B808209" w14:textId="77777777" w:rsidR="004D2FFF" w:rsidRPr="00002C01" w:rsidRDefault="004D2FFF" w:rsidP="00E70ECE">
            <w:pPr>
              <w:tabs>
                <w:tab w:val="decimal" w:pos="1168"/>
              </w:tabs>
              <w:ind w:right="48"/>
              <w:jc w:val="both"/>
              <w:rPr>
                <w:rFonts w:cs="Arial"/>
                <w:sz w:val="18"/>
                <w:szCs w:val="18"/>
              </w:rPr>
            </w:pPr>
            <w:r w:rsidRPr="00002C01">
              <w:rPr>
                <w:rFonts w:cs="Arial"/>
                <w:sz w:val="18"/>
                <w:szCs w:val="18"/>
              </w:rPr>
              <w:t>241,</w:t>
            </w:r>
            <w:r>
              <w:rPr>
                <w:rFonts w:cs="Arial"/>
                <w:sz w:val="18"/>
                <w:szCs w:val="18"/>
              </w:rPr>
              <w:t>815</w:t>
            </w:r>
          </w:p>
        </w:tc>
        <w:tc>
          <w:tcPr>
            <w:tcW w:w="1984" w:type="dxa"/>
          </w:tcPr>
          <w:p w14:paraId="7C0950DB" w14:textId="77777777" w:rsidR="004D2FFF" w:rsidRPr="00A10A6D" w:rsidRDefault="004D2FFF" w:rsidP="00E70ECE">
            <w:pPr>
              <w:tabs>
                <w:tab w:val="decimal" w:pos="1168"/>
              </w:tabs>
              <w:ind w:right="48"/>
              <w:jc w:val="both"/>
              <w:rPr>
                <w:rFonts w:cs="Arial"/>
                <w:sz w:val="18"/>
                <w:szCs w:val="18"/>
              </w:rPr>
            </w:pPr>
            <w:r w:rsidRPr="00A10A6D">
              <w:rPr>
                <w:rFonts w:cs="Arial"/>
                <w:sz w:val="18"/>
                <w:szCs w:val="18"/>
              </w:rPr>
              <w:t>271,414</w:t>
            </w:r>
          </w:p>
        </w:tc>
        <w:tc>
          <w:tcPr>
            <w:tcW w:w="1701" w:type="dxa"/>
          </w:tcPr>
          <w:p w14:paraId="0C6FED9A" w14:textId="77777777" w:rsidR="004D2FFF" w:rsidRPr="00B6081F" w:rsidRDefault="004D2FFF" w:rsidP="00E70ECE">
            <w:pPr>
              <w:tabs>
                <w:tab w:val="decimal" w:pos="1168"/>
              </w:tabs>
              <w:ind w:left="48" w:right="48"/>
              <w:jc w:val="both"/>
              <w:rPr>
                <w:rFonts w:cs="Arial"/>
                <w:sz w:val="18"/>
                <w:szCs w:val="18"/>
              </w:rPr>
            </w:pPr>
            <w:r w:rsidRPr="00B6081F">
              <w:rPr>
                <w:rFonts w:cs="Arial"/>
                <w:sz w:val="18"/>
                <w:szCs w:val="18"/>
              </w:rPr>
              <w:t>6,</w:t>
            </w:r>
            <w:r>
              <w:rPr>
                <w:rFonts w:cs="Arial"/>
                <w:sz w:val="18"/>
                <w:szCs w:val="18"/>
              </w:rPr>
              <w:t>155</w:t>
            </w:r>
          </w:p>
        </w:tc>
        <w:tc>
          <w:tcPr>
            <w:tcW w:w="1843" w:type="dxa"/>
          </w:tcPr>
          <w:p w14:paraId="3CFAF327"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9,243</w:t>
            </w:r>
          </w:p>
        </w:tc>
      </w:tr>
      <w:tr w:rsidR="004D2FFF" w:rsidRPr="00C328EF" w14:paraId="4C53B816" w14:textId="77777777" w:rsidTr="004D2FFF">
        <w:trPr>
          <w:gridBefore w:val="1"/>
          <w:wBefore w:w="30" w:type="dxa"/>
        </w:trPr>
        <w:tc>
          <w:tcPr>
            <w:tcW w:w="2772" w:type="dxa"/>
            <w:gridSpan w:val="2"/>
          </w:tcPr>
          <w:p w14:paraId="2BD5E657" w14:textId="77777777" w:rsidR="004D2FFF" w:rsidRPr="00C328EF" w:rsidRDefault="004D2FFF" w:rsidP="00E70ECE">
            <w:pPr>
              <w:rPr>
                <w:rFonts w:cs="Arial"/>
                <w:sz w:val="18"/>
                <w:szCs w:val="18"/>
                <w:highlight w:val="yellow"/>
              </w:rPr>
            </w:pPr>
          </w:p>
        </w:tc>
        <w:tc>
          <w:tcPr>
            <w:tcW w:w="567" w:type="dxa"/>
          </w:tcPr>
          <w:p w14:paraId="47F25067" w14:textId="77777777" w:rsidR="004D2FFF" w:rsidRPr="00C328EF" w:rsidRDefault="004D2FFF" w:rsidP="00E70ECE">
            <w:pPr>
              <w:jc w:val="both"/>
              <w:rPr>
                <w:rFonts w:cs="Arial"/>
                <w:sz w:val="18"/>
                <w:szCs w:val="18"/>
                <w:highlight w:val="yellow"/>
              </w:rPr>
            </w:pPr>
          </w:p>
        </w:tc>
        <w:tc>
          <w:tcPr>
            <w:tcW w:w="1701" w:type="dxa"/>
            <w:gridSpan w:val="2"/>
          </w:tcPr>
          <w:p w14:paraId="3603641F" w14:textId="77777777" w:rsidR="004D2FFF" w:rsidRPr="00002C01" w:rsidRDefault="004D2FFF" w:rsidP="00E70ECE">
            <w:pPr>
              <w:tabs>
                <w:tab w:val="decimal" w:pos="1168"/>
              </w:tabs>
              <w:ind w:right="48"/>
              <w:jc w:val="both"/>
              <w:rPr>
                <w:rFonts w:cs="Arial"/>
                <w:sz w:val="18"/>
                <w:szCs w:val="18"/>
              </w:rPr>
            </w:pPr>
            <w:r w:rsidRPr="00002C01">
              <w:rPr>
                <w:rFonts w:cs="Arial"/>
                <w:sz w:val="18"/>
                <w:szCs w:val="18"/>
              </w:rPr>
              <w:t>═══════</w:t>
            </w:r>
          </w:p>
        </w:tc>
        <w:tc>
          <w:tcPr>
            <w:tcW w:w="1984" w:type="dxa"/>
          </w:tcPr>
          <w:p w14:paraId="3B24D7E6" w14:textId="77777777" w:rsidR="004D2FFF" w:rsidRPr="00A10A6D" w:rsidRDefault="004D2FFF" w:rsidP="00E70ECE">
            <w:pPr>
              <w:tabs>
                <w:tab w:val="decimal" w:pos="1168"/>
              </w:tabs>
              <w:ind w:right="48"/>
              <w:jc w:val="both"/>
              <w:rPr>
                <w:rFonts w:cs="Arial"/>
                <w:sz w:val="18"/>
                <w:szCs w:val="18"/>
              </w:rPr>
            </w:pPr>
            <w:r w:rsidRPr="00A10A6D">
              <w:rPr>
                <w:rFonts w:cs="Arial"/>
                <w:sz w:val="18"/>
                <w:szCs w:val="18"/>
              </w:rPr>
              <w:t>═══════</w:t>
            </w:r>
          </w:p>
        </w:tc>
        <w:tc>
          <w:tcPr>
            <w:tcW w:w="1701" w:type="dxa"/>
          </w:tcPr>
          <w:p w14:paraId="0F7B55D8" w14:textId="77777777" w:rsidR="004D2FFF" w:rsidRPr="00B6081F" w:rsidRDefault="004D2FFF" w:rsidP="00E70ECE">
            <w:pPr>
              <w:tabs>
                <w:tab w:val="decimal" w:pos="1168"/>
              </w:tabs>
              <w:ind w:left="48" w:right="48"/>
              <w:jc w:val="both"/>
              <w:rPr>
                <w:rFonts w:cs="Arial"/>
                <w:sz w:val="18"/>
                <w:szCs w:val="18"/>
              </w:rPr>
            </w:pPr>
            <w:r w:rsidRPr="00B6081F">
              <w:rPr>
                <w:rFonts w:cs="Arial"/>
                <w:sz w:val="18"/>
                <w:szCs w:val="18"/>
              </w:rPr>
              <w:t>═══════</w:t>
            </w:r>
          </w:p>
        </w:tc>
        <w:tc>
          <w:tcPr>
            <w:tcW w:w="1843" w:type="dxa"/>
          </w:tcPr>
          <w:p w14:paraId="0998F74B"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r>
      <w:tr w:rsidR="004D2FFF" w:rsidRPr="00C328EF" w14:paraId="4D65CEE5" w14:textId="77777777" w:rsidTr="004D2FFF">
        <w:trPr>
          <w:gridBefore w:val="1"/>
          <w:wBefore w:w="30" w:type="dxa"/>
        </w:trPr>
        <w:tc>
          <w:tcPr>
            <w:tcW w:w="2772" w:type="dxa"/>
            <w:gridSpan w:val="2"/>
          </w:tcPr>
          <w:p w14:paraId="42C9F48A" w14:textId="77777777" w:rsidR="004D2FFF" w:rsidRPr="00B6081F" w:rsidRDefault="004D2FFF" w:rsidP="00913F47">
            <w:pPr>
              <w:rPr>
                <w:rFonts w:cs="Arial"/>
                <w:b/>
                <w:sz w:val="18"/>
                <w:szCs w:val="18"/>
              </w:rPr>
            </w:pPr>
            <w:r w:rsidRPr="00B6081F">
              <w:rPr>
                <w:rFonts w:cs="Arial"/>
                <w:b/>
                <w:sz w:val="18"/>
                <w:szCs w:val="18"/>
              </w:rPr>
              <w:t>Equity and liabilities</w:t>
            </w:r>
          </w:p>
        </w:tc>
        <w:tc>
          <w:tcPr>
            <w:tcW w:w="567" w:type="dxa"/>
          </w:tcPr>
          <w:p w14:paraId="58B73616" w14:textId="77777777" w:rsidR="004D2FFF" w:rsidRPr="00B6081F" w:rsidRDefault="004D2FFF" w:rsidP="00913F47">
            <w:pPr>
              <w:jc w:val="both"/>
              <w:rPr>
                <w:rFonts w:cs="Arial"/>
                <w:sz w:val="18"/>
                <w:szCs w:val="18"/>
              </w:rPr>
            </w:pPr>
          </w:p>
        </w:tc>
        <w:tc>
          <w:tcPr>
            <w:tcW w:w="1701" w:type="dxa"/>
            <w:gridSpan w:val="2"/>
          </w:tcPr>
          <w:p w14:paraId="07A2CFAC" w14:textId="77777777" w:rsidR="004D2FFF" w:rsidRPr="00B6081F" w:rsidRDefault="004D2FFF" w:rsidP="00913F47">
            <w:pPr>
              <w:tabs>
                <w:tab w:val="decimal" w:pos="1168"/>
              </w:tabs>
              <w:ind w:right="48"/>
              <w:jc w:val="both"/>
              <w:rPr>
                <w:rFonts w:cs="Arial"/>
                <w:sz w:val="18"/>
                <w:szCs w:val="18"/>
              </w:rPr>
            </w:pPr>
          </w:p>
        </w:tc>
        <w:tc>
          <w:tcPr>
            <w:tcW w:w="1984" w:type="dxa"/>
          </w:tcPr>
          <w:p w14:paraId="0C05BF9F" w14:textId="77777777" w:rsidR="004D2FFF" w:rsidRPr="00C328EF" w:rsidRDefault="004D2FFF" w:rsidP="00913F47">
            <w:pPr>
              <w:tabs>
                <w:tab w:val="decimal" w:pos="1168"/>
              </w:tabs>
              <w:ind w:right="48"/>
              <w:jc w:val="both"/>
              <w:rPr>
                <w:rFonts w:cs="Arial"/>
                <w:sz w:val="18"/>
                <w:szCs w:val="18"/>
                <w:highlight w:val="yellow"/>
              </w:rPr>
            </w:pPr>
          </w:p>
        </w:tc>
        <w:tc>
          <w:tcPr>
            <w:tcW w:w="1701" w:type="dxa"/>
          </w:tcPr>
          <w:p w14:paraId="5394EAD6" w14:textId="77777777" w:rsidR="004D2FFF" w:rsidRPr="00C328EF" w:rsidRDefault="004D2FFF" w:rsidP="00913F47">
            <w:pPr>
              <w:tabs>
                <w:tab w:val="decimal" w:pos="1168"/>
              </w:tabs>
              <w:ind w:left="48" w:right="48"/>
              <w:jc w:val="both"/>
              <w:rPr>
                <w:rFonts w:cs="Arial"/>
                <w:sz w:val="18"/>
                <w:szCs w:val="18"/>
                <w:highlight w:val="yellow"/>
              </w:rPr>
            </w:pPr>
          </w:p>
        </w:tc>
        <w:tc>
          <w:tcPr>
            <w:tcW w:w="1843" w:type="dxa"/>
          </w:tcPr>
          <w:p w14:paraId="1301F6CD" w14:textId="77777777" w:rsidR="004D2FFF" w:rsidRPr="00C328EF" w:rsidRDefault="004D2FFF" w:rsidP="00913F47">
            <w:pPr>
              <w:tabs>
                <w:tab w:val="decimal" w:pos="1168"/>
              </w:tabs>
              <w:ind w:left="48" w:right="48"/>
              <w:jc w:val="both"/>
              <w:rPr>
                <w:rFonts w:cs="Arial"/>
                <w:sz w:val="18"/>
                <w:szCs w:val="18"/>
                <w:highlight w:val="yellow"/>
              </w:rPr>
            </w:pPr>
          </w:p>
        </w:tc>
      </w:tr>
      <w:tr w:rsidR="004D2FFF" w:rsidRPr="00C328EF" w14:paraId="3971BB2C" w14:textId="77777777" w:rsidTr="004D2FFF">
        <w:trPr>
          <w:gridBefore w:val="1"/>
          <w:wBefore w:w="30" w:type="dxa"/>
        </w:trPr>
        <w:tc>
          <w:tcPr>
            <w:tcW w:w="4473" w:type="dxa"/>
            <w:gridSpan w:val="4"/>
          </w:tcPr>
          <w:p w14:paraId="55BEF86A" w14:textId="77777777" w:rsidR="004D2FFF" w:rsidRPr="00B6081F" w:rsidRDefault="004D2FFF" w:rsidP="00913F47">
            <w:pPr>
              <w:rPr>
                <w:rFonts w:cs="Arial"/>
                <w:sz w:val="18"/>
                <w:szCs w:val="18"/>
              </w:rPr>
            </w:pPr>
            <w:r w:rsidRPr="00B6081F">
              <w:rPr>
                <w:rFonts w:cs="Arial"/>
                <w:b/>
                <w:sz w:val="18"/>
                <w:szCs w:val="18"/>
              </w:rPr>
              <w:t xml:space="preserve">Equity attributable to equity holders of the parent </w:t>
            </w:r>
          </w:p>
        </w:tc>
        <w:tc>
          <w:tcPr>
            <w:tcW w:w="567" w:type="dxa"/>
          </w:tcPr>
          <w:p w14:paraId="1A4CD074" w14:textId="77777777" w:rsidR="004D2FFF" w:rsidRPr="00C328EF" w:rsidRDefault="004D2FFF" w:rsidP="00913F47">
            <w:pPr>
              <w:tabs>
                <w:tab w:val="decimal" w:pos="1168"/>
              </w:tabs>
              <w:ind w:right="48"/>
              <w:jc w:val="both"/>
              <w:rPr>
                <w:rFonts w:cs="Arial"/>
                <w:sz w:val="18"/>
                <w:szCs w:val="18"/>
                <w:highlight w:val="yellow"/>
              </w:rPr>
            </w:pPr>
          </w:p>
        </w:tc>
        <w:tc>
          <w:tcPr>
            <w:tcW w:w="1984" w:type="dxa"/>
          </w:tcPr>
          <w:p w14:paraId="0FE5B2BB" w14:textId="77777777" w:rsidR="004D2FFF" w:rsidRPr="00C328EF" w:rsidRDefault="004D2FFF" w:rsidP="00913F47">
            <w:pPr>
              <w:tabs>
                <w:tab w:val="decimal" w:pos="1168"/>
              </w:tabs>
              <w:ind w:right="48"/>
              <w:jc w:val="both"/>
              <w:rPr>
                <w:rFonts w:cs="Arial"/>
                <w:sz w:val="18"/>
                <w:szCs w:val="18"/>
                <w:highlight w:val="yellow"/>
              </w:rPr>
            </w:pPr>
          </w:p>
        </w:tc>
        <w:tc>
          <w:tcPr>
            <w:tcW w:w="1701" w:type="dxa"/>
          </w:tcPr>
          <w:p w14:paraId="7A06796F" w14:textId="77777777" w:rsidR="004D2FFF" w:rsidRPr="00C328EF" w:rsidRDefault="004D2FFF" w:rsidP="00913F47">
            <w:pPr>
              <w:tabs>
                <w:tab w:val="decimal" w:pos="1168"/>
              </w:tabs>
              <w:ind w:right="48"/>
              <w:jc w:val="both"/>
              <w:rPr>
                <w:rFonts w:cs="Arial"/>
                <w:sz w:val="18"/>
                <w:szCs w:val="18"/>
                <w:highlight w:val="yellow"/>
              </w:rPr>
            </w:pPr>
          </w:p>
        </w:tc>
        <w:tc>
          <w:tcPr>
            <w:tcW w:w="1843" w:type="dxa"/>
          </w:tcPr>
          <w:p w14:paraId="656D9ECB" w14:textId="77777777" w:rsidR="004D2FFF" w:rsidRPr="00C328EF" w:rsidRDefault="004D2FFF" w:rsidP="00913F47">
            <w:pPr>
              <w:tabs>
                <w:tab w:val="decimal" w:pos="1168"/>
              </w:tabs>
              <w:ind w:left="48" w:right="48"/>
              <w:jc w:val="both"/>
              <w:rPr>
                <w:rFonts w:cs="Arial"/>
                <w:sz w:val="18"/>
                <w:szCs w:val="18"/>
                <w:highlight w:val="yellow"/>
              </w:rPr>
            </w:pPr>
          </w:p>
        </w:tc>
      </w:tr>
      <w:tr w:rsidR="004D2FFF" w:rsidRPr="00C328EF" w14:paraId="71F8CA74" w14:textId="77777777" w:rsidTr="004D2FFF">
        <w:trPr>
          <w:gridBefore w:val="1"/>
          <w:wBefore w:w="30" w:type="dxa"/>
        </w:trPr>
        <w:tc>
          <w:tcPr>
            <w:tcW w:w="2772" w:type="dxa"/>
            <w:gridSpan w:val="2"/>
          </w:tcPr>
          <w:p w14:paraId="5B265043" w14:textId="77777777" w:rsidR="004D2FFF" w:rsidRPr="00C328EF" w:rsidRDefault="004D2FFF" w:rsidP="00A10A6D">
            <w:pPr>
              <w:rPr>
                <w:rFonts w:cs="Arial"/>
                <w:sz w:val="18"/>
                <w:szCs w:val="18"/>
                <w:highlight w:val="yellow"/>
              </w:rPr>
            </w:pPr>
            <w:r w:rsidRPr="00B6081F">
              <w:rPr>
                <w:rFonts w:cs="Arial"/>
                <w:sz w:val="18"/>
                <w:szCs w:val="18"/>
              </w:rPr>
              <w:t>Share capital</w:t>
            </w:r>
          </w:p>
        </w:tc>
        <w:tc>
          <w:tcPr>
            <w:tcW w:w="567" w:type="dxa"/>
          </w:tcPr>
          <w:p w14:paraId="67E20CE7" w14:textId="77777777" w:rsidR="004D2FFF" w:rsidRPr="0047306F" w:rsidRDefault="004D2FFF" w:rsidP="00A10A6D">
            <w:pPr>
              <w:jc w:val="both"/>
              <w:rPr>
                <w:rFonts w:cs="Arial"/>
                <w:sz w:val="18"/>
                <w:szCs w:val="18"/>
              </w:rPr>
            </w:pPr>
            <w:r w:rsidRPr="0047306F">
              <w:rPr>
                <w:rFonts w:cs="Arial"/>
                <w:sz w:val="18"/>
                <w:szCs w:val="18"/>
              </w:rPr>
              <w:t>18</w:t>
            </w:r>
          </w:p>
        </w:tc>
        <w:tc>
          <w:tcPr>
            <w:tcW w:w="1701" w:type="dxa"/>
            <w:gridSpan w:val="2"/>
          </w:tcPr>
          <w:p w14:paraId="6615EFB4" w14:textId="77777777" w:rsidR="004D2FFF" w:rsidRPr="00C328EF" w:rsidRDefault="004D2FFF" w:rsidP="00A10A6D">
            <w:pPr>
              <w:tabs>
                <w:tab w:val="decimal" w:pos="1168"/>
              </w:tabs>
              <w:ind w:right="48"/>
              <w:jc w:val="both"/>
              <w:rPr>
                <w:rFonts w:cs="Arial"/>
                <w:sz w:val="18"/>
                <w:szCs w:val="18"/>
                <w:highlight w:val="yellow"/>
              </w:rPr>
            </w:pPr>
            <w:r w:rsidRPr="00B6081F">
              <w:rPr>
                <w:rFonts w:cs="Arial"/>
                <w:sz w:val="18"/>
                <w:szCs w:val="18"/>
              </w:rPr>
              <w:t>61,878</w:t>
            </w:r>
          </w:p>
        </w:tc>
        <w:tc>
          <w:tcPr>
            <w:tcW w:w="1984" w:type="dxa"/>
          </w:tcPr>
          <w:p w14:paraId="7299BAE8"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53,878</w:t>
            </w:r>
          </w:p>
        </w:tc>
        <w:tc>
          <w:tcPr>
            <w:tcW w:w="1701" w:type="dxa"/>
          </w:tcPr>
          <w:p w14:paraId="0EA4536A" w14:textId="77777777" w:rsidR="004D2FFF" w:rsidRPr="00C328EF" w:rsidRDefault="004D2FFF" w:rsidP="00A10A6D">
            <w:pPr>
              <w:tabs>
                <w:tab w:val="decimal" w:pos="1168"/>
              </w:tabs>
              <w:ind w:left="48" w:right="48"/>
              <w:jc w:val="both"/>
              <w:rPr>
                <w:rFonts w:cs="Arial"/>
                <w:sz w:val="18"/>
                <w:szCs w:val="18"/>
                <w:highlight w:val="yellow"/>
              </w:rPr>
            </w:pPr>
            <w:r w:rsidRPr="00B6081F">
              <w:rPr>
                <w:rFonts w:cs="Arial"/>
                <w:sz w:val="18"/>
                <w:szCs w:val="18"/>
              </w:rPr>
              <w:t>61,878</w:t>
            </w:r>
          </w:p>
        </w:tc>
        <w:tc>
          <w:tcPr>
            <w:tcW w:w="1843" w:type="dxa"/>
          </w:tcPr>
          <w:p w14:paraId="5120CA2C"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53,878</w:t>
            </w:r>
          </w:p>
        </w:tc>
      </w:tr>
      <w:tr w:rsidR="004D2FFF" w:rsidRPr="00C328EF" w14:paraId="5997559A" w14:textId="77777777" w:rsidTr="004D2FFF">
        <w:trPr>
          <w:gridBefore w:val="1"/>
          <w:wBefore w:w="30" w:type="dxa"/>
        </w:trPr>
        <w:tc>
          <w:tcPr>
            <w:tcW w:w="2772" w:type="dxa"/>
            <w:gridSpan w:val="2"/>
          </w:tcPr>
          <w:p w14:paraId="707BC77D" w14:textId="77777777" w:rsidR="004D2FFF" w:rsidRPr="00B6081F" w:rsidRDefault="004D2FFF" w:rsidP="00A10A6D">
            <w:pPr>
              <w:rPr>
                <w:rFonts w:cs="Arial"/>
                <w:sz w:val="18"/>
                <w:szCs w:val="18"/>
              </w:rPr>
            </w:pPr>
            <w:r w:rsidRPr="00B6081F">
              <w:rPr>
                <w:rFonts w:cs="Arial"/>
                <w:sz w:val="18"/>
                <w:szCs w:val="18"/>
              </w:rPr>
              <w:t>Revaluation reserve</w:t>
            </w:r>
          </w:p>
        </w:tc>
        <w:tc>
          <w:tcPr>
            <w:tcW w:w="567" w:type="dxa"/>
          </w:tcPr>
          <w:p w14:paraId="57A0F048" w14:textId="77777777" w:rsidR="004D2FFF" w:rsidRPr="0047306F" w:rsidRDefault="004D2FFF" w:rsidP="00A10A6D">
            <w:pPr>
              <w:jc w:val="both"/>
              <w:rPr>
                <w:rFonts w:cs="Arial"/>
                <w:sz w:val="18"/>
                <w:szCs w:val="18"/>
              </w:rPr>
            </w:pPr>
            <w:r w:rsidRPr="0047306F">
              <w:rPr>
                <w:rFonts w:cs="Arial"/>
                <w:sz w:val="18"/>
                <w:szCs w:val="18"/>
              </w:rPr>
              <w:t>19</w:t>
            </w:r>
          </w:p>
        </w:tc>
        <w:tc>
          <w:tcPr>
            <w:tcW w:w="1701" w:type="dxa"/>
            <w:gridSpan w:val="2"/>
          </w:tcPr>
          <w:p w14:paraId="542EED52" w14:textId="77777777" w:rsidR="004D2FFF" w:rsidRPr="00C328EF" w:rsidRDefault="004D2FFF" w:rsidP="00A10A6D">
            <w:pPr>
              <w:tabs>
                <w:tab w:val="decimal" w:pos="1168"/>
              </w:tabs>
              <w:ind w:right="48"/>
              <w:jc w:val="both"/>
              <w:rPr>
                <w:rFonts w:cs="Arial"/>
                <w:sz w:val="18"/>
                <w:szCs w:val="18"/>
                <w:highlight w:val="yellow"/>
              </w:rPr>
            </w:pPr>
            <w:r w:rsidRPr="00002C01">
              <w:rPr>
                <w:rFonts w:cs="Arial"/>
                <w:sz w:val="18"/>
                <w:szCs w:val="18"/>
              </w:rPr>
              <w:t>20,862</w:t>
            </w:r>
          </w:p>
        </w:tc>
        <w:tc>
          <w:tcPr>
            <w:tcW w:w="1984" w:type="dxa"/>
          </w:tcPr>
          <w:p w14:paraId="27534399"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20,816</w:t>
            </w:r>
          </w:p>
        </w:tc>
        <w:tc>
          <w:tcPr>
            <w:tcW w:w="1701" w:type="dxa"/>
          </w:tcPr>
          <w:p w14:paraId="40551222"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c>
          <w:tcPr>
            <w:tcW w:w="1843" w:type="dxa"/>
          </w:tcPr>
          <w:p w14:paraId="1AA57C1E"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54935171" w14:textId="77777777" w:rsidTr="004D2FFF">
        <w:trPr>
          <w:gridBefore w:val="1"/>
          <w:wBefore w:w="30" w:type="dxa"/>
        </w:trPr>
        <w:tc>
          <w:tcPr>
            <w:tcW w:w="2772" w:type="dxa"/>
            <w:gridSpan w:val="2"/>
          </w:tcPr>
          <w:p w14:paraId="1DBBD275" w14:textId="77777777" w:rsidR="004D2FFF" w:rsidRPr="00B6081F" w:rsidRDefault="004D2FFF" w:rsidP="00A10A6D">
            <w:pPr>
              <w:rPr>
                <w:rFonts w:cs="Arial"/>
                <w:sz w:val="18"/>
                <w:szCs w:val="18"/>
              </w:rPr>
            </w:pPr>
            <w:r w:rsidRPr="00B6081F">
              <w:rPr>
                <w:rFonts w:cs="Arial"/>
                <w:sz w:val="18"/>
                <w:szCs w:val="18"/>
              </w:rPr>
              <w:t>Other reserves</w:t>
            </w:r>
          </w:p>
        </w:tc>
        <w:tc>
          <w:tcPr>
            <w:tcW w:w="567" w:type="dxa"/>
          </w:tcPr>
          <w:p w14:paraId="4985A05B" w14:textId="77777777" w:rsidR="004D2FFF" w:rsidRPr="0047306F" w:rsidRDefault="004D2FFF" w:rsidP="00A10A6D">
            <w:pPr>
              <w:jc w:val="both"/>
              <w:rPr>
                <w:rFonts w:cs="Arial"/>
                <w:sz w:val="18"/>
                <w:szCs w:val="18"/>
              </w:rPr>
            </w:pPr>
            <w:r w:rsidRPr="0047306F">
              <w:rPr>
                <w:rFonts w:cs="Arial"/>
                <w:sz w:val="18"/>
                <w:szCs w:val="18"/>
              </w:rPr>
              <w:t>19</w:t>
            </w:r>
          </w:p>
        </w:tc>
        <w:tc>
          <w:tcPr>
            <w:tcW w:w="1701" w:type="dxa"/>
            <w:gridSpan w:val="2"/>
          </w:tcPr>
          <w:p w14:paraId="26659256"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59,929</w:t>
            </w:r>
          </w:p>
        </w:tc>
        <w:tc>
          <w:tcPr>
            <w:tcW w:w="1984" w:type="dxa"/>
          </w:tcPr>
          <w:p w14:paraId="21ABA777"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59,929</w:t>
            </w:r>
          </w:p>
        </w:tc>
        <w:tc>
          <w:tcPr>
            <w:tcW w:w="1701" w:type="dxa"/>
          </w:tcPr>
          <w:p w14:paraId="514438E0"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c>
          <w:tcPr>
            <w:tcW w:w="1843" w:type="dxa"/>
          </w:tcPr>
          <w:p w14:paraId="4146CF81"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5630790F" w14:textId="77777777" w:rsidTr="004D2FFF">
        <w:trPr>
          <w:gridBefore w:val="1"/>
          <w:wBefore w:w="30" w:type="dxa"/>
        </w:trPr>
        <w:tc>
          <w:tcPr>
            <w:tcW w:w="2772" w:type="dxa"/>
            <w:gridSpan w:val="2"/>
          </w:tcPr>
          <w:p w14:paraId="32A84421" w14:textId="77777777" w:rsidR="004D2FFF" w:rsidRPr="00B6081F" w:rsidRDefault="004D2FFF" w:rsidP="00A10A6D">
            <w:pPr>
              <w:rPr>
                <w:rFonts w:cs="Arial"/>
                <w:sz w:val="18"/>
                <w:szCs w:val="18"/>
              </w:rPr>
            </w:pPr>
            <w:r w:rsidRPr="00B6081F">
              <w:rPr>
                <w:rFonts w:cs="Arial"/>
                <w:sz w:val="18"/>
                <w:szCs w:val="18"/>
              </w:rPr>
              <w:t>Retained earnings</w:t>
            </w:r>
          </w:p>
        </w:tc>
        <w:tc>
          <w:tcPr>
            <w:tcW w:w="567" w:type="dxa"/>
          </w:tcPr>
          <w:p w14:paraId="7C4A64ED" w14:textId="77777777" w:rsidR="004D2FFF" w:rsidRPr="0047306F" w:rsidRDefault="004D2FFF" w:rsidP="00A10A6D">
            <w:pPr>
              <w:jc w:val="both"/>
              <w:rPr>
                <w:rFonts w:cs="Arial"/>
                <w:sz w:val="18"/>
                <w:szCs w:val="18"/>
              </w:rPr>
            </w:pPr>
            <w:r w:rsidRPr="0047306F">
              <w:rPr>
                <w:rFonts w:cs="Arial"/>
                <w:sz w:val="18"/>
                <w:szCs w:val="18"/>
              </w:rPr>
              <w:t>19</w:t>
            </w:r>
          </w:p>
        </w:tc>
        <w:tc>
          <w:tcPr>
            <w:tcW w:w="1701" w:type="dxa"/>
            <w:gridSpan w:val="2"/>
          </w:tcPr>
          <w:p w14:paraId="4D0EC81D"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(19,042)</w:t>
            </w:r>
          </w:p>
        </w:tc>
        <w:tc>
          <w:tcPr>
            <w:tcW w:w="1984" w:type="dxa"/>
          </w:tcPr>
          <w:p w14:paraId="4B1FEFA7"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3,496</w:t>
            </w:r>
          </w:p>
        </w:tc>
        <w:tc>
          <w:tcPr>
            <w:tcW w:w="1701" w:type="dxa"/>
          </w:tcPr>
          <w:p w14:paraId="2339C1D2" w14:textId="77777777" w:rsidR="004D2FFF" w:rsidRPr="00C328EF" w:rsidRDefault="004D2FFF" w:rsidP="00A10A6D">
            <w:pPr>
              <w:tabs>
                <w:tab w:val="decimal" w:pos="1168"/>
              </w:tabs>
              <w:ind w:left="48" w:right="48"/>
              <w:jc w:val="both"/>
              <w:rPr>
                <w:rFonts w:cs="Arial"/>
                <w:sz w:val="18"/>
                <w:szCs w:val="18"/>
                <w:highlight w:val="yellow"/>
              </w:rPr>
            </w:pPr>
            <w:r w:rsidRPr="005B5B2A">
              <w:rPr>
                <w:rFonts w:cs="Arial"/>
                <w:sz w:val="18"/>
                <w:szCs w:val="18"/>
              </w:rPr>
              <w:t>(55,</w:t>
            </w:r>
            <w:r>
              <w:rPr>
                <w:rFonts w:cs="Arial"/>
                <w:sz w:val="18"/>
                <w:szCs w:val="18"/>
              </w:rPr>
              <w:t>756</w:t>
            </w:r>
            <w:r w:rsidRPr="005B5B2A">
              <w:rPr>
                <w:rFonts w:cs="Arial"/>
                <w:sz w:val="18"/>
                <w:szCs w:val="18"/>
              </w:rPr>
              <w:t>)</w:t>
            </w:r>
          </w:p>
        </w:tc>
        <w:tc>
          <w:tcPr>
            <w:tcW w:w="1843" w:type="dxa"/>
          </w:tcPr>
          <w:p w14:paraId="79CD5B32"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(44,665)</w:t>
            </w:r>
          </w:p>
        </w:tc>
      </w:tr>
      <w:tr w:rsidR="004D2FFF" w:rsidRPr="00C328EF" w14:paraId="32400A29" w14:textId="77777777" w:rsidTr="004D2FFF">
        <w:trPr>
          <w:gridBefore w:val="1"/>
          <w:wBefore w:w="30" w:type="dxa"/>
        </w:trPr>
        <w:tc>
          <w:tcPr>
            <w:tcW w:w="2772" w:type="dxa"/>
            <w:gridSpan w:val="2"/>
          </w:tcPr>
          <w:p w14:paraId="1CA123DF" w14:textId="77777777" w:rsidR="004D2FFF" w:rsidRPr="00B6081F" w:rsidRDefault="004D2FFF" w:rsidP="00A10A6D">
            <w:pPr>
              <w:rPr>
                <w:rFonts w:cs="Arial"/>
                <w:sz w:val="18"/>
                <w:szCs w:val="18"/>
              </w:rPr>
            </w:pPr>
            <w:r w:rsidRPr="00B6081F">
              <w:rPr>
                <w:rFonts w:cs="Arial"/>
                <w:sz w:val="18"/>
                <w:szCs w:val="18"/>
              </w:rPr>
              <w:t>Hedging reserve</w:t>
            </w:r>
          </w:p>
        </w:tc>
        <w:tc>
          <w:tcPr>
            <w:tcW w:w="567" w:type="dxa"/>
          </w:tcPr>
          <w:p w14:paraId="6CE9D94E" w14:textId="77777777" w:rsidR="004D2FFF" w:rsidRPr="0047306F" w:rsidRDefault="004D2FFF" w:rsidP="00A10A6D">
            <w:pPr>
              <w:jc w:val="both"/>
              <w:rPr>
                <w:rFonts w:cs="Arial"/>
                <w:sz w:val="18"/>
                <w:szCs w:val="18"/>
              </w:rPr>
            </w:pPr>
            <w:r w:rsidRPr="0047306F">
              <w:rPr>
                <w:rFonts w:cs="Arial"/>
                <w:sz w:val="18"/>
                <w:szCs w:val="18"/>
              </w:rPr>
              <w:t>19</w:t>
            </w:r>
          </w:p>
        </w:tc>
        <w:tc>
          <w:tcPr>
            <w:tcW w:w="1701" w:type="dxa"/>
            <w:gridSpan w:val="2"/>
          </w:tcPr>
          <w:p w14:paraId="6242877C"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(346)</w:t>
            </w:r>
          </w:p>
        </w:tc>
        <w:tc>
          <w:tcPr>
            <w:tcW w:w="1984" w:type="dxa"/>
          </w:tcPr>
          <w:p w14:paraId="2D548D85"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(1,165)</w:t>
            </w:r>
          </w:p>
        </w:tc>
        <w:tc>
          <w:tcPr>
            <w:tcW w:w="1701" w:type="dxa"/>
          </w:tcPr>
          <w:p w14:paraId="1FC5E941"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c>
          <w:tcPr>
            <w:tcW w:w="1843" w:type="dxa"/>
          </w:tcPr>
          <w:p w14:paraId="06923676"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699D29C1" w14:textId="77777777" w:rsidTr="004D2FFF">
        <w:trPr>
          <w:gridBefore w:val="1"/>
          <w:wBefore w:w="30" w:type="dxa"/>
        </w:trPr>
        <w:tc>
          <w:tcPr>
            <w:tcW w:w="2772" w:type="dxa"/>
            <w:gridSpan w:val="2"/>
          </w:tcPr>
          <w:p w14:paraId="5DD290B3" w14:textId="77777777" w:rsidR="004D2FFF" w:rsidRPr="00B6081F" w:rsidRDefault="004D2FFF" w:rsidP="00A10A6D">
            <w:pPr>
              <w:rPr>
                <w:rFonts w:cs="Arial"/>
                <w:sz w:val="18"/>
                <w:szCs w:val="18"/>
              </w:rPr>
            </w:pPr>
            <w:r w:rsidRPr="00B6081F">
              <w:rPr>
                <w:rFonts w:cs="Arial"/>
                <w:sz w:val="18"/>
                <w:szCs w:val="18"/>
              </w:rPr>
              <w:t>Non-controlling interest</w:t>
            </w:r>
          </w:p>
        </w:tc>
        <w:tc>
          <w:tcPr>
            <w:tcW w:w="567" w:type="dxa"/>
          </w:tcPr>
          <w:p w14:paraId="7205F9A4" w14:textId="77777777" w:rsidR="004D2FFF" w:rsidRPr="0047306F" w:rsidRDefault="004D2FFF" w:rsidP="00A10A6D">
            <w:pPr>
              <w:jc w:val="both"/>
              <w:rPr>
                <w:rFonts w:cs="Arial"/>
                <w:sz w:val="18"/>
                <w:szCs w:val="18"/>
              </w:rPr>
            </w:pPr>
            <w:r w:rsidRPr="0047306F">
              <w:rPr>
                <w:rFonts w:cs="Arial"/>
                <w:sz w:val="18"/>
                <w:szCs w:val="18"/>
              </w:rPr>
              <w:t>20</w:t>
            </w:r>
          </w:p>
        </w:tc>
        <w:tc>
          <w:tcPr>
            <w:tcW w:w="1701" w:type="dxa"/>
            <w:gridSpan w:val="2"/>
          </w:tcPr>
          <w:p w14:paraId="6A4707E1"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12,966</w:t>
            </w:r>
          </w:p>
        </w:tc>
        <w:tc>
          <w:tcPr>
            <w:tcW w:w="1984" w:type="dxa"/>
          </w:tcPr>
          <w:p w14:paraId="420633F5"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13,849</w:t>
            </w:r>
          </w:p>
        </w:tc>
        <w:tc>
          <w:tcPr>
            <w:tcW w:w="1701" w:type="dxa"/>
          </w:tcPr>
          <w:p w14:paraId="03040318"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c>
          <w:tcPr>
            <w:tcW w:w="1843" w:type="dxa"/>
          </w:tcPr>
          <w:p w14:paraId="4BF74EF7"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629C68DF" w14:textId="77777777" w:rsidTr="004D2FFF">
        <w:trPr>
          <w:gridBefore w:val="1"/>
          <w:wBefore w:w="30" w:type="dxa"/>
        </w:trPr>
        <w:tc>
          <w:tcPr>
            <w:tcW w:w="2772" w:type="dxa"/>
            <w:gridSpan w:val="2"/>
          </w:tcPr>
          <w:p w14:paraId="4D57C1A8" w14:textId="77777777" w:rsidR="004D2FFF" w:rsidRPr="00C328EF" w:rsidRDefault="004D2FFF" w:rsidP="00A10A6D">
            <w:pPr>
              <w:rPr>
                <w:rFonts w:cs="Arial"/>
                <w:sz w:val="18"/>
                <w:szCs w:val="18"/>
                <w:highlight w:val="yellow"/>
              </w:rPr>
            </w:pPr>
          </w:p>
        </w:tc>
        <w:tc>
          <w:tcPr>
            <w:tcW w:w="567" w:type="dxa"/>
          </w:tcPr>
          <w:p w14:paraId="3AAD1D21" w14:textId="77777777" w:rsidR="004D2FFF" w:rsidRPr="00C328EF" w:rsidRDefault="004D2FFF" w:rsidP="00A10A6D">
            <w:pPr>
              <w:jc w:val="both"/>
              <w:rPr>
                <w:rFonts w:cs="Arial"/>
                <w:sz w:val="18"/>
                <w:szCs w:val="18"/>
                <w:highlight w:val="yellow"/>
              </w:rPr>
            </w:pPr>
          </w:p>
        </w:tc>
        <w:tc>
          <w:tcPr>
            <w:tcW w:w="1701" w:type="dxa"/>
            <w:gridSpan w:val="2"/>
          </w:tcPr>
          <w:p w14:paraId="1E433F53" w14:textId="77777777" w:rsidR="004D2FFF" w:rsidRPr="00002C01" w:rsidRDefault="004D2FFF" w:rsidP="00A10A6D">
            <w:pPr>
              <w:tabs>
                <w:tab w:val="decimal" w:pos="1168"/>
              </w:tabs>
              <w:ind w:right="48"/>
              <w:jc w:val="both"/>
              <w:rPr>
                <w:rFonts w:cs="Arial"/>
                <w:sz w:val="18"/>
                <w:szCs w:val="18"/>
              </w:rPr>
            </w:pPr>
            <w:r w:rsidRPr="00002C01">
              <w:rPr>
                <w:rFonts w:cs="Arial"/>
                <w:spacing w:val="-2"/>
                <w:sz w:val="18"/>
                <w:szCs w:val="18"/>
              </w:rPr>
              <w:t>───────</w:t>
            </w:r>
          </w:p>
        </w:tc>
        <w:tc>
          <w:tcPr>
            <w:tcW w:w="1984" w:type="dxa"/>
          </w:tcPr>
          <w:p w14:paraId="14E11FCF" w14:textId="77777777" w:rsidR="004D2FFF" w:rsidRPr="00A10A6D" w:rsidRDefault="004D2FFF" w:rsidP="00A10A6D">
            <w:pPr>
              <w:tabs>
                <w:tab w:val="decimal" w:pos="1168"/>
              </w:tabs>
              <w:ind w:right="48"/>
              <w:jc w:val="both"/>
              <w:rPr>
                <w:rFonts w:cs="Arial"/>
                <w:sz w:val="18"/>
                <w:szCs w:val="18"/>
              </w:rPr>
            </w:pPr>
            <w:r w:rsidRPr="00A10A6D">
              <w:rPr>
                <w:rFonts w:cs="Arial"/>
                <w:spacing w:val="-2"/>
                <w:sz w:val="18"/>
                <w:szCs w:val="18"/>
              </w:rPr>
              <w:t>───────</w:t>
            </w:r>
          </w:p>
        </w:tc>
        <w:tc>
          <w:tcPr>
            <w:tcW w:w="1701" w:type="dxa"/>
          </w:tcPr>
          <w:p w14:paraId="1B8DF4B6"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c>
          <w:tcPr>
            <w:tcW w:w="1843" w:type="dxa"/>
          </w:tcPr>
          <w:p w14:paraId="2FF1998C"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0036A7F1" w14:textId="77777777" w:rsidTr="004D2FFF">
        <w:trPr>
          <w:gridBefore w:val="1"/>
          <w:wBefore w:w="30" w:type="dxa"/>
        </w:trPr>
        <w:tc>
          <w:tcPr>
            <w:tcW w:w="2772" w:type="dxa"/>
            <w:gridSpan w:val="2"/>
          </w:tcPr>
          <w:p w14:paraId="25702B20" w14:textId="77777777" w:rsidR="004D2FFF" w:rsidRPr="00C328EF" w:rsidRDefault="004D2FFF" w:rsidP="00A10A6D">
            <w:pPr>
              <w:rPr>
                <w:rFonts w:cs="Arial"/>
                <w:b/>
                <w:sz w:val="18"/>
                <w:szCs w:val="18"/>
                <w:highlight w:val="yellow"/>
              </w:rPr>
            </w:pPr>
          </w:p>
        </w:tc>
        <w:tc>
          <w:tcPr>
            <w:tcW w:w="567" w:type="dxa"/>
          </w:tcPr>
          <w:p w14:paraId="5B33249E" w14:textId="77777777" w:rsidR="004D2FFF" w:rsidRPr="00C328EF" w:rsidRDefault="004D2FFF" w:rsidP="00A10A6D">
            <w:pPr>
              <w:jc w:val="both"/>
              <w:rPr>
                <w:rFonts w:cs="Arial"/>
                <w:sz w:val="18"/>
                <w:szCs w:val="18"/>
                <w:highlight w:val="yellow"/>
              </w:rPr>
            </w:pPr>
          </w:p>
        </w:tc>
        <w:tc>
          <w:tcPr>
            <w:tcW w:w="1701" w:type="dxa"/>
            <w:gridSpan w:val="2"/>
          </w:tcPr>
          <w:p w14:paraId="5410B1DD"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136,247</w:t>
            </w:r>
          </w:p>
        </w:tc>
        <w:tc>
          <w:tcPr>
            <w:tcW w:w="1984" w:type="dxa"/>
          </w:tcPr>
          <w:p w14:paraId="1F845DC7"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150,803</w:t>
            </w:r>
          </w:p>
        </w:tc>
        <w:tc>
          <w:tcPr>
            <w:tcW w:w="1701" w:type="dxa"/>
          </w:tcPr>
          <w:p w14:paraId="340E63C0"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6,</w:t>
            </w:r>
            <w:r>
              <w:rPr>
                <w:rFonts w:cs="Arial"/>
                <w:sz w:val="18"/>
                <w:szCs w:val="18"/>
              </w:rPr>
              <w:t>122</w:t>
            </w:r>
          </w:p>
        </w:tc>
        <w:tc>
          <w:tcPr>
            <w:tcW w:w="1843" w:type="dxa"/>
          </w:tcPr>
          <w:p w14:paraId="27158907"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9,213</w:t>
            </w:r>
          </w:p>
        </w:tc>
      </w:tr>
      <w:tr w:rsidR="004D2FFF" w:rsidRPr="00C328EF" w14:paraId="1C1FEED5" w14:textId="77777777" w:rsidTr="004D2FFF">
        <w:trPr>
          <w:gridBefore w:val="1"/>
          <w:wBefore w:w="30" w:type="dxa"/>
        </w:trPr>
        <w:tc>
          <w:tcPr>
            <w:tcW w:w="2772" w:type="dxa"/>
            <w:gridSpan w:val="2"/>
          </w:tcPr>
          <w:p w14:paraId="4BD56639" w14:textId="77777777" w:rsidR="004D2FFF" w:rsidRPr="00C328EF" w:rsidRDefault="004D2FFF" w:rsidP="00A10A6D">
            <w:pPr>
              <w:rPr>
                <w:rFonts w:cs="Arial"/>
                <w:b/>
                <w:sz w:val="18"/>
                <w:szCs w:val="18"/>
                <w:highlight w:val="yellow"/>
              </w:rPr>
            </w:pPr>
          </w:p>
        </w:tc>
        <w:tc>
          <w:tcPr>
            <w:tcW w:w="567" w:type="dxa"/>
          </w:tcPr>
          <w:p w14:paraId="54BF6FD9" w14:textId="77777777" w:rsidR="004D2FFF" w:rsidRPr="00C328EF" w:rsidRDefault="004D2FFF" w:rsidP="00A10A6D">
            <w:pPr>
              <w:jc w:val="both"/>
              <w:rPr>
                <w:rFonts w:cs="Arial"/>
                <w:sz w:val="18"/>
                <w:szCs w:val="18"/>
                <w:highlight w:val="yellow"/>
              </w:rPr>
            </w:pPr>
          </w:p>
        </w:tc>
        <w:tc>
          <w:tcPr>
            <w:tcW w:w="1701" w:type="dxa"/>
            <w:gridSpan w:val="2"/>
          </w:tcPr>
          <w:p w14:paraId="4F32C993"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w:t>
            </w:r>
          </w:p>
        </w:tc>
        <w:tc>
          <w:tcPr>
            <w:tcW w:w="1984" w:type="dxa"/>
          </w:tcPr>
          <w:p w14:paraId="6A6BDBE6"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w:t>
            </w:r>
          </w:p>
        </w:tc>
        <w:tc>
          <w:tcPr>
            <w:tcW w:w="1701" w:type="dxa"/>
          </w:tcPr>
          <w:p w14:paraId="46DFFC0B"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w:t>
            </w:r>
          </w:p>
        </w:tc>
        <w:tc>
          <w:tcPr>
            <w:tcW w:w="1843" w:type="dxa"/>
          </w:tcPr>
          <w:p w14:paraId="19D504A5"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5396794A" w14:textId="77777777" w:rsidTr="004D2FFF">
        <w:trPr>
          <w:gridBefore w:val="1"/>
          <w:wBefore w:w="30" w:type="dxa"/>
        </w:trPr>
        <w:tc>
          <w:tcPr>
            <w:tcW w:w="2772" w:type="dxa"/>
            <w:gridSpan w:val="2"/>
          </w:tcPr>
          <w:p w14:paraId="101A2066" w14:textId="77777777" w:rsidR="004D2FFF" w:rsidRPr="00B6081F" w:rsidRDefault="004D2FFF" w:rsidP="00E70ECE">
            <w:pPr>
              <w:rPr>
                <w:rFonts w:cs="Arial"/>
                <w:b/>
                <w:sz w:val="18"/>
                <w:szCs w:val="18"/>
              </w:rPr>
            </w:pPr>
            <w:r w:rsidRPr="00B6081F">
              <w:rPr>
                <w:rFonts w:cs="Arial"/>
                <w:b/>
                <w:sz w:val="18"/>
                <w:szCs w:val="18"/>
              </w:rPr>
              <w:t>Liabilities</w:t>
            </w:r>
          </w:p>
        </w:tc>
        <w:tc>
          <w:tcPr>
            <w:tcW w:w="567" w:type="dxa"/>
          </w:tcPr>
          <w:p w14:paraId="55599350" w14:textId="77777777" w:rsidR="004D2FFF" w:rsidRPr="00C328EF" w:rsidRDefault="004D2FFF" w:rsidP="00E70ECE">
            <w:pPr>
              <w:jc w:val="both"/>
              <w:rPr>
                <w:rFonts w:cs="Arial"/>
                <w:sz w:val="18"/>
                <w:szCs w:val="18"/>
                <w:highlight w:val="yellow"/>
              </w:rPr>
            </w:pPr>
          </w:p>
        </w:tc>
        <w:tc>
          <w:tcPr>
            <w:tcW w:w="1701" w:type="dxa"/>
            <w:gridSpan w:val="2"/>
          </w:tcPr>
          <w:p w14:paraId="68754EFC" w14:textId="77777777" w:rsidR="004D2FFF" w:rsidRPr="00C328EF" w:rsidRDefault="004D2FFF" w:rsidP="00E70ECE">
            <w:pPr>
              <w:tabs>
                <w:tab w:val="decimal" w:pos="1168"/>
              </w:tabs>
              <w:ind w:right="48"/>
              <w:jc w:val="both"/>
              <w:rPr>
                <w:rFonts w:cs="Arial"/>
                <w:sz w:val="18"/>
                <w:szCs w:val="18"/>
                <w:highlight w:val="yellow"/>
              </w:rPr>
            </w:pPr>
          </w:p>
        </w:tc>
        <w:tc>
          <w:tcPr>
            <w:tcW w:w="1984" w:type="dxa"/>
          </w:tcPr>
          <w:p w14:paraId="7763FB1A" w14:textId="77777777" w:rsidR="004D2FFF" w:rsidRPr="00C328EF" w:rsidRDefault="004D2FFF" w:rsidP="00E70ECE">
            <w:pPr>
              <w:tabs>
                <w:tab w:val="decimal" w:pos="1168"/>
              </w:tabs>
              <w:ind w:right="48"/>
              <w:jc w:val="both"/>
              <w:rPr>
                <w:rFonts w:cs="Arial"/>
                <w:sz w:val="18"/>
                <w:szCs w:val="18"/>
                <w:highlight w:val="yellow"/>
              </w:rPr>
            </w:pPr>
          </w:p>
        </w:tc>
        <w:tc>
          <w:tcPr>
            <w:tcW w:w="1701" w:type="dxa"/>
          </w:tcPr>
          <w:p w14:paraId="51A50151" w14:textId="77777777" w:rsidR="004D2FFF" w:rsidRPr="005B5B2A" w:rsidRDefault="004D2FFF" w:rsidP="00E70ECE">
            <w:pPr>
              <w:tabs>
                <w:tab w:val="decimal" w:pos="1168"/>
              </w:tabs>
              <w:ind w:left="48" w:right="48"/>
              <w:jc w:val="both"/>
              <w:rPr>
                <w:rFonts w:cs="Arial"/>
                <w:sz w:val="18"/>
                <w:szCs w:val="18"/>
              </w:rPr>
            </w:pPr>
          </w:p>
        </w:tc>
        <w:tc>
          <w:tcPr>
            <w:tcW w:w="1843" w:type="dxa"/>
          </w:tcPr>
          <w:p w14:paraId="4230576B" w14:textId="77777777" w:rsidR="004D2FFF" w:rsidRPr="00E70ECE" w:rsidRDefault="004D2FFF" w:rsidP="00E70ECE">
            <w:pPr>
              <w:tabs>
                <w:tab w:val="decimal" w:pos="1168"/>
              </w:tabs>
              <w:ind w:left="48" w:right="48"/>
              <w:jc w:val="both"/>
              <w:rPr>
                <w:rFonts w:cs="Arial"/>
                <w:sz w:val="18"/>
                <w:szCs w:val="18"/>
              </w:rPr>
            </w:pPr>
          </w:p>
        </w:tc>
      </w:tr>
      <w:tr w:rsidR="004D2FFF" w:rsidRPr="00C328EF" w14:paraId="0F4637E2" w14:textId="77777777" w:rsidTr="004D2FFF">
        <w:trPr>
          <w:gridBefore w:val="1"/>
          <w:wBefore w:w="30" w:type="dxa"/>
        </w:trPr>
        <w:tc>
          <w:tcPr>
            <w:tcW w:w="2772" w:type="dxa"/>
            <w:gridSpan w:val="2"/>
          </w:tcPr>
          <w:p w14:paraId="4EB7E86B" w14:textId="77777777" w:rsidR="004D2FFF" w:rsidRPr="00B6081F" w:rsidRDefault="004D2FFF" w:rsidP="00E70ECE">
            <w:pPr>
              <w:rPr>
                <w:rFonts w:cs="Arial"/>
                <w:b/>
                <w:sz w:val="18"/>
                <w:szCs w:val="18"/>
              </w:rPr>
            </w:pPr>
            <w:r w:rsidRPr="00B6081F">
              <w:rPr>
                <w:rFonts w:cs="Arial"/>
                <w:b/>
                <w:sz w:val="18"/>
                <w:szCs w:val="18"/>
              </w:rPr>
              <w:t>Non-current liabilities</w:t>
            </w:r>
          </w:p>
        </w:tc>
        <w:tc>
          <w:tcPr>
            <w:tcW w:w="567" w:type="dxa"/>
          </w:tcPr>
          <w:p w14:paraId="005C373A" w14:textId="77777777" w:rsidR="004D2FFF" w:rsidRPr="00C328EF" w:rsidRDefault="004D2FFF" w:rsidP="00E70ECE">
            <w:pPr>
              <w:jc w:val="both"/>
              <w:rPr>
                <w:rFonts w:cs="Arial"/>
                <w:sz w:val="18"/>
                <w:szCs w:val="18"/>
                <w:highlight w:val="yellow"/>
              </w:rPr>
            </w:pPr>
          </w:p>
        </w:tc>
        <w:tc>
          <w:tcPr>
            <w:tcW w:w="1701" w:type="dxa"/>
            <w:gridSpan w:val="2"/>
          </w:tcPr>
          <w:p w14:paraId="6CBF6430" w14:textId="77777777" w:rsidR="004D2FFF" w:rsidRPr="00C328EF" w:rsidRDefault="004D2FFF" w:rsidP="00E70ECE">
            <w:pPr>
              <w:tabs>
                <w:tab w:val="decimal" w:pos="1168"/>
              </w:tabs>
              <w:ind w:right="48"/>
              <w:jc w:val="both"/>
              <w:rPr>
                <w:rFonts w:cs="Arial"/>
                <w:sz w:val="18"/>
                <w:szCs w:val="18"/>
                <w:highlight w:val="yellow"/>
              </w:rPr>
            </w:pPr>
          </w:p>
        </w:tc>
        <w:tc>
          <w:tcPr>
            <w:tcW w:w="1984" w:type="dxa"/>
          </w:tcPr>
          <w:p w14:paraId="05738785" w14:textId="77777777" w:rsidR="004D2FFF" w:rsidRPr="00C328EF" w:rsidRDefault="004D2FFF" w:rsidP="00E70ECE">
            <w:pPr>
              <w:tabs>
                <w:tab w:val="decimal" w:pos="1168"/>
              </w:tabs>
              <w:ind w:right="48"/>
              <w:jc w:val="both"/>
              <w:rPr>
                <w:rFonts w:cs="Arial"/>
                <w:sz w:val="18"/>
                <w:szCs w:val="18"/>
                <w:highlight w:val="yellow"/>
              </w:rPr>
            </w:pPr>
          </w:p>
        </w:tc>
        <w:tc>
          <w:tcPr>
            <w:tcW w:w="1701" w:type="dxa"/>
          </w:tcPr>
          <w:p w14:paraId="3C22A167" w14:textId="77777777" w:rsidR="004D2FFF" w:rsidRPr="005B5B2A" w:rsidRDefault="004D2FFF" w:rsidP="00E70ECE">
            <w:pPr>
              <w:tabs>
                <w:tab w:val="decimal" w:pos="1168"/>
              </w:tabs>
              <w:ind w:left="48" w:right="48"/>
              <w:jc w:val="both"/>
              <w:rPr>
                <w:rFonts w:cs="Arial"/>
                <w:sz w:val="18"/>
                <w:szCs w:val="18"/>
              </w:rPr>
            </w:pPr>
          </w:p>
        </w:tc>
        <w:tc>
          <w:tcPr>
            <w:tcW w:w="1843" w:type="dxa"/>
          </w:tcPr>
          <w:p w14:paraId="1796CD14" w14:textId="77777777" w:rsidR="004D2FFF" w:rsidRPr="00E70ECE" w:rsidRDefault="004D2FFF" w:rsidP="00E70ECE">
            <w:pPr>
              <w:tabs>
                <w:tab w:val="decimal" w:pos="1168"/>
              </w:tabs>
              <w:ind w:left="48" w:right="48"/>
              <w:jc w:val="both"/>
              <w:rPr>
                <w:rFonts w:cs="Arial"/>
                <w:sz w:val="18"/>
                <w:szCs w:val="18"/>
              </w:rPr>
            </w:pPr>
          </w:p>
        </w:tc>
      </w:tr>
      <w:tr w:rsidR="004D2FFF" w:rsidRPr="00C328EF" w14:paraId="10D60FB9" w14:textId="77777777" w:rsidTr="004D2FFF">
        <w:trPr>
          <w:gridBefore w:val="1"/>
          <w:wBefore w:w="30" w:type="dxa"/>
        </w:trPr>
        <w:tc>
          <w:tcPr>
            <w:tcW w:w="2772" w:type="dxa"/>
            <w:gridSpan w:val="2"/>
          </w:tcPr>
          <w:p w14:paraId="13DA94BF" w14:textId="77777777" w:rsidR="004D2FFF" w:rsidRPr="00B6081F" w:rsidRDefault="004D2FFF" w:rsidP="00A10A6D">
            <w:pPr>
              <w:rPr>
                <w:rFonts w:cs="Arial"/>
                <w:sz w:val="18"/>
                <w:szCs w:val="18"/>
              </w:rPr>
            </w:pPr>
            <w:r w:rsidRPr="00B6081F">
              <w:rPr>
                <w:rFonts w:cs="Arial"/>
                <w:sz w:val="18"/>
                <w:szCs w:val="18"/>
              </w:rPr>
              <w:t>Lease obligations</w:t>
            </w:r>
          </w:p>
        </w:tc>
        <w:tc>
          <w:tcPr>
            <w:tcW w:w="567" w:type="dxa"/>
          </w:tcPr>
          <w:p w14:paraId="43892D57" w14:textId="77777777" w:rsidR="004D2FFF" w:rsidRPr="0047306F" w:rsidRDefault="004D2FFF" w:rsidP="00A10A6D">
            <w:pPr>
              <w:jc w:val="both"/>
              <w:rPr>
                <w:rFonts w:cs="Arial"/>
                <w:sz w:val="18"/>
                <w:szCs w:val="18"/>
              </w:rPr>
            </w:pPr>
            <w:r w:rsidRPr="0047306F">
              <w:rPr>
                <w:rFonts w:cs="Arial"/>
                <w:sz w:val="18"/>
                <w:szCs w:val="18"/>
              </w:rPr>
              <w:t>16</w:t>
            </w:r>
          </w:p>
        </w:tc>
        <w:tc>
          <w:tcPr>
            <w:tcW w:w="1701" w:type="dxa"/>
            <w:gridSpan w:val="2"/>
          </w:tcPr>
          <w:p w14:paraId="009D472A"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37,851</w:t>
            </w:r>
          </w:p>
        </w:tc>
        <w:tc>
          <w:tcPr>
            <w:tcW w:w="1984" w:type="dxa"/>
          </w:tcPr>
          <w:p w14:paraId="2CBFC098"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50,016</w:t>
            </w:r>
          </w:p>
        </w:tc>
        <w:tc>
          <w:tcPr>
            <w:tcW w:w="1701" w:type="dxa"/>
          </w:tcPr>
          <w:p w14:paraId="534C52BF"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w:t>
            </w:r>
          </w:p>
        </w:tc>
        <w:tc>
          <w:tcPr>
            <w:tcW w:w="1843" w:type="dxa"/>
          </w:tcPr>
          <w:p w14:paraId="320F5253"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457A02D4" w14:textId="77777777" w:rsidTr="004D2FFF">
        <w:trPr>
          <w:gridBefore w:val="1"/>
          <w:wBefore w:w="30" w:type="dxa"/>
        </w:trPr>
        <w:tc>
          <w:tcPr>
            <w:tcW w:w="2772" w:type="dxa"/>
            <w:gridSpan w:val="2"/>
          </w:tcPr>
          <w:p w14:paraId="7F25F050" w14:textId="77777777" w:rsidR="004D2FFF" w:rsidRPr="00B6081F" w:rsidRDefault="004D2FFF" w:rsidP="00A10A6D">
            <w:pPr>
              <w:rPr>
                <w:rFonts w:cs="Arial"/>
                <w:sz w:val="18"/>
                <w:szCs w:val="18"/>
              </w:rPr>
            </w:pPr>
            <w:r w:rsidRPr="00B6081F">
              <w:rPr>
                <w:rFonts w:cs="Arial"/>
                <w:sz w:val="18"/>
                <w:szCs w:val="18"/>
              </w:rPr>
              <w:t>Derivative financial liability</w:t>
            </w:r>
          </w:p>
        </w:tc>
        <w:tc>
          <w:tcPr>
            <w:tcW w:w="567" w:type="dxa"/>
          </w:tcPr>
          <w:p w14:paraId="6D813189" w14:textId="77777777" w:rsidR="004D2FFF" w:rsidRPr="0047306F" w:rsidRDefault="004D2FFF" w:rsidP="00A10A6D">
            <w:pPr>
              <w:jc w:val="both"/>
              <w:rPr>
                <w:rFonts w:cs="Arial"/>
                <w:sz w:val="18"/>
                <w:szCs w:val="18"/>
              </w:rPr>
            </w:pPr>
            <w:r w:rsidRPr="0047306F">
              <w:rPr>
                <w:rFonts w:cs="Arial"/>
                <w:sz w:val="18"/>
                <w:szCs w:val="18"/>
              </w:rPr>
              <w:t>15</w:t>
            </w:r>
          </w:p>
        </w:tc>
        <w:tc>
          <w:tcPr>
            <w:tcW w:w="1701" w:type="dxa"/>
            <w:gridSpan w:val="2"/>
          </w:tcPr>
          <w:p w14:paraId="10563402"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195</w:t>
            </w:r>
          </w:p>
        </w:tc>
        <w:tc>
          <w:tcPr>
            <w:tcW w:w="1984" w:type="dxa"/>
          </w:tcPr>
          <w:p w14:paraId="5615DF1B"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1,016</w:t>
            </w:r>
          </w:p>
        </w:tc>
        <w:tc>
          <w:tcPr>
            <w:tcW w:w="1701" w:type="dxa"/>
          </w:tcPr>
          <w:p w14:paraId="201CF95C"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w:t>
            </w:r>
          </w:p>
        </w:tc>
        <w:tc>
          <w:tcPr>
            <w:tcW w:w="1843" w:type="dxa"/>
          </w:tcPr>
          <w:p w14:paraId="1296FD24"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41B94A7C" w14:textId="77777777" w:rsidTr="004D2FFF">
        <w:trPr>
          <w:gridBefore w:val="1"/>
          <w:wBefore w:w="30" w:type="dxa"/>
        </w:trPr>
        <w:tc>
          <w:tcPr>
            <w:tcW w:w="2772" w:type="dxa"/>
            <w:gridSpan w:val="2"/>
          </w:tcPr>
          <w:p w14:paraId="74CB540E" w14:textId="77777777" w:rsidR="004D2FFF" w:rsidRPr="00B6081F" w:rsidRDefault="004D2FFF" w:rsidP="00A10A6D">
            <w:pPr>
              <w:rPr>
                <w:rFonts w:cs="Arial"/>
                <w:sz w:val="18"/>
                <w:szCs w:val="18"/>
              </w:rPr>
            </w:pPr>
            <w:r w:rsidRPr="00B6081F">
              <w:rPr>
                <w:rFonts w:cs="Arial"/>
                <w:sz w:val="18"/>
                <w:szCs w:val="18"/>
              </w:rPr>
              <w:t>Deferred tax</w:t>
            </w:r>
          </w:p>
        </w:tc>
        <w:tc>
          <w:tcPr>
            <w:tcW w:w="567" w:type="dxa"/>
          </w:tcPr>
          <w:p w14:paraId="3764A382" w14:textId="77777777" w:rsidR="004D2FFF" w:rsidRPr="0047306F" w:rsidRDefault="004D2FFF" w:rsidP="00A10A6D">
            <w:pPr>
              <w:jc w:val="both"/>
              <w:rPr>
                <w:rFonts w:cs="Arial"/>
                <w:sz w:val="18"/>
                <w:szCs w:val="18"/>
              </w:rPr>
            </w:pPr>
            <w:r w:rsidRPr="0047306F">
              <w:rPr>
                <w:rFonts w:cs="Arial"/>
                <w:sz w:val="18"/>
                <w:szCs w:val="18"/>
              </w:rPr>
              <w:t>17</w:t>
            </w:r>
          </w:p>
        </w:tc>
        <w:tc>
          <w:tcPr>
            <w:tcW w:w="1701" w:type="dxa"/>
            <w:gridSpan w:val="2"/>
          </w:tcPr>
          <w:p w14:paraId="2AE186F9"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20,846</w:t>
            </w:r>
          </w:p>
        </w:tc>
        <w:tc>
          <w:tcPr>
            <w:tcW w:w="1984" w:type="dxa"/>
          </w:tcPr>
          <w:p w14:paraId="2903C2A5"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22,159</w:t>
            </w:r>
          </w:p>
        </w:tc>
        <w:tc>
          <w:tcPr>
            <w:tcW w:w="1701" w:type="dxa"/>
          </w:tcPr>
          <w:p w14:paraId="104EF2A9"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w:t>
            </w:r>
          </w:p>
        </w:tc>
        <w:tc>
          <w:tcPr>
            <w:tcW w:w="1843" w:type="dxa"/>
          </w:tcPr>
          <w:p w14:paraId="3FBFF225"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5C536279" w14:textId="77777777" w:rsidTr="004D2FFF">
        <w:trPr>
          <w:gridBefore w:val="1"/>
          <w:wBefore w:w="30" w:type="dxa"/>
        </w:trPr>
        <w:tc>
          <w:tcPr>
            <w:tcW w:w="2772" w:type="dxa"/>
            <w:gridSpan w:val="2"/>
          </w:tcPr>
          <w:p w14:paraId="7C6B571A" w14:textId="77777777" w:rsidR="004D2FFF" w:rsidRPr="00B6081F" w:rsidRDefault="004D2FFF" w:rsidP="00A10A6D">
            <w:pPr>
              <w:rPr>
                <w:rFonts w:cs="Arial"/>
                <w:sz w:val="18"/>
                <w:szCs w:val="18"/>
              </w:rPr>
            </w:pPr>
            <w:r w:rsidRPr="00B6081F">
              <w:rPr>
                <w:rFonts w:cs="Arial"/>
                <w:sz w:val="18"/>
                <w:szCs w:val="18"/>
              </w:rPr>
              <w:t>Provisions</w:t>
            </w:r>
          </w:p>
        </w:tc>
        <w:tc>
          <w:tcPr>
            <w:tcW w:w="567" w:type="dxa"/>
          </w:tcPr>
          <w:p w14:paraId="3CF97B67" w14:textId="77777777" w:rsidR="004D2FFF" w:rsidRPr="0047306F" w:rsidRDefault="004D2FFF" w:rsidP="00A10A6D">
            <w:pPr>
              <w:jc w:val="both"/>
              <w:rPr>
                <w:rFonts w:cs="Arial"/>
                <w:sz w:val="18"/>
                <w:szCs w:val="18"/>
              </w:rPr>
            </w:pPr>
            <w:r w:rsidRPr="0047306F">
              <w:rPr>
                <w:rFonts w:cs="Arial"/>
                <w:sz w:val="18"/>
                <w:szCs w:val="18"/>
              </w:rPr>
              <w:t>17</w:t>
            </w:r>
          </w:p>
        </w:tc>
        <w:tc>
          <w:tcPr>
            <w:tcW w:w="1701" w:type="dxa"/>
            <w:gridSpan w:val="2"/>
          </w:tcPr>
          <w:p w14:paraId="49FFFB1B" w14:textId="77777777" w:rsidR="004D2FFF" w:rsidRPr="00002C01" w:rsidRDefault="004D2FFF" w:rsidP="00A10A6D">
            <w:pPr>
              <w:tabs>
                <w:tab w:val="decimal" w:pos="1168"/>
              </w:tabs>
              <w:ind w:right="48"/>
              <w:jc w:val="both"/>
              <w:rPr>
                <w:rFonts w:cs="Arial"/>
                <w:spacing w:val="-2"/>
                <w:sz w:val="18"/>
                <w:szCs w:val="18"/>
              </w:rPr>
            </w:pPr>
            <w:r w:rsidRPr="00002C01">
              <w:rPr>
                <w:rFonts w:cs="Arial"/>
                <w:spacing w:val="-2"/>
                <w:sz w:val="18"/>
                <w:szCs w:val="18"/>
              </w:rPr>
              <w:t>1,424</w:t>
            </w:r>
          </w:p>
        </w:tc>
        <w:tc>
          <w:tcPr>
            <w:tcW w:w="1984" w:type="dxa"/>
          </w:tcPr>
          <w:p w14:paraId="7C5108BB" w14:textId="77777777" w:rsidR="004D2FFF" w:rsidRPr="00A10A6D" w:rsidRDefault="004D2FFF" w:rsidP="00A10A6D">
            <w:pPr>
              <w:tabs>
                <w:tab w:val="decimal" w:pos="1168"/>
              </w:tabs>
              <w:ind w:right="48"/>
              <w:jc w:val="both"/>
              <w:rPr>
                <w:rFonts w:cs="Arial"/>
                <w:spacing w:val="-2"/>
                <w:sz w:val="18"/>
                <w:szCs w:val="18"/>
              </w:rPr>
            </w:pPr>
            <w:r w:rsidRPr="00A10A6D">
              <w:rPr>
                <w:rFonts w:cs="Arial"/>
                <w:spacing w:val="-2"/>
                <w:sz w:val="18"/>
                <w:szCs w:val="18"/>
              </w:rPr>
              <w:t>1,121</w:t>
            </w:r>
          </w:p>
        </w:tc>
        <w:tc>
          <w:tcPr>
            <w:tcW w:w="1701" w:type="dxa"/>
          </w:tcPr>
          <w:p w14:paraId="4BC8EA8A"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w:t>
            </w:r>
          </w:p>
        </w:tc>
        <w:tc>
          <w:tcPr>
            <w:tcW w:w="1843" w:type="dxa"/>
          </w:tcPr>
          <w:p w14:paraId="75DA8CAB"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72B0730D" w14:textId="77777777" w:rsidTr="004D2FFF">
        <w:trPr>
          <w:gridBefore w:val="1"/>
          <w:wBefore w:w="30" w:type="dxa"/>
        </w:trPr>
        <w:tc>
          <w:tcPr>
            <w:tcW w:w="2772" w:type="dxa"/>
            <w:gridSpan w:val="2"/>
          </w:tcPr>
          <w:p w14:paraId="05F59A98" w14:textId="77777777" w:rsidR="004D2FFF" w:rsidRPr="00B6081F" w:rsidRDefault="004D2FFF" w:rsidP="00E70ECE">
            <w:pPr>
              <w:rPr>
                <w:rFonts w:cs="Arial"/>
                <w:sz w:val="18"/>
                <w:szCs w:val="18"/>
              </w:rPr>
            </w:pPr>
          </w:p>
        </w:tc>
        <w:tc>
          <w:tcPr>
            <w:tcW w:w="567" w:type="dxa"/>
          </w:tcPr>
          <w:p w14:paraId="3A387C81" w14:textId="77777777" w:rsidR="004D2FFF" w:rsidRPr="00C328EF" w:rsidRDefault="004D2FFF" w:rsidP="00E70ECE">
            <w:pPr>
              <w:jc w:val="both"/>
              <w:rPr>
                <w:rFonts w:cs="Arial"/>
                <w:sz w:val="18"/>
                <w:szCs w:val="18"/>
                <w:highlight w:val="yellow"/>
              </w:rPr>
            </w:pPr>
          </w:p>
        </w:tc>
        <w:tc>
          <w:tcPr>
            <w:tcW w:w="1701" w:type="dxa"/>
            <w:gridSpan w:val="2"/>
          </w:tcPr>
          <w:p w14:paraId="240D3F0D" w14:textId="77777777" w:rsidR="004D2FFF" w:rsidRPr="00002C01" w:rsidRDefault="004D2FFF" w:rsidP="00E70ECE">
            <w:pPr>
              <w:tabs>
                <w:tab w:val="decimal" w:pos="1168"/>
              </w:tabs>
              <w:ind w:right="48"/>
              <w:jc w:val="both"/>
              <w:rPr>
                <w:rFonts w:cs="Arial"/>
                <w:sz w:val="18"/>
                <w:szCs w:val="18"/>
              </w:rPr>
            </w:pPr>
            <w:r w:rsidRPr="00002C01">
              <w:rPr>
                <w:rFonts w:cs="Arial"/>
                <w:spacing w:val="-2"/>
                <w:sz w:val="18"/>
                <w:szCs w:val="18"/>
              </w:rPr>
              <w:t>───────</w:t>
            </w:r>
          </w:p>
        </w:tc>
        <w:tc>
          <w:tcPr>
            <w:tcW w:w="1984" w:type="dxa"/>
          </w:tcPr>
          <w:p w14:paraId="2B389590" w14:textId="77777777" w:rsidR="004D2FFF" w:rsidRPr="00A10A6D" w:rsidRDefault="004D2FFF" w:rsidP="00E70ECE">
            <w:pPr>
              <w:tabs>
                <w:tab w:val="decimal" w:pos="1168"/>
              </w:tabs>
              <w:ind w:right="48"/>
              <w:jc w:val="both"/>
              <w:rPr>
                <w:rFonts w:cs="Arial"/>
                <w:sz w:val="18"/>
                <w:szCs w:val="18"/>
              </w:rPr>
            </w:pPr>
            <w:r w:rsidRPr="00A10A6D">
              <w:rPr>
                <w:rFonts w:cs="Arial"/>
                <w:spacing w:val="-2"/>
                <w:sz w:val="18"/>
                <w:szCs w:val="18"/>
              </w:rPr>
              <w:t>───────</w:t>
            </w:r>
          </w:p>
        </w:tc>
        <w:tc>
          <w:tcPr>
            <w:tcW w:w="1701" w:type="dxa"/>
          </w:tcPr>
          <w:p w14:paraId="34CE85DD" w14:textId="77777777" w:rsidR="004D2FFF" w:rsidRPr="005B5B2A" w:rsidRDefault="004D2FFF" w:rsidP="00E70ECE">
            <w:pPr>
              <w:tabs>
                <w:tab w:val="decimal" w:pos="1168"/>
              </w:tabs>
              <w:ind w:left="48" w:right="48"/>
              <w:jc w:val="both"/>
              <w:rPr>
                <w:rFonts w:cs="Arial"/>
                <w:sz w:val="18"/>
                <w:szCs w:val="18"/>
              </w:rPr>
            </w:pPr>
            <w:r w:rsidRPr="005B5B2A">
              <w:rPr>
                <w:rFonts w:cs="Arial"/>
                <w:sz w:val="18"/>
                <w:szCs w:val="18"/>
              </w:rPr>
              <w:t>───────</w:t>
            </w:r>
          </w:p>
        </w:tc>
        <w:tc>
          <w:tcPr>
            <w:tcW w:w="1843" w:type="dxa"/>
          </w:tcPr>
          <w:p w14:paraId="71F22CE0"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r>
      <w:tr w:rsidR="004D2FFF" w:rsidRPr="00C328EF" w14:paraId="6F9EE680" w14:textId="77777777" w:rsidTr="004D2FFF">
        <w:trPr>
          <w:gridBefore w:val="1"/>
          <w:wBefore w:w="30" w:type="dxa"/>
        </w:trPr>
        <w:tc>
          <w:tcPr>
            <w:tcW w:w="3339" w:type="dxa"/>
            <w:gridSpan w:val="3"/>
          </w:tcPr>
          <w:p w14:paraId="763AA64A" w14:textId="77777777" w:rsidR="004D2FFF" w:rsidRPr="00B6081F" w:rsidRDefault="004D2FFF" w:rsidP="00E70ECE">
            <w:pPr>
              <w:tabs>
                <w:tab w:val="decimal" w:pos="1168"/>
              </w:tabs>
              <w:ind w:right="48"/>
              <w:jc w:val="both"/>
              <w:rPr>
                <w:rFonts w:cs="Arial"/>
                <w:sz w:val="18"/>
                <w:szCs w:val="18"/>
              </w:rPr>
            </w:pPr>
            <w:r w:rsidRPr="00B6081F">
              <w:rPr>
                <w:rFonts w:cs="Arial"/>
                <w:b/>
                <w:sz w:val="18"/>
                <w:szCs w:val="18"/>
              </w:rPr>
              <w:t>Total non-current liabilities</w:t>
            </w:r>
          </w:p>
        </w:tc>
        <w:tc>
          <w:tcPr>
            <w:tcW w:w="1701" w:type="dxa"/>
            <w:gridSpan w:val="2"/>
          </w:tcPr>
          <w:p w14:paraId="430A6CBA" w14:textId="77777777" w:rsidR="004D2FFF" w:rsidRPr="00002C01" w:rsidRDefault="004D2FFF" w:rsidP="00E70ECE">
            <w:pPr>
              <w:tabs>
                <w:tab w:val="decimal" w:pos="1168"/>
              </w:tabs>
              <w:ind w:right="48"/>
              <w:jc w:val="both"/>
              <w:rPr>
                <w:rFonts w:cs="Arial"/>
                <w:sz w:val="18"/>
                <w:szCs w:val="18"/>
              </w:rPr>
            </w:pPr>
            <w:r w:rsidRPr="00002C01">
              <w:rPr>
                <w:rFonts w:cs="Arial"/>
                <w:sz w:val="18"/>
                <w:szCs w:val="18"/>
              </w:rPr>
              <w:t>60,316</w:t>
            </w:r>
          </w:p>
        </w:tc>
        <w:tc>
          <w:tcPr>
            <w:tcW w:w="1984" w:type="dxa"/>
          </w:tcPr>
          <w:p w14:paraId="01FA018D" w14:textId="77777777" w:rsidR="004D2FFF" w:rsidRPr="00A10A6D" w:rsidRDefault="004D2FFF" w:rsidP="00E70ECE">
            <w:pPr>
              <w:tabs>
                <w:tab w:val="decimal" w:pos="1168"/>
              </w:tabs>
              <w:ind w:right="48"/>
              <w:jc w:val="both"/>
              <w:rPr>
                <w:rFonts w:cs="Arial"/>
                <w:sz w:val="18"/>
                <w:szCs w:val="18"/>
              </w:rPr>
            </w:pPr>
            <w:r w:rsidRPr="00A10A6D">
              <w:rPr>
                <w:rFonts w:cs="Arial"/>
                <w:sz w:val="18"/>
                <w:szCs w:val="18"/>
              </w:rPr>
              <w:t>74,312</w:t>
            </w:r>
          </w:p>
        </w:tc>
        <w:tc>
          <w:tcPr>
            <w:tcW w:w="1701" w:type="dxa"/>
          </w:tcPr>
          <w:p w14:paraId="6F1A39DD" w14:textId="77777777" w:rsidR="004D2FFF" w:rsidRPr="005B5B2A" w:rsidRDefault="004D2FFF" w:rsidP="00E70ECE">
            <w:pPr>
              <w:tabs>
                <w:tab w:val="decimal" w:pos="1168"/>
              </w:tabs>
              <w:ind w:right="48"/>
              <w:jc w:val="both"/>
              <w:rPr>
                <w:rFonts w:cs="Arial"/>
                <w:sz w:val="18"/>
                <w:szCs w:val="18"/>
              </w:rPr>
            </w:pPr>
            <w:r w:rsidRPr="005B5B2A">
              <w:rPr>
                <w:rFonts w:cs="Arial"/>
                <w:sz w:val="18"/>
                <w:szCs w:val="18"/>
              </w:rPr>
              <w:t>-</w:t>
            </w:r>
          </w:p>
        </w:tc>
        <w:tc>
          <w:tcPr>
            <w:tcW w:w="1843" w:type="dxa"/>
          </w:tcPr>
          <w:p w14:paraId="5C2AC39B"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r>
      <w:tr w:rsidR="004D2FFF" w:rsidRPr="00C328EF" w14:paraId="7604BA2E" w14:textId="77777777" w:rsidTr="004D2FFF">
        <w:trPr>
          <w:gridBefore w:val="1"/>
          <w:wBefore w:w="30" w:type="dxa"/>
        </w:trPr>
        <w:tc>
          <w:tcPr>
            <w:tcW w:w="2772" w:type="dxa"/>
            <w:gridSpan w:val="2"/>
          </w:tcPr>
          <w:p w14:paraId="3DFDAA7F" w14:textId="77777777" w:rsidR="004D2FFF" w:rsidRPr="00B6081F" w:rsidRDefault="004D2FFF" w:rsidP="00E70ECE">
            <w:pPr>
              <w:rPr>
                <w:rFonts w:cs="Arial"/>
                <w:sz w:val="18"/>
                <w:szCs w:val="18"/>
              </w:rPr>
            </w:pPr>
          </w:p>
        </w:tc>
        <w:tc>
          <w:tcPr>
            <w:tcW w:w="567" w:type="dxa"/>
          </w:tcPr>
          <w:p w14:paraId="4782967D" w14:textId="77777777" w:rsidR="004D2FFF" w:rsidRPr="00C328EF" w:rsidRDefault="004D2FFF" w:rsidP="00E70ECE">
            <w:pPr>
              <w:jc w:val="both"/>
              <w:rPr>
                <w:rFonts w:cs="Arial"/>
                <w:sz w:val="18"/>
                <w:szCs w:val="18"/>
                <w:highlight w:val="yellow"/>
              </w:rPr>
            </w:pPr>
          </w:p>
        </w:tc>
        <w:tc>
          <w:tcPr>
            <w:tcW w:w="1701" w:type="dxa"/>
            <w:gridSpan w:val="2"/>
          </w:tcPr>
          <w:p w14:paraId="77D416C5" w14:textId="77777777" w:rsidR="004D2FFF" w:rsidRPr="00002C01" w:rsidRDefault="004D2FFF" w:rsidP="00E70ECE">
            <w:pPr>
              <w:tabs>
                <w:tab w:val="decimal" w:pos="1168"/>
              </w:tabs>
              <w:ind w:right="48"/>
              <w:jc w:val="both"/>
              <w:rPr>
                <w:rFonts w:cs="Arial"/>
                <w:sz w:val="18"/>
                <w:szCs w:val="18"/>
              </w:rPr>
            </w:pPr>
            <w:r w:rsidRPr="00002C01">
              <w:rPr>
                <w:rFonts w:cs="Arial"/>
                <w:sz w:val="18"/>
                <w:szCs w:val="18"/>
              </w:rPr>
              <w:t>═══════</w:t>
            </w:r>
          </w:p>
        </w:tc>
        <w:tc>
          <w:tcPr>
            <w:tcW w:w="1984" w:type="dxa"/>
          </w:tcPr>
          <w:p w14:paraId="1E7A69D9" w14:textId="77777777" w:rsidR="004D2FFF" w:rsidRPr="00A10A6D" w:rsidRDefault="004D2FFF" w:rsidP="00E70ECE">
            <w:pPr>
              <w:tabs>
                <w:tab w:val="decimal" w:pos="1168"/>
              </w:tabs>
              <w:ind w:right="48"/>
              <w:jc w:val="both"/>
              <w:rPr>
                <w:rFonts w:cs="Arial"/>
                <w:sz w:val="18"/>
                <w:szCs w:val="18"/>
              </w:rPr>
            </w:pPr>
            <w:r w:rsidRPr="00A10A6D">
              <w:rPr>
                <w:rFonts w:cs="Arial"/>
                <w:sz w:val="18"/>
                <w:szCs w:val="18"/>
              </w:rPr>
              <w:t>═══════</w:t>
            </w:r>
          </w:p>
        </w:tc>
        <w:tc>
          <w:tcPr>
            <w:tcW w:w="1701" w:type="dxa"/>
          </w:tcPr>
          <w:p w14:paraId="593B5B0F" w14:textId="77777777" w:rsidR="004D2FFF" w:rsidRPr="005B5B2A" w:rsidRDefault="004D2FFF" w:rsidP="00E70ECE">
            <w:pPr>
              <w:tabs>
                <w:tab w:val="decimal" w:pos="1168"/>
              </w:tabs>
              <w:ind w:left="48" w:right="48"/>
              <w:jc w:val="both"/>
              <w:rPr>
                <w:rFonts w:cs="Arial"/>
                <w:sz w:val="18"/>
                <w:szCs w:val="18"/>
              </w:rPr>
            </w:pPr>
            <w:r w:rsidRPr="005B5B2A">
              <w:rPr>
                <w:rFonts w:cs="Arial"/>
                <w:sz w:val="18"/>
                <w:szCs w:val="18"/>
              </w:rPr>
              <w:t>═══════</w:t>
            </w:r>
          </w:p>
        </w:tc>
        <w:tc>
          <w:tcPr>
            <w:tcW w:w="1843" w:type="dxa"/>
          </w:tcPr>
          <w:p w14:paraId="55213540" w14:textId="77777777" w:rsidR="004D2FFF" w:rsidRPr="00E70ECE" w:rsidRDefault="004D2FFF" w:rsidP="00E70ECE">
            <w:pPr>
              <w:tabs>
                <w:tab w:val="decimal" w:pos="1168"/>
              </w:tabs>
              <w:ind w:left="48" w:right="48"/>
              <w:jc w:val="both"/>
              <w:rPr>
                <w:rFonts w:cs="Arial"/>
                <w:sz w:val="18"/>
                <w:szCs w:val="18"/>
              </w:rPr>
            </w:pPr>
            <w:r w:rsidRPr="00E70ECE">
              <w:rPr>
                <w:rFonts w:cs="Arial"/>
                <w:sz w:val="18"/>
                <w:szCs w:val="18"/>
              </w:rPr>
              <w:t>═══════</w:t>
            </w:r>
          </w:p>
        </w:tc>
      </w:tr>
      <w:tr w:rsidR="004D2FFF" w:rsidRPr="00C328EF" w14:paraId="71315BCC" w14:textId="77777777" w:rsidTr="004D2FFF">
        <w:trPr>
          <w:gridBefore w:val="1"/>
          <w:wBefore w:w="30" w:type="dxa"/>
        </w:trPr>
        <w:tc>
          <w:tcPr>
            <w:tcW w:w="2772" w:type="dxa"/>
            <w:gridSpan w:val="2"/>
          </w:tcPr>
          <w:p w14:paraId="2E676010" w14:textId="77777777" w:rsidR="004D2FFF" w:rsidRPr="00B6081F" w:rsidRDefault="004D2FFF" w:rsidP="00E70ECE">
            <w:pPr>
              <w:rPr>
                <w:rFonts w:cs="Arial"/>
                <w:b/>
                <w:sz w:val="18"/>
                <w:szCs w:val="18"/>
              </w:rPr>
            </w:pPr>
            <w:r w:rsidRPr="00B6081F">
              <w:rPr>
                <w:rFonts w:cs="Arial"/>
                <w:b/>
                <w:sz w:val="18"/>
                <w:szCs w:val="18"/>
              </w:rPr>
              <w:t>Current liabilities</w:t>
            </w:r>
          </w:p>
        </w:tc>
        <w:tc>
          <w:tcPr>
            <w:tcW w:w="567" w:type="dxa"/>
          </w:tcPr>
          <w:p w14:paraId="4EDD0846" w14:textId="77777777" w:rsidR="004D2FFF" w:rsidRPr="00C328EF" w:rsidRDefault="004D2FFF" w:rsidP="00E70ECE">
            <w:pPr>
              <w:jc w:val="both"/>
              <w:rPr>
                <w:rFonts w:cs="Arial"/>
                <w:sz w:val="18"/>
                <w:szCs w:val="18"/>
                <w:highlight w:val="yellow"/>
              </w:rPr>
            </w:pPr>
          </w:p>
        </w:tc>
        <w:tc>
          <w:tcPr>
            <w:tcW w:w="1701" w:type="dxa"/>
            <w:gridSpan w:val="2"/>
          </w:tcPr>
          <w:p w14:paraId="109343B1" w14:textId="77777777" w:rsidR="004D2FFF" w:rsidRPr="00002C01" w:rsidRDefault="004D2FFF" w:rsidP="00E70ECE">
            <w:pPr>
              <w:tabs>
                <w:tab w:val="decimal" w:pos="1168"/>
              </w:tabs>
              <w:ind w:right="48"/>
              <w:jc w:val="both"/>
              <w:rPr>
                <w:rFonts w:cs="Arial"/>
                <w:sz w:val="18"/>
                <w:szCs w:val="18"/>
              </w:rPr>
            </w:pPr>
          </w:p>
        </w:tc>
        <w:tc>
          <w:tcPr>
            <w:tcW w:w="1984" w:type="dxa"/>
          </w:tcPr>
          <w:p w14:paraId="7C98A41B" w14:textId="77777777" w:rsidR="004D2FFF" w:rsidRPr="00C328EF" w:rsidRDefault="004D2FFF" w:rsidP="00E70ECE">
            <w:pPr>
              <w:tabs>
                <w:tab w:val="decimal" w:pos="1168"/>
              </w:tabs>
              <w:ind w:right="48"/>
              <w:jc w:val="both"/>
              <w:rPr>
                <w:rFonts w:cs="Arial"/>
                <w:sz w:val="18"/>
                <w:szCs w:val="18"/>
                <w:highlight w:val="yellow"/>
              </w:rPr>
            </w:pPr>
          </w:p>
        </w:tc>
        <w:tc>
          <w:tcPr>
            <w:tcW w:w="1701" w:type="dxa"/>
          </w:tcPr>
          <w:p w14:paraId="06DC929A" w14:textId="77777777" w:rsidR="004D2FFF" w:rsidRPr="005B5B2A" w:rsidRDefault="004D2FFF" w:rsidP="00E70ECE">
            <w:pPr>
              <w:tabs>
                <w:tab w:val="decimal" w:pos="1168"/>
              </w:tabs>
              <w:ind w:left="48" w:right="48"/>
              <w:jc w:val="both"/>
              <w:rPr>
                <w:rFonts w:cs="Arial"/>
                <w:sz w:val="18"/>
                <w:szCs w:val="18"/>
              </w:rPr>
            </w:pPr>
          </w:p>
        </w:tc>
        <w:tc>
          <w:tcPr>
            <w:tcW w:w="1843" w:type="dxa"/>
          </w:tcPr>
          <w:p w14:paraId="56F0DBE9" w14:textId="77777777" w:rsidR="004D2FFF" w:rsidRPr="00E70ECE" w:rsidRDefault="004D2FFF" w:rsidP="00E70ECE">
            <w:pPr>
              <w:tabs>
                <w:tab w:val="decimal" w:pos="1168"/>
              </w:tabs>
              <w:ind w:left="48" w:right="48"/>
              <w:jc w:val="both"/>
              <w:rPr>
                <w:rFonts w:cs="Arial"/>
                <w:sz w:val="18"/>
                <w:szCs w:val="18"/>
              </w:rPr>
            </w:pPr>
          </w:p>
        </w:tc>
      </w:tr>
      <w:tr w:rsidR="004D2FFF" w:rsidRPr="00C328EF" w14:paraId="49F747B1" w14:textId="77777777" w:rsidTr="004D2FFF">
        <w:trPr>
          <w:gridBefore w:val="1"/>
          <w:wBefore w:w="30" w:type="dxa"/>
        </w:trPr>
        <w:tc>
          <w:tcPr>
            <w:tcW w:w="2772" w:type="dxa"/>
            <w:gridSpan w:val="2"/>
          </w:tcPr>
          <w:p w14:paraId="0D9B9F5E" w14:textId="77777777" w:rsidR="004D2FFF" w:rsidRPr="00B6081F" w:rsidRDefault="004D2FFF" w:rsidP="00A10A6D">
            <w:pPr>
              <w:rPr>
                <w:rFonts w:cs="Arial"/>
                <w:sz w:val="18"/>
                <w:szCs w:val="18"/>
              </w:rPr>
            </w:pPr>
            <w:r w:rsidRPr="00B6081F">
              <w:rPr>
                <w:rFonts w:cs="Arial"/>
                <w:sz w:val="18"/>
                <w:szCs w:val="18"/>
              </w:rPr>
              <w:t>Trade and other payables</w:t>
            </w:r>
          </w:p>
        </w:tc>
        <w:tc>
          <w:tcPr>
            <w:tcW w:w="567" w:type="dxa"/>
          </w:tcPr>
          <w:p w14:paraId="263D8F2C" w14:textId="77777777" w:rsidR="004D2FFF" w:rsidRPr="0047306F" w:rsidRDefault="004D2FFF" w:rsidP="00A10A6D">
            <w:pPr>
              <w:jc w:val="both"/>
              <w:rPr>
                <w:rFonts w:cs="Arial"/>
                <w:sz w:val="18"/>
                <w:szCs w:val="18"/>
              </w:rPr>
            </w:pPr>
            <w:r w:rsidRPr="0047306F">
              <w:rPr>
                <w:rFonts w:cs="Arial"/>
                <w:sz w:val="18"/>
                <w:szCs w:val="18"/>
              </w:rPr>
              <w:t>14</w:t>
            </w:r>
          </w:p>
        </w:tc>
        <w:tc>
          <w:tcPr>
            <w:tcW w:w="1701" w:type="dxa"/>
            <w:gridSpan w:val="2"/>
          </w:tcPr>
          <w:p w14:paraId="22AA6367"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3,1</w:t>
            </w:r>
            <w:r>
              <w:rPr>
                <w:rFonts w:cs="Arial"/>
                <w:sz w:val="18"/>
                <w:szCs w:val="18"/>
              </w:rPr>
              <w:t>95</w:t>
            </w:r>
          </w:p>
        </w:tc>
        <w:tc>
          <w:tcPr>
            <w:tcW w:w="1984" w:type="dxa"/>
          </w:tcPr>
          <w:p w14:paraId="7DB426C7"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3,897</w:t>
            </w:r>
          </w:p>
        </w:tc>
        <w:tc>
          <w:tcPr>
            <w:tcW w:w="1701" w:type="dxa"/>
          </w:tcPr>
          <w:p w14:paraId="0340A1A0"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7</w:t>
            </w:r>
          </w:p>
        </w:tc>
        <w:tc>
          <w:tcPr>
            <w:tcW w:w="1843" w:type="dxa"/>
          </w:tcPr>
          <w:p w14:paraId="61851804"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1AC2F151" w14:textId="77777777" w:rsidTr="004D2FFF">
        <w:trPr>
          <w:gridBefore w:val="1"/>
          <w:wBefore w:w="30" w:type="dxa"/>
        </w:trPr>
        <w:tc>
          <w:tcPr>
            <w:tcW w:w="2772" w:type="dxa"/>
            <w:gridSpan w:val="2"/>
          </w:tcPr>
          <w:p w14:paraId="2E8633E8" w14:textId="77777777" w:rsidR="004D2FFF" w:rsidRPr="00B6081F" w:rsidRDefault="004D2FFF" w:rsidP="00A10A6D">
            <w:pPr>
              <w:rPr>
                <w:rFonts w:cs="Arial"/>
                <w:sz w:val="18"/>
                <w:szCs w:val="18"/>
              </w:rPr>
            </w:pPr>
            <w:r w:rsidRPr="00B6081F">
              <w:rPr>
                <w:rFonts w:cs="Arial"/>
                <w:sz w:val="18"/>
                <w:szCs w:val="18"/>
              </w:rPr>
              <w:t>Other financial liabilities</w:t>
            </w:r>
          </w:p>
        </w:tc>
        <w:tc>
          <w:tcPr>
            <w:tcW w:w="567" w:type="dxa"/>
          </w:tcPr>
          <w:p w14:paraId="6D82269E" w14:textId="77777777" w:rsidR="004D2FFF" w:rsidRPr="0047306F" w:rsidRDefault="004D2FFF" w:rsidP="00A10A6D">
            <w:pPr>
              <w:jc w:val="both"/>
              <w:rPr>
                <w:rFonts w:cs="Arial"/>
                <w:sz w:val="18"/>
                <w:szCs w:val="18"/>
              </w:rPr>
            </w:pPr>
            <w:r w:rsidRPr="0047306F">
              <w:rPr>
                <w:rFonts w:cs="Arial"/>
                <w:sz w:val="18"/>
                <w:szCs w:val="18"/>
              </w:rPr>
              <w:t>14</w:t>
            </w:r>
          </w:p>
        </w:tc>
        <w:tc>
          <w:tcPr>
            <w:tcW w:w="1701" w:type="dxa"/>
            <w:gridSpan w:val="2"/>
          </w:tcPr>
          <w:p w14:paraId="35106559" w14:textId="77777777" w:rsidR="004D2FFF" w:rsidRPr="00002C01" w:rsidRDefault="004D2FFF" w:rsidP="00A10A6D">
            <w:pPr>
              <w:tabs>
                <w:tab w:val="decimal" w:pos="1168"/>
              </w:tabs>
              <w:ind w:right="48"/>
              <w:jc w:val="both"/>
              <w:rPr>
                <w:rFonts w:cs="Arial"/>
                <w:sz w:val="18"/>
                <w:szCs w:val="18"/>
              </w:rPr>
            </w:pPr>
            <w:r w:rsidRPr="00002C01">
              <w:rPr>
                <w:rFonts w:cs="Arial"/>
                <w:spacing w:val="-2"/>
                <w:sz w:val="18"/>
                <w:szCs w:val="18"/>
              </w:rPr>
              <w:t>28,792</w:t>
            </w:r>
          </w:p>
        </w:tc>
        <w:tc>
          <w:tcPr>
            <w:tcW w:w="1984" w:type="dxa"/>
          </w:tcPr>
          <w:p w14:paraId="510CDB2D" w14:textId="77777777" w:rsidR="004D2FFF" w:rsidRPr="00A10A6D" w:rsidRDefault="004D2FFF" w:rsidP="00A10A6D">
            <w:pPr>
              <w:tabs>
                <w:tab w:val="decimal" w:pos="1168"/>
              </w:tabs>
              <w:ind w:right="48"/>
              <w:jc w:val="both"/>
              <w:rPr>
                <w:rFonts w:cs="Arial"/>
                <w:sz w:val="18"/>
                <w:szCs w:val="18"/>
              </w:rPr>
            </w:pPr>
            <w:r w:rsidRPr="00A10A6D">
              <w:rPr>
                <w:rFonts w:cs="Arial"/>
                <w:spacing w:val="-2"/>
                <w:sz w:val="18"/>
                <w:szCs w:val="18"/>
              </w:rPr>
              <w:t>28,951</w:t>
            </w:r>
          </w:p>
        </w:tc>
        <w:tc>
          <w:tcPr>
            <w:tcW w:w="1701" w:type="dxa"/>
          </w:tcPr>
          <w:p w14:paraId="75413100"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2</w:t>
            </w:r>
            <w:r>
              <w:rPr>
                <w:rFonts w:cs="Arial"/>
                <w:sz w:val="18"/>
                <w:szCs w:val="18"/>
              </w:rPr>
              <w:t>6</w:t>
            </w:r>
          </w:p>
        </w:tc>
        <w:tc>
          <w:tcPr>
            <w:tcW w:w="1843" w:type="dxa"/>
          </w:tcPr>
          <w:p w14:paraId="6101BD2A"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30</w:t>
            </w:r>
          </w:p>
        </w:tc>
      </w:tr>
      <w:tr w:rsidR="004D2FFF" w:rsidRPr="00C328EF" w14:paraId="05CC4652" w14:textId="77777777" w:rsidTr="004D2FFF">
        <w:trPr>
          <w:gridBefore w:val="1"/>
          <w:wBefore w:w="30" w:type="dxa"/>
        </w:trPr>
        <w:tc>
          <w:tcPr>
            <w:tcW w:w="2630" w:type="dxa"/>
          </w:tcPr>
          <w:p w14:paraId="43B069F9" w14:textId="77777777" w:rsidR="004D2FFF" w:rsidRPr="00B6081F" w:rsidRDefault="004D2FFF" w:rsidP="00A10A6D">
            <w:pPr>
              <w:rPr>
                <w:rFonts w:cs="Arial"/>
                <w:sz w:val="18"/>
                <w:szCs w:val="18"/>
              </w:rPr>
            </w:pPr>
            <w:r w:rsidRPr="00B6081F">
              <w:rPr>
                <w:rFonts w:cs="Arial"/>
                <w:sz w:val="18"/>
                <w:szCs w:val="18"/>
              </w:rPr>
              <w:t>Derivative financial liability</w:t>
            </w:r>
          </w:p>
        </w:tc>
        <w:tc>
          <w:tcPr>
            <w:tcW w:w="709" w:type="dxa"/>
            <w:gridSpan w:val="2"/>
          </w:tcPr>
          <w:p w14:paraId="61DE3C1D" w14:textId="77777777" w:rsidR="004D2FFF" w:rsidRPr="0047306F" w:rsidRDefault="004D2FFF" w:rsidP="00A10A6D">
            <w:pPr>
              <w:jc w:val="both"/>
              <w:rPr>
                <w:rFonts w:cs="Arial"/>
                <w:sz w:val="18"/>
                <w:szCs w:val="18"/>
              </w:rPr>
            </w:pPr>
            <w:r w:rsidRPr="0047306F">
              <w:rPr>
                <w:rFonts w:cs="Arial"/>
                <w:sz w:val="18"/>
                <w:szCs w:val="18"/>
              </w:rPr>
              <w:t>14,15</w:t>
            </w:r>
          </w:p>
        </w:tc>
        <w:tc>
          <w:tcPr>
            <w:tcW w:w="1701" w:type="dxa"/>
            <w:gridSpan w:val="2"/>
          </w:tcPr>
          <w:p w14:paraId="25B50964"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310</w:t>
            </w:r>
          </w:p>
        </w:tc>
        <w:tc>
          <w:tcPr>
            <w:tcW w:w="1984" w:type="dxa"/>
          </w:tcPr>
          <w:p w14:paraId="2D36078A"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689</w:t>
            </w:r>
          </w:p>
        </w:tc>
        <w:tc>
          <w:tcPr>
            <w:tcW w:w="1701" w:type="dxa"/>
          </w:tcPr>
          <w:p w14:paraId="0CCBF42E"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w:t>
            </w:r>
          </w:p>
        </w:tc>
        <w:tc>
          <w:tcPr>
            <w:tcW w:w="1843" w:type="dxa"/>
          </w:tcPr>
          <w:p w14:paraId="07634149"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6025FCA5" w14:textId="77777777" w:rsidTr="004D2FFF">
        <w:trPr>
          <w:gridBefore w:val="1"/>
          <w:wBefore w:w="30" w:type="dxa"/>
        </w:trPr>
        <w:tc>
          <w:tcPr>
            <w:tcW w:w="2630" w:type="dxa"/>
          </w:tcPr>
          <w:p w14:paraId="08B25F21" w14:textId="77777777" w:rsidR="004D2FFF" w:rsidRPr="00C33886" w:rsidRDefault="004D2FFF" w:rsidP="00C33886">
            <w:pPr>
              <w:jc w:val="both"/>
              <w:rPr>
                <w:rFonts w:cs="Arial"/>
                <w:sz w:val="18"/>
                <w:szCs w:val="18"/>
              </w:rPr>
            </w:pPr>
            <w:r w:rsidRPr="00B6081F">
              <w:rPr>
                <w:rFonts w:cs="Arial"/>
                <w:sz w:val="18"/>
                <w:szCs w:val="18"/>
              </w:rPr>
              <w:t>Lease obligations</w:t>
            </w:r>
          </w:p>
        </w:tc>
        <w:tc>
          <w:tcPr>
            <w:tcW w:w="709" w:type="dxa"/>
            <w:gridSpan w:val="2"/>
          </w:tcPr>
          <w:p w14:paraId="3DF83654" w14:textId="77777777" w:rsidR="004D2FFF" w:rsidRPr="0047306F" w:rsidRDefault="004D2FFF" w:rsidP="00C33886">
            <w:pPr>
              <w:jc w:val="both"/>
              <w:rPr>
                <w:rFonts w:cs="Arial"/>
                <w:sz w:val="18"/>
                <w:szCs w:val="18"/>
              </w:rPr>
            </w:pPr>
            <w:r w:rsidRPr="0047306F">
              <w:rPr>
                <w:rFonts w:cs="Arial"/>
                <w:sz w:val="18"/>
                <w:szCs w:val="18"/>
              </w:rPr>
              <w:t>1</w:t>
            </w:r>
            <w:r>
              <w:rPr>
                <w:rFonts w:cs="Arial"/>
                <w:sz w:val="18"/>
                <w:szCs w:val="18"/>
              </w:rPr>
              <w:t>4,16</w:t>
            </w:r>
          </w:p>
        </w:tc>
        <w:tc>
          <w:tcPr>
            <w:tcW w:w="1701" w:type="dxa"/>
            <w:gridSpan w:val="2"/>
          </w:tcPr>
          <w:p w14:paraId="7648F6F9"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12,955</w:t>
            </w:r>
          </w:p>
        </w:tc>
        <w:tc>
          <w:tcPr>
            <w:tcW w:w="1984" w:type="dxa"/>
          </w:tcPr>
          <w:p w14:paraId="6837B314"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12,762</w:t>
            </w:r>
          </w:p>
        </w:tc>
        <w:tc>
          <w:tcPr>
            <w:tcW w:w="1701" w:type="dxa"/>
          </w:tcPr>
          <w:p w14:paraId="3BDDF396"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w:t>
            </w:r>
          </w:p>
        </w:tc>
        <w:tc>
          <w:tcPr>
            <w:tcW w:w="1843" w:type="dxa"/>
          </w:tcPr>
          <w:p w14:paraId="4CD69BDB"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386FDF5C" w14:textId="77777777" w:rsidTr="004D2FFF">
        <w:trPr>
          <w:gridBefore w:val="1"/>
          <w:wBefore w:w="30" w:type="dxa"/>
        </w:trPr>
        <w:tc>
          <w:tcPr>
            <w:tcW w:w="2772" w:type="dxa"/>
            <w:gridSpan w:val="2"/>
          </w:tcPr>
          <w:p w14:paraId="2C5A28D9" w14:textId="77777777" w:rsidR="004D2FFF" w:rsidRPr="00C328EF" w:rsidRDefault="004D2FFF" w:rsidP="00A10A6D">
            <w:pPr>
              <w:rPr>
                <w:rFonts w:cs="Arial"/>
                <w:sz w:val="18"/>
                <w:szCs w:val="18"/>
                <w:highlight w:val="yellow"/>
              </w:rPr>
            </w:pPr>
          </w:p>
        </w:tc>
        <w:tc>
          <w:tcPr>
            <w:tcW w:w="567" w:type="dxa"/>
          </w:tcPr>
          <w:p w14:paraId="19DDDDAF" w14:textId="77777777" w:rsidR="004D2FFF" w:rsidRPr="00C328EF" w:rsidRDefault="004D2FFF" w:rsidP="00A10A6D">
            <w:pPr>
              <w:jc w:val="both"/>
              <w:rPr>
                <w:rFonts w:cs="Arial"/>
                <w:sz w:val="18"/>
                <w:szCs w:val="18"/>
                <w:highlight w:val="yellow"/>
              </w:rPr>
            </w:pPr>
          </w:p>
        </w:tc>
        <w:tc>
          <w:tcPr>
            <w:tcW w:w="1701" w:type="dxa"/>
            <w:gridSpan w:val="2"/>
          </w:tcPr>
          <w:p w14:paraId="6F8E35AC"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w:t>
            </w:r>
          </w:p>
        </w:tc>
        <w:tc>
          <w:tcPr>
            <w:tcW w:w="1984" w:type="dxa"/>
          </w:tcPr>
          <w:p w14:paraId="3DAE030B"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w:t>
            </w:r>
          </w:p>
        </w:tc>
        <w:tc>
          <w:tcPr>
            <w:tcW w:w="1701" w:type="dxa"/>
          </w:tcPr>
          <w:p w14:paraId="57B784B4"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w:t>
            </w:r>
          </w:p>
        </w:tc>
        <w:tc>
          <w:tcPr>
            <w:tcW w:w="1843" w:type="dxa"/>
          </w:tcPr>
          <w:p w14:paraId="366AC0B6"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60427FEF" w14:textId="77777777" w:rsidTr="004D2FFF">
        <w:trPr>
          <w:gridBefore w:val="1"/>
          <w:wBefore w:w="30" w:type="dxa"/>
        </w:trPr>
        <w:tc>
          <w:tcPr>
            <w:tcW w:w="2772" w:type="dxa"/>
            <w:gridSpan w:val="2"/>
          </w:tcPr>
          <w:p w14:paraId="36D88CB6" w14:textId="77777777" w:rsidR="004D2FFF" w:rsidRPr="00B6081F" w:rsidRDefault="004D2FFF" w:rsidP="00A10A6D">
            <w:pPr>
              <w:rPr>
                <w:rFonts w:cs="Arial"/>
                <w:b/>
                <w:sz w:val="18"/>
                <w:szCs w:val="18"/>
              </w:rPr>
            </w:pPr>
            <w:r w:rsidRPr="00B6081F">
              <w:rPr>
                <w:rFonts w:cs="Arial"/>
                <w:b/>
                <w:sz w:val="18"/>
                <w:szCs w:val="18"/>
              </w:rPr>
              <w:t>Total current liabilities</w:t>
            </w:r>
          </w:p>
        </w:tc>
        <w:tc>
          <w:tcPr>
            <w:tcW w:w="567" w:type="dxa"/>
          </w:tcPr>
          <w:p w14:paraId="2C9AF61D" w14:textId="77777777" w:rsidR="004D2FFF" w:rsidRPr="00C328EF" w:rsidRDefault="004D2FFF" w:rsidP="00A10A6D">
            <w:pPr>
              <w:jc w:val="both"/>
              <w:rPr>
                <w:rFonts w:cs="Arial"/>
                <w:sz w:val="18"/>
                <w:szCs w:val="18"/>
                <w:highlight w:val="yellow"/>
              </w:rPr>
            </w:pPr>
          </w:p>
        </w:tc>
        <w:tc>
          <w:tcPr>
            <w:tcW w:w="1701" w:type="dxa"/>
            <w:gridSpan w:val="2"/>
          </w:tcPr>
          <w:p w14:paraId="4FE081C3"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45,</w:t>
            </w:r>
            <w:r>
              <w:rPr>
                <w:rFonts w:cs="Arial"/>
                <w:sz w:val="18"/>
                <w:szCs w:val="18"/>
              </w:rPr>
              <w:t>252</w:t>
            </w:r>
          </w:p>
        </w:tc>
        <w:tc>
          <w:tcPr>
            <w:tcW w:w="1984" w:type="dxa"/>
          </w:tcPr>
          <w:p w14:paraId="72DEFDC3"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46,299</w:t>
            </w:r>
          </w:p>
        </w:tc>
        <w:tc>
          <w:tcPr>
            <w:tcW w:w="1701" w:type="dxa"/>
          </w:tcPr>
          <w:p w14:paraId="6FBA1F91"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3</w:t>
            </w:r>
            <w:r>
              <w:rPr>
                <w:rFonts w:cs="Arial"/>
                <w:sz w:val="18"/>
                <w:szCs w:val="18"/>
              </w:rPr>
              <w:t>3</w:t>
            </w:r>
          </w:p>
        </w:tc>
        <w:tc>
          <w:tcPr>
            <w:tcW w:w="1843" w:type="dxa"/>
          </w:tcPr>
          <w:p w14:paraId="5259F616"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30</w:t>
            </w:r>
          </w:p>
        </w:tc>
      </w:tr>
      <w:tr w:rsidR="004D2FFF" w:rsidRPr="00C328EF" w14:paraId="1508501F" w14:textId="77777777" w:rsidTr="004D2FFF">
        <w:trPr>
          <w:gridBefore w:val="1"/>
          <w:wBefore w:w="30" w:type="dxa"/>
        </w:trPr>
        <w:tc>
          <w:tcPr>
            <w:tcW w:w="2772" w:type="dxa"/>
            <w:gridSpan w:val="2"/>
          </w:tcPr>
          <w:p w14:paraId="7232DAC6" w14:textId="77777777" w:rsidR="004D2FFF" w:rsidRPr="00B6081F" w:rsidRDefault="004D2FFF" w:rsidP="00A10A6D">
            <w:pPr>
              <w:rPr>
                <w:rFonts w:cs="Arial"/>
                <w:sz w:val="18"/>
                <w:szCs w:val="18"/>
              </w:rPr>
            </w:pPr>
          </w:p>
        </w:tc>
        <w:tc>
          <w:tcPr>
            <w:tcW w:w="567" w:type="dxa"/>
          </w:tcPr>
          <w:p w14:paraId="23FFCDCD" w14:textId="77777777" w:rsidR="004D2FFF" w:rsidRPr="00C328EF" w:rsidRDefault="004D2FFF" w:rsidP="00A10A6D">
            <w:pPr>
              <w:jc w:val="both"/>
              <w:rPr>
                <w:rFonts w:cs="Arial"/>
                <w:sz w:val="18"/>
                <w:szCs w:val="18"/>
                <w:highlight w:val="yellow"/>
              </w:rPr>
            </w:pPr>
          </w:p>
        </w:tc>
        <w:tc>
          <w:tcPr>
            <w:tcW w:w="1701" w:type="dxa"/>
            <w:gridSpan w:val="2"/>
          </w:tcPr>
          <w:p w14:paraId="2786EC4B"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w:t>
            </w:r>
          </w:p>
        </w:tc>
        <w:tc>
          <w:tcPr>
            <w:tcW w:w="1984" w:type="dxa"/>
          </w:tcPr>
          <w:p w14:paraId="7E23C346"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w:t>
            </w:r>
          </w:p>
        </w:tc>
        <w:tc>
          <w:tcPr>
            <w:tcW w:w="1701" w:type="dxa"/>
          </w:tcPr>
          <w:p w14:paraId="3D073FF4"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w:t>
            </w:r>
          </w:p>
        </w:tc>
        <w:tc>
          <w:tcPr>
            <w:tcW w:w="1843" w:type="dxa"/>
          </w:tcPr>
          <w:p w14:paraId="5A2D404A"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72CD4A5C" w14:textId="77777777" w:rsidTr="004D2FFF">
        <w:trPr>
          <w:gridBefore w:val="1"/>
          <w:wBefore w:w="30" w:type="dxa"/>
        </w:trPr>
        <w:tc>
          <w:tcPr>
            <w:tcW w:w="2772" w:type="dxa"/>
            <w:gridSpan w:val="2"/>
          </w:tcPr>
          <w:p w14:paraId="7AF664B0" w14:textId="77777777" w:rsidR="004D2FFF" w:rsidRPr="00B6081F" w:rsidRDefault="004D2FFF" w:rsidP="00A10A6D">
            <w:pPr>
              <w:rPr>
                <w:rFonts w:cs="Arial"/>
                <w:b/>
                <w:sz w:val="18"/>
                <w:szCs w:val="18"/>
              </w:rPr>
            </w:pPr>
            <w:r w:rsidRPr="00B6081F">
              <w:rPr>
                <w:rFonts w:cs="Arial"/>
                <w:b/>
                <w:sz w:val="18"/>
                <w:szCs w:val="18"/>
              </w:rPr>
              <w:t>Total liabilities</w:t>
            </w:r>
          </w:p>
        </w:tc>
        <w:tc>
          <w:tcPr>
            <w:tcW w:w="567" w:type="dxa"/>
          </w:tcPr>
          <w:p w14:paraId="5981B350" w14:textId="77777777" w:rsidR="004D2FFF" w:rsidRPr="00C328EF" w:rsidRDefault="004D2FFF" w:rsidP="00A10A6D">
            <w:pPr>
              <w:jc w:val="both"/>
              <w:rPr>
                <w:rFonts w:cs="Arial"/>
                <w:sz w:val="18"/>
                <w:szCs w:val="18"/>
                <w:highlight w:val="yellow"/>
              </w:rPr>
            </w:pPr>
          </w:p>
        </w:tc>
        <w:tc>
          <w:tcPr>
            <w:tcW w:w="1701" w:type="dxa"/>
            <w:gridSpan w:val="2"/>
          </w:tcPr>
          <w:p w14:paraId="5FC8FC2C"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105,</w:t>
            </w:r>
            <w:r>
              <w:rPr>
                <w:rFonts w:cs="Arial"/>
                <w:sz w:val="18"/>
                <w:szCs w:val="18"/>
              </w:rPr>
              <w:t>568</w:t>
            </w:r>
          </w:p>
        </w:tc>
        <w:tc>
          <w:tcPr>
            <w:tcW w:w="1984" w:type="dxa"/>
          </w:tcPr>
          <w:p w14:paraId="3C7F0458"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120,611</w:t>
            </w:r>
          </w:p>
        </w:tc>
        <w:tc>
          <w:tcPr>
            <w:tcW w:w="1701" w:type="dxa"/>
          </w:tcPr>
          <w:p w14:paraId="6FD66E12" w14:textId="77777777" w:rsidR="004D2FFF" w:rsidRPr="005B5B2A" w:rsidRDefault="004D2FFF" w:rsidP="00A10A6D">
            <w:pPr>
              <w:tabs>
                <w:tab w:val="decimal" w:pos="1168"/>
              </w:tabs>
              <w:ind w:right="48"/>
              <w:jc w:val="both"/>
              <w:rPr>
                <w:rFonts w:cs="Arial"/>
                <w:sz w:val="18"/>
                <w:szCs w:val="18"/>
              </w:rPr>
            </w:pPr>
            <w:r w:rsidRPr="005B5B2A">
              <w:rPr>
                <w:rFonts w:cs="Arial"/>
                <w:sz w:val="18"/>
                <w:szCs w:val="18"/>
              </w:rPr>
              <w:t>3</w:t>
            </w:r>
            <w:r>
              <w:rPr>
                <w:rFonts w:cs="Arial"/>
                <w:sz w:val="18"/>
                <w:szCs w:val="18"/>
              </w:rPr>
              <w:t>3</w:t>
            </w:r>
          </w:p>
        </w:tc>
        <w:tc>
          <w:tcPr>
            <w:tcW w:w="1843" w:type="dxa"/>
          </w:tcPr>
          <w:p w14:paraId="10499B08" w14:textId="77777777" w:rsidR="004D2FFF" w:rsidRPr="00E70ECE" w:rsidRDefault="004D2FFF" w:rsidP="00A10A6D">
            <w:pPr>
              <w:tabs>
                <w:tab w:val="decimal" w:pos="1168"/>
              </w:tabs>
              <w:ind w:right="48"/>
              <w:jc w:val="both"/>
              <w:rPr>
                <w:rFonts w:cs="Arial"/>
                <w:sz w:val="18"/>
                <w:szCs w:val="18"/>
              </w:rPr>
            </w:pPr>
            <w:r w:rsidRPr="00E70ECE">
              <w:rPr>
                <w:rFonts w:cs="Arial"/>
                <w:sz w:val="18"/>
                <w:szCs w:val="18"/>
              </w:rPr>
              <w:t>30</w:t>
            </w:r>
          </w:p>
        </w:tc>
      </w:tr>
      <w:tr w:rsidR="004D2FFF" w:rsidRPr="00C328EF" w14:paraId="253074BB" w14:textId="77777777" w:rsidTr="004D2FFF">
        <w:trPr>
          <w:gridBefore w:val="1"/>
          <w:wBefore w:w="30" w:type="dxa"/>
        </w:trPr>
        <w:tc>
          <w:tcPr>
            <w:tcW w:w="2772" w:type="dxa"/>
            <w:gridSpan w:val="2"/>
          </w:tcPr>
          <w:p w14:paraId="48AA9E10" w14:textId="77777777" w:rsidR="004D2FFF" w:rsidRPr="00B6081F" w:rsidRDefault="004D2FFF" w:rsidP="00A10A6D">
            <w:pPr>
              <w:rPr>
                <w:rFonts w:cs="Arial"/>
                <w:sz w:val="18"/>
                <w:szCs w:val="18"/>
              </w:rPr>
            </w:pPr>
          </w:p>
        </w:tc>
        <w:tc>
          <w:tcPr>
            <w:tcW w:w="567" w:type="dxa"/>
          </w:tcPr>
          <w:p w14:paraId="547EA25B" w14:textId="77777777" w:rsidR="004D2FFF" w:rsidRPr="00C328EF" w:rsidRDefault="004D2FFF" w:rsidP="00A10A6D">
            <w:pPr>
              <w:jc w:val="both"/>
              <w:rPr>
                <w:rFonts w:cs="Arial"/>
                <w:sz w:val="18"/>
                <w:szCs w:val="18"/>
                <w:highlight w:val="yellow"/>
              </w:rPr>
            </w:pPr>
          </w:p>
        </w:tc>
        <w:tc>
          <w:tcPr>
            <w:tcW w:w="1701" w:type="dxa"/>
            <w:gridSpan w:val="2"/>
          </w:tcPr>
          <w:p w14:paraId="19274F08"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w:t>
            </w:r>
          </w:p>
        </w:tc>
        <w:tc>
          <w:tcPr>
            <w:tcW w:w="1984" w:type="dxa"/>
          </w:tcPr>
          <w:p w14:paraId="140FB4CF"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w:t>
            </w:r>
          </w:p>
        </w:tc>
        <w:tc>
          <w:tcPr>
            <w:tcW w:w="1701" w:type="dxa"/>
          </w:tcPr>
          <w:p w14:paraId="399826F1"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w:t>
            </w:r>
          </w:p>
        </w:tc>
        <w:tc>
          <w:tcPr>
            <w:tcW w:w="1843" w:type="dxa"/>
          </w:tcPr>
          <w:p w14:paraId="1D1AB8CE"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113A9149" w14:textId="77777777" w:rsidTr="004D2FFF">
        <w:trPr>
          <w:gridBefore w:val="1"/>
          <w:wBefore w:w="30" w:type="dxa"/>
        </w:trPr>
        <w:tc>
          <w:tcPr>
            <w:tcW w:w="2772" w:type="dxa"/>
            <w:gridSpan w:val="2"/>
          </w:tcPr>
          <w:p w14:paraId="4EFADEC2" w14:textId="77777777" w:rsidR="004D2FFF" w:rsidRPr="00B6081F" w:rsidRDefault="004D2FFF" w:rsidP="00A10A6D">
            <w:pPr>
              <w:rPr>
                <w:rFonts w:cs="Arial"/>
                <w:sz w:val="18"/>
                <w:szCs w:val="18"/>
              </w:rPr>
            </w:pPr>
          </w:p>
        </w:tc>
        <w:tc>
          <w:tcPr>
            <w:tcW w:w="567" w:type="dxa"/>
          </w:tcPr>
          <w:p w14:paraId="0940947E" w14:textId="77777777" w:rsidR="004D2FFF" w:rsidRPr="00C328EF" w:rsidRDefault="004D2FFF" w:rsidP="00A10A6D">
            <w:pPr>
              <w:jc w:val="both"/>
              <w:rPr>
                <w:rFonts w:cs="Arial"/>
                <w:sz w:val="18"/>
                <w:szCs w:val="18"/>
                <w:highlight w:val="yellow"/>
              </w:rPr>
            </w:pPr>
          </w:p>
        </w:tc>
        <w:tc>
          <w:tcPr>
            <w:tcW w:w="1701" w:type="dxa"/>
            <w:gridSpan w:val="2"/>
          </w:tcPr>
          <w:p w14:paraId="0D8D5B5A" w14:textId="77777777" w:rsidR="004D2FFF" w:rsidRPr="00002C01" w:rsidRDefault="004D2FFF" w:rsidP="00A10A6D">
            <w:pPr>
              <w:tabs>
                <w:tab w:val="decimal" w:pos="1168"/>
              </w:tabs>
              <w:ind w:right="48"/>
              <w:jc w:val="both"/>
              <w:rPr>
                <w:rFonts w:cs="Arial"/>
                <w:sz w:val="18"/>
                <w:szCs w:val="18"/>
              </w:rPr>
            </w:pPr>
            <w:r w:rsidRPr="00002C01">
              <w:rPr>
                <w:rFonts w:cs="Arial"/>
                <w:spacing w:val="-2"/>
                <w:sz w:val="18"/>
                <w:szCs w:val="18"/>
              </w:rPr>
              <w:t>───────</w:t>
            </w:r>
          </w:p>
        </w:tc>
        <w:tc>
          <w:tcPr>
            <w:tcW w:w="1984" w:type="dxa"/>
          </w:tcPr>
          <w:p w14:paraId="02F63A4E" w14:textId="77777777" w:rsidR="004D2FFF" w:rsidRPr="00A10A6D" w:rsidRDefault="004D2FFF" w:rsidP="00A10A6D">
            <w:pPr>
              <w:tabs>
                <w:tab w:val="decimal" w:pos="1168"/>
              </w:tabs>
              <w:ind w:right="48"/>
              <w:jc w:val="both"/>
              <w:rPr>
                <w:rFonts w:cs="Arial"/>
                <w:sz w:val="18"/>
                <w:szCs w:val="18"/>
              </w:rPr>
            </w:pPr>
            <w:r w:rsidRPr="00A10A6D">
              <w:rPr>
                <w:rFonts w:cs="Arial"/>
                <w:spacing w:val="-2"/>
                <w:sz w:val="18"/>
                <w:szCs w:val="18"/>
              </w:rPr>
              <w:t>───────</w:t>
            </w:r>
          </w:p>
        </w:tc>
        <w:tc>
          <w:tcPr>
            <w:tcW w:w="1701" w:type="dxa"/>
          </w:tcPr>
          <w:p w14:paraId="3B277510"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w:t>
            </w:r>
          </w:p>
        </w:tc>
        <w:tc>
          <w:tcPr>
            <w:tcW w:w="1843" w:type="dxa"/>
          </w:tcPr>
          <w:p w14:paraId="73C2BF87"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4DA63E2F" w14:textId="77777777" w:rsidTr="004D2FFF">
        <w:trPr>
          <w:gridBefore w:val="1"/>
          <w:wBefore w:w="30" w:type="dxa"/>
        </w:trPr>
        <w:tc>
          <w:tcPr>
            <w:tcW w:w="2772" w:type="dxa"/>
            <w:gridSpan w:val="2"/>
          </w:tcPr>
          <w:p w14:paraId="0EE45F16" w14:textId="77777777" w:rsidR="004D2FFF" w:rsidRPr="00B6081F" w:rsidRDefault="004D2FFF" w:rsidP="00A10A6D">
            <w:pPr>
              <w:rPr>
                <w:rFonts w:cs="Arial"/>
                <w:b/>
                <w:sz w:val="18"/>
                <w:szCs w:val="18"/>
              </w:rPr>
            </w:pPr>
            <w:r w:rsidRPr="00B6081F">
              <w:rPr>
                <w:rFonts w:cs="Arial"/>
                <w:b/>
                <w:sz w:val="18"/>
                <w:szCs w:val="18"/>
              </w:rPr>
              <w:t>Total equity and liabilities</w:t>
            </w:r>
          </w:p>
        </w:tc>
        <w:tc>
          <w:tcPr>
            <w:tcW w:w="567" w:type="dxa"/>
          </w:tcPr>
          <w:p w14:paraId="6A207FFE" w14:textId="77777777" w:rsidR="004D2FFF" w:rsidRPr="00C328EF" w:rsidRDefault="004D2FFF" w:rsidP="00A10A6D">
            <w:pPr>
              <w:jc w:val="both"/>
              <w:rPr>
                <w:rFonts w:cs="Arial"/>
                <w:sz w:val="18"/>
                <w:szCs w:val="18"/>
                <w:highlight w:val="yellow"/>
              </w:rPr>
            </w:pPr>
          </w:p>
        </w:tc>
        <w:tc>
          <w:tcPr>
            <w:tcW w:w="1701" w:type="dxa"/>
            <w:gridSpan w:val="2"/>
          </w:tcPr>
          <w:p w14:paraId="7BDB2B88"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241,</w:t>
            </w:r>
            <w:r>
              <w:rPr>
                <w:rFonts w:cs="Arial"/>
                <w:sz w:val="18"/>
                <w:szCs w:val="18"/>
              </w:rPr>
              <w:t>815</w:t>
            </w:r>
          </w:p>
        </w:tc>
        <w:tc>
          <w:tcPr>
            <w:tcW w:w="1984" w:type="dxa"/>
          </w:tcPr>
          <w:p w14:paraId="2221EEB4"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271,414</w:t>
            </w:r>
          </w:p>
        </w:tc>
        <w:tc>
          <w:tcPr>
            <w:tcW w:w="1701" w:type="dxa"/>
          </w:tcPr>
          <w:p w14:paraId="0ACF3142"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6,</w:t>
            </w:r>
            <w:r>
              <w:rPr>
                <w:rFonts w:cs="Arial"/>
                <w:sz w:val="18"/>
                <w:szCs w:val="18"/>
              </w:rPr>
              <w:t>155</w:t>
            </w:r>
          </w:p>
        </w:tc>
        <w:tc>
          <w:tcPr>
            <w:tcW w:w="1843" w:type="dxa"/>
          </w:tcPr>
          <w:p w14:paraId="49A1577D"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9,243</w:t>
            </w:r>
          </w:p>
        </w:tc>
      </w:tr>
      <w:tr w:rsidR="004D2FFF" w:rsidRPr="00C328EF" w14:paraId="717A5DB8" w14:textId="77777777" w:rsidTr="004D2FFF">
        <w:trPr>
          <w:gridBefore w:val="1"/>
          <w:wBefore w:w="30" w:type="dxa"/>
        </w:trPr>
        <w:tc>
          <w:tcPr>
            <w:tcW w:w="2772" w:type="dxa"/>
            <w:gridSpan w:val="2"/>
          </w:tcPr>
          <w:p w14:paraId="7DAC80DD" w14:textId="77777777" w:rsidR="004D2FFF" w:rsidRPr="00C328EF" w:rsidRDefault="004D2FFF" w:rsidP="00A10A6D">
            <w:pPr>
              <w:rPr>
                <w:rFonts w:cs="Arial"/>
                <w:sz w:val="18"/>
                <w:szCs w:val="18"/>
                <w:highlight w:val="yellow"/>
              </w:rPr>
            </w:pPr>
          </w:p>
        </w:tc>
        <w:tc>
          <w:tcPr>
            <w:tcW w:w="567" w:type="dxa"/>
          </w:tcPr>
          <w:p w14:paraId="5DD89EC9" w14:textId="77777777" w:rsidR="004D2FFF" w:rsidRPr="00C328EF" w:rsidRDefault="004D2FFF" w:rsidP="00A10A6D">
            <w:pPr>
              <w:jc w:val="both"/>
              <w:rPr>
                <w:rFonts w:cs="Arial"/>
                <w:sz w:val="18"/>
                <w:szCs w:val="18"/>
                <w:highlight w:val="yellow"/>
              </w:rPr>
            </w:pPr>
          </w:p>
        </w:tc>
        <w:tc>
          <w:tcPr>
            <w:tcW w:w="1701" w:type="dxa"/>
            <w:gridSpan w:val="2"/>
          </w:tcPr>
          <w:p w14:paraId="5A5072A3" w14:textId="77777777" w:rsidR="004D2FFF" w:rsidRPr="00002C01" w:rsidRDefault="004D2FFF" w:rsidP="00A10A6D">
            <w:pPr>
              <w:tabs>
                <w:tab w:val="decimal" w:pos="1168"/>
              </w:tabs>
              <w:ind w:right="48"/>
              <w:jc w:val="both"/>
              <w:rPr>
                <w:rFonts w:cs="Arial"/>
                <w:sz w:val="18"/>
                <w:szCs w:val="18"/>
              </w:rPr>
            </w:pPr>
            <w:r w:rsidRPr="00002C01">
              <w:rPr>
                <w:rFonts w:cs="Arial"/>
                <w:sz w:val="18"/>
                <w:szCs w:val="18"/>
              </w:rPr>
              <w:t>═══════</w:t>
            </w:r>
          </w:p>
        </w:tc>
        <w:tc>
          <w:tcPr>
            <w:tcW w:w="1984" w:type="dxa"/>
          </w:tcPr>
          <w:p w14:paraId="5B4ACD73" w14:textId="77777777" w:rsidR="004D2FFF" w:rsidRPr="00A10A6D" w:rsidRDefault="004D2FFF" w:rsidP="00A10A6D">
            <w:pPr>
              <w:tabs>
                <w:tab w:val="decimal" w:pos="1168"/>
              </w:tabs>
              <w:ind w:right="48"/>
              <w:jc w:val="both"/>
              <w:rPr>
                <w:rFonts w:cs="Arial"/>
                <w:sz w:val="18"/>
                <w:szCs w:val="18"/>
              </w:rPr>
            </w:pPr>
            <w:r w:rsidRPr="00A10A6D">
              <w:rPr>
                <w:rFonts w:cs="Arial"/>
                <w:sz w:val="18"/>
                <w:szCs w:val="18"/>
              </w:rPr>
              <w:t>═══════</w:t>
            </w:r>
          </w:p>
        </w:tc>
        <w:tc>
          <w:tcPr>
            <w:tcW w:w="1701" w:type="dxa"/>
          </w:tcPr>
          <w:p w14:paraId="5FB8A6BE" w14:textId="77777777" w:rsidR="004D2FFF" w:rsidRPr="005B5B2A" w:rsidRDefault="004D2FFF" w:rsidP="00A10A6D">
            <w:pPr>
              <w:tabs>
                <w:tab w:val="decimal" w:pos="1168"/>
              </w:tabs>
              <w:ind w:left="48" w:right="48"/>
              <w:jc w:val="both"/>
              <w:rPr>
                <w:rFonts w:cs="Arial"/>
                <w:sz w:val="18"/>
                <w:szCs w:val="18"/>
              </w:rPr>
            </w:pPr>
            <w:r w:rsidRPr="005B5B2A">
              <w:rPr>
                <w:rFonts w:cs="Arial"/>
                <w:sz w:val="18"/>
                <w:szCs w:val="18"/>
              </w:rPr>
              <w:t>═══════</w:t>
            </w:r>
          </w:p>
        </w:tc>
        <w:tc>
          <w:tcPr>
            <w:tcW w:w="1843" w:type="dxa"/>
          </w:tcPr>
          <w:p w14:paraId="49E1AB6D" w14:textId="77777777" w:rsidR="004D2FFF" w:rsidRPr="00E70ECE" w:rsidRDefault="004D2FFF" w:rsidP="00A10A6D">
            <w:pPr>
              <w:tabs>
                <w:tab w:val="decimal" w:pos="1168"/>
              </w:tabs>
              <w:ind w:left="48" w:right="48"/>
              <w:jc w:val="both"/>
              <w:rPr>
                <w:rFonts w:cs="Arial"/>
                <w:sz w:val="18"/>
                <w:szCs w:val="18"/>
              </w:rPr>
            </w:pPr>
            <w:r w:rsidRPr="00E70ECE">
              <w:rPr>
                <w:rFonts w:cs="Arial"/>
                <w:sz w:val="18"/>
                <w:szCs w:val="18"/>
              </w:rPr>
              <w:t>═══════</w:t>
            </w:r>
          </w:p>
        </w:tc>
      </w:tr>
      <w:tr w:rsidR="004D2FFF" w:rsidRPr="00C328EF" w14:paraId="21FDECF8" w14:textId="77777777" w:rsidTr="004D2FFF">
        <w:tblPrEx>
          <w:tblLook w:val="01E0" w:firstRow="1" w:lastRow="1" w:firstColumn="1" w:lastColumn="1" w:noHBand="0" w:noVBand="0"/>
        </w:tblPrEx>
        <w:tc>
          <w:tcPr>
            <w:tcW w:w="10598" w:type="dxa"/>
            <w:gridSpan w:val="9"/>
          </w:tcPr>
          <w:p w14:paraId="7E6A55F9" w14:textId="77777777" w:rsidR="004D2FFF" w:rsidRPr="00C328EF" w:rsidRDefault="004D2FFF" w:rsidP="00E80C3F">
            <w:pPr>
              <w:jc w:val="both"/>
              <w:rPr>
                <w:sz w:val="18"/>
                <w:szCs w:val="18"/>
                <w:highlight w:val="yellow"/>
              </w:rPr>
            </w:pPr>
          </w:p>
          <w:p w14:paraId="507134A8" w14:textId="35A5A583" w:rsidR="004D2FFF" w:rsidRPr="00C328EF" w:rsidRDefault="004D2FFF" w:rsidP="00E80C3F">
            <w:pPr>
              <w:jc w:val="both"/>
              <w:rPr>
                <w:sz w:val="18"/>
                <w:szCs w:val="18"/>
                <w:highlight w:val="yellow"/>
              </w:rPr>
            </w:pPr>
            <w:r w:rsidRPr="00E70ECE">
              <w:rPr>
                <w:sz w:val="18"/>
                <w:szCs w:val="18"/>
              </w:rPr>
              <w:t xml:space="preserve">The financial statements were authorised for issue by the Board of Directors </w:t>
            </w:r>
            <w:r w:rsidRPr="00224B26">
              <w:rPr>
                <w:sz w:val="18"/>
                <w:szCs w:val="18"/>
              </w:rPr>
              <w:t xml:space="preserve">on </w:t>
            </w:r>
            <w:r w:rsidR="00224B26">
              <w:rPr>
                <w:sz w:val="18"/>
                <w:szCs w:val="18"/>
              </w:rPr>
              <w:t>25 September</w:t>
            </w:r>
            <w:r w:rsidRPr="00224B26">
              <w:rPr>
                <w:sz w:val="18"/>
                <w:szCs w:val="18"/>
              </w:rPr>
              <w:t xml:space="preserve"> 2025</w:t>
            </w:r>
            <w:r w:rsidRPr="005E1241">
              <w:rPr>
                <w:sz w:val="18"/>
                <w:szCs w:val="18"/>
              </w:rPr>
              <w:t xml:space="preserve"> and</w:t>
            </w:r>
            <w:r w:rsidRPr="00E70ECE">
              <w:rPr>
                <w:sz w:val="18"/>
                <w:szCs w:val="18"/>
              </w:rPr>
              <w:t xml:space="preserve"> were signed on its behalf by:</w:t>
            </w:r>
          </w:p>
        </w:tc>
      </w:tr>
    </w:tbl>
    <w:p w14:paraId="2578BB10" w14:textId="77777777" w:rsidR="00D1188F" w:rsidRDefault="00D1188F" w:rsidP="004F1CD6">
      <w:pPr>
        <w:ind w:left="6237"/>
        <w:rPr>
          <w:sz w:val="18"/>
          <w:szCs w:val="18"/>
          <w:highlight w:val="yellow"/>
        </w:rPr>
      </w:pPr>
    </w:p>
    <w:p w14:paraId="23AD2DE7" w14:textId="77777777" w:rsidR="00BE3A56" w:rsidRPr="00C328EF" w:rsidRDefault="004F1CD6" w:rsidP="004F1CD6">
      <w:pPr>
        <w:ind w:left="6237"/>
        <w:rPr>
          <w:sz w:val="18"/>
          <w:szCs w:val="18"/>
          <w:highlight w:val="yellow"/>
        </w:rPr>
      </w:pPr>
      <w:r w:rsidRPr="00C328EF">
        <w:rPr>
          <w:sz w:val="18"/>
          <w:szCs w:val="18"/>
          <w:highlight w:val="yellow"/>
        </w:rPr>
        <w:tab/>
      </w:r>
      <w:r w:rsidRPr="00E70ECE">
        <w:rPr>
          <w:sz w:val="18"/>
          <w:szCs w:val="18"/>
        </w:rPr>
        <w:t xml:space="preserve">     </w:t>
      </w:r>
      <w:r w:rsidR="00BA370E" w:rsidRPr="00E70ECE">
        <w:rPr>
          <w:sz w:val="18"/>
          <w:szCs w:val="18"/>
        </w:rPr>
        <w:t xml:space="preserve">Registered number </w:t>
      </w:r>
      <w:r w:rsidR="00291C0C" w:rsidRPr="00E70ECE">
        <w:rPr>
          <w:sz w:val="18"/>
          <w:szCs w:val="18"/>
        </w:rPr>
        <w:t>SC443895</w:t>
      </w:r>
    </w:p>
    <w:tbl>
      <w:tblPr>
        <w:tblW w:w="0" w:type="auto"/>
        <w:tblInd w:w="84" w:type="dxa"/>
        <w:tblLook w:val="01E0" w:firstRow="1" w:lastRow="1" w:firstColumn="1" w:lastColumn="1" w:noHBand="0" w:noVBand="0"/>
      </w:tblPr>
      <w:tblGrid>
        <w:gridCol w:w="3852"/>
      </w:tblGrid>
      <w:tr w:rsidR="00BE3A56" w:rsidRPr="00C328EF" w14:paraId="7BAB7AD5" w14:textId="77777777" w:rsidTr="006F5779">
        <w:tc>
          <w:tcPr>
            <w:tcW w:w="3852" w:type="dxa"/>
          </w:tcPr>
          <w:p w14:paraId="77185616" w14:textId="676A9ED0" w:rsidR="007043EC" w:rsidRPr="00C328EF" w:rsidRDefault="00224B26" w:rsidP="00852FFB">
            <w:pPr>
              <w:rPr>
                <w:rFonts w:cs="Arial"/>
                <w:b/>
                <w:spacing w:val="-2"/>
                <w:sz w:val="18"/>
                <w:szCs w:val="18"/>
                <w:highlight w:val="yellow"/>
              </w:rPr>
            </w:pPr>
            <w:r>
              <w:rPr>
                <w:b/>
                <w:sz w:val="18"/>
                <w:szCs w:val="18"/>
              </w:rPr>
              <w:t>Richard Lloyd-Bithell</w:t>
            </w:r>
            <w:r w:rsidR="00EA4F35" w:rsidRPr="00224B26">
              <w:rPr>
                <w:b/>
                <w:sz w:val="18"/>
                <w:szCs w:val="18"/>
              </w:rPr>
              <w:t xml:space="preserve">, </w:t>
            </w:r>
            <w:r w:rsidR="00F7334A" w:rsidRPr="00224B26">
              <w:rPr>
                <w:b/>
                <w:sz w:val="18"/>
                <w:szCs w:val="18"/>
              </w:rPr>
              <w:t>Directo</w:t>
            </w:r>
            <w:r w:rsidR="00EA4F35" w:rsidRPr="00224B26">
              <w:rPr>
                <w:b/>
                <w:sz w:val="18"/>
                <w:szCs w:val="18"/>
              </w:rPr>
              <w:t>r</w:t>
            </w:r>
          </w:p>
        </w:tc>
      </w:tr>
    </w:tbl>
    <w:p w14:paraId="7C942C7F" w14:textId="77777777" w:rsidR="00D1188F" w:rsidRDefault="00D1188F" w:rsidP="00732D15">
      <w:pPr>
        <w:spacing w:after="120"/>
        <w:jc w:val="center"/>
      </w:pPr>
    </w:p>
    <w:p w14:paraId="5B7BEC5C" w14:textId="77777777" w:rsidR="00732D15" w:rsidRPr="00C328EF" w:rsidRDefault="00F64B35" w:rsidP="00732D15">
      <w:pPr>
        <w:spacing w:after="120"/>
        <w:jc w:val="center"/>
        <w:rPr>
          <w:highlight w:val="yellow"/>
        </w:rPr>
      </w:pPr>
      <w:r w:rsidRPr="008D25F6">
        <w:t>T</w:t>
      </w:r>
      <w:r w:rsidR="00732D15" w:rsidRPr="008D25F6">
        <w:t xml:space="preserve">he accompanying </w:t>
      </w:r>
      <w:r w:rsidR="00421ADF" w:rsidRPr="008D25F6">
        <w:t>notes</w:t>
      </w:r>
      <w:r w:rsidR="008F50BB" w:rsidRPr="008D25F6">
        <w:t xml:space="preserve"> on pages </w:t>
      </w:r>
      <w:r w:rsidR="00BE1FC9" w:rsidRPr="008D25F6">
        <w:t>3</w:t>
      </w:r>
      <w:r w:rsidR="00FD0B28">
        <w:t>7</w:t>
      </w:r>
      <w:r w:rsidR="00F01658" w:rsidRPr="008D25F6">
        <w:t xml:space="preserve"> to </w:t>
      </w:r>
      <w:r w:rsidR="008D25F6" w:rsidRPr="008D25F6">
        <w:t>7</w:t>
      </w:r>
      <w:r w:rsidR="00FD0B28">
        <w:t>2</w:t>
      </w:r>
      <w:r w:rsidR="00421ADF" w:rsidRPr="008D25F6">
        <w:t xml:space="preserve"> </w:t>
      </w:r>
      <w:r w:rsidR="00732D15" w:rsidRPr="008D25F6">
        <w:t>form part of these financial</w:t>
      </w:r>
      <w:r w:rsidR="00732D15" w:rsidRPr="0025317F">
        <w:t xml:space="preserve"> statements</w:t>
      </w:r>
    </w:p>
    <w:p w14:paraId="3C2778BD" w14:textId="77777777" w:rsidR="00AB3075" w:rsidRPr="001073FE" w:rsidRDefault="00A04A70" w:rsidP="00D900E7">
      <w:pPr>
        <w:jc w:val="center"/>
        <w:rPr>
          <w:b/>
        </w:rPr>
      </w:pPr>
      <w:r w:rsidRPr="00C328EF">
        <w:rPr>
          <w:highlight w:val="yellow"/>
        </w:rPr>
        <w:br w:type="page"/>
      </w:r>
      <w:r w:rsidR="00CC336F" w:rsidRPr="001073FE">
        <w:rPr>
          <w:b/>
        </w:rPr>
        <w:lastRenderedPageBreak/>
        <w:t>TRANSPORT FOR EDINBURGH LIMITED</w:t>
      </w:r>
    </w:p>
    <w:p w14:paraId="514FB30A" w14:textId="77777777" w:rsidR="00AB3075" w:rsidRPr="001073FE" w:rsidRDefault="00AB3075" w:rsidP="00D900E7">
      <w:pPr>
        <w:jc w:val="center"/>
        <w:rPr>
          <w:b/>
        </w:rPr>
      </w:pPr>
    </w:p>
    <w:p w14:paraId="7994724D" w14:textId="77777777" w:rsidR="00AB3075" w:rsidRPr="001073FE" w:rsidRDefault="00AB3075" w:rsidP="00D900E7">
      <w:pPr>
        <w:jc w:val="center"/>
        <w:rPr>
          <w:b/>
        </w:rPr>
      </w:pPr>
      <w:r w:rsidRPr="001073FE">
        <w:rPr>
          <w:b/>
        </w:rPr>
        <w:t xml:space="preserve">Consolidated </w:t>
      </w:r>
      <w:r w:rsidR="006F15C9" w:rsidRPr="001073FE">
        <w:rPr>
          <w:b/>
        </w:rPr>
        <w:t>S</w:t>
      </w:r>
      <w:r w:rsidRPr="001073FE">
        <w:rPr>
          <w:b/>
        </w:rPr>
        <w:t xml:space="preserve">tatement of </w:t>
      </w:r>
      <w:r w:rsidR="006F15C9" w:rsidRPr="001073FE">
        <w:rPr>
          <w:b/>
        </w:rPr>
        <w:t>C</w:t>
      </w:r>
      <w:r w:rsidRPr="001073FE">
        <w:rPr>
          <w:b/>
        </w:rPr>
        <w:t xml:space="preserve">hanges in </w:t>
      </w:r>
      <w:r w:rsidR="006F15C9" w:rsidRPr="001073FE">
        <w:rPr>
          <w:b/>
        </w:rPr>
        <w:t>E</w:t>
      </w:r>
      <w:r w:rsidRPr="001073FE">
        <w:rPr>
          <w:b/>
        </w:rPr>
        <w:t>quity</w:t>
      </w:r>
    </w:p>
    <w:p w14:paraId="4EF1F4D9" w14:textId="77777777" w:rsidR="00AB3075" w:rsidRPr="001073FE" w:rsidRDefault="00AB3075" w:rsidP="00D900E7">
      <w:pPr>
        <w:jc w:val="center"/>
        <w:rPr>
          <w:b/>
        </w:rPr>
      </w:pPr>
    </w:p>
    <w:p w14:paraId="334B12DB" w14:textId="77777777" w:rsidR="00AB3075" w:rsidRPr="001073FE" w:rsidRDefault="001959E2" w:rsidP="00D900E7">
      <w:pPr>
        <w:jc w:val="center"/>
        <w:rPr>
          <w:b/>
        </w:rPr>
      </w:pPr>
      <w:r>
        <w:rPr>
          <w:b/>
        </w:rPr>
        <w:t>For the period ended</w:t>
      </w:r>
      <w:r w:rsidR="00AB3075" w:rsidRPr="001073FE">
        <w:rPr>
          <w:b/>
        </w:rPr>
        <w:t xml:space="preserve"> </w:t>
      </w:r>
      <w:r w:rsidR="00002C01">
        <w:rPr>
          <w:b/>
        </w:rPr>
        <w:t>28</w:t>
      </w:r>
      <w:r w:rsidR="00AB3075" w:rsidRPr="001073FE">
        <w:rPr>
          <w:b/>
        </w:rPr>
        <w:t xml:space="preserve"> December 20</w:t>
      </w:r>
      <w:r w:rsidR="001F1B1A" w:rsidRPr="001073FE">
        <w:rPr>
          <w:b/>
        </w:rPr>
        <w:t>2</w:t>
      </w:r>
      <w:r w:rsidR="001073FE" w:rsidRPr="001073FE">
        <w:rPr>
          <w:b/>
        </w:rPr>
        <w:t>4</w:t>
      </w:r>
    </w:p>
    <w:p w14:paraId="621F3638" w14:textId="77777777" w:rsidR="00AB3075" w:rsidRPr="001073FE" w:rsidRDefault="00AB3075" w:rsidP="00AB3075">
      <w:pPr>
        <w:spacing w:after="120"/>
        <w:jc w:val="center"/>
      </w:pPr>
    </w:p>
    <w:tbl>
      <w:tblPr>
        <w:tblW w:w="16478" w:type="dxa"/>
        <w:tblInd w:w="-601" w:type="dxa"/>
        <w:tblLayout w:type="fixed"/>
        <w:tblLook w:val="0000" w:firstRow="0" w:lastRow="0" w:firstColumn="0" w:lastColumn="0" w:noHBand="0" w:noVBand="0"/>
      </w:tblPr>
      <w:tblGrid>
        <w:gridCol w:w="2552"/>
        <w:gridCol w:w="567"/>
        <w:gridCol w:w="1134"/>
        <w:gridCol w:w="1134"/>
        <w:gridCol w:w="1134"/>
        <w:gridCol w:w="1134"/>
        <w:gridCol w:w="1134"/>
        <w:gridCol w:w="1276"/>
        <w:gridCol w:w="1309"/>
        <w:gridCol w:w="1276"/>
        <w:gridCol w:w="1276"/>
        <w:gridCol w:w="1276"/>
        <w:gridCol w:w="1276"/>
      </w:tblGrid>
      <w:tr w:rsidR="006933EA" w:rsidRPr="001073FE" w14:paraId="410C7066" w14:textId="77777777" w:rsidTr="00224B26">
        <w:trPr>
          <w:gridAfter w:val="4"/>
          <w:wAfter w:w="5104" w:type="dxa"/>
        </w:trPr>
        <w:tc>
          <w:tcPr>
            <w:tcW w:w="2552" w:type="dxa"/>
          </w:tcPr>
          <w:p w14:paraId="626FFA4D" w14:textId="77777777" w:rsidR="006933EA" w:rsidRPr="001073FE" w:rsidRDefault="006933EA" w:rsidP="0016035E">
            <w:pPr>
              <w:jc w:val="center"/>
              <w:rPr>
                <w:b/>
              </w:rPr>
            </w:pPr>
            <w:bookmarkStart w:id="22" w:name="_Hlk200712640"/>
          </w:p>
        </w:tc>
        <w:tc>
          <w:tcPr>
            <w:tcW w:w="567" w:type="dxa"/>
          </w:tcPr>
          <w:p w14:paraId="7CE254C1" w14:textId="77777777" w:rsidR="006933EA" w:rsidRPr="001073FE" w:rsidRDefault="006933EA" w:rsidP="0016035E">
            <w:pPr>
              <w:jc w:val="right"/>
              <w:rPr>
                <w:b/>
              </w:rPr>
            </w:pPr>
          </w:p>
        </w:tc>
        <w:tc>
          <w:tcPr>
            <w:tcW w:w="1134" w:type="dxa"/>
          </w:tcPr>
          <w:p w14:paraId="11DA68D3" w14:textId="77777777" w:rsidR="006933EA" w:rsidRPr="001073FE" w:rsidRDefault="006933EA" w:rsidP="00381C19">
            <w:pPr>
              <w:suppressAutoHyphens/>
              <w:ind w:right="138"/>
              <w:jc w:val="center"/>
              <w:rPr>
                <w:rFonts w:cs="Arial"/>
                <w:b/>
                <w:spacing w:val="-2"/>
              </w:rPr>
            </w:pPr>
          </w:p>
          <w:p w14:paraId="02F4321C" w14:textId="77777777" w:rsidR="006933EA" w:rsidRPr="001073FE" w:rsidRDefault="006933EA" w:rsidP="00381C19">
            <w:pPr>
              <w:suppressAutoHyphens/>
              <w:ind w:right="-108"/>
              <w:jc w:val="center"/>
              <w:rPr>
                <w:rFonts w:cs="Arial"/>
                <w:b/>
                <w:spacing w:val="-2"/>
              </w:rPr>
            </w:pPr>
            <w:r w:rsidRPr="001073FE">
              <w:rPr>
                <w:rFonts w:cs="Arial"/>
                <w:b/>
                <w:spacing w:val="-2"/>
              </w:rPr>
              <w:t>Share</w:t>
            </w:r>
          </w:p>
          <w:p w14:paraId="6D330C46" w14:textId="77777777" w:rsidR="006933EA" w:rsidRPr="001073FE" w:rsidRDefault="006933EA" w:rsidP="00381C19">
            <w:pPr>
              <w:suppressAutoHyphens/>
              <w:ind w:right="-108"/>
              <w:jc w:val="center"/>
              <w:rPr>
                <w:rFonts w:cs="Arial"/>
                <w:b/>
                <w:spacing w:val="-2"/>
              </w:rPr>
            </w:pPr>
            <w:r w:rsidRPr="001073FE">
              <w:rPr>
                <w:rFonts w:cs="Arial"/>
                <w:b/>
                <w:spacing w:val="-2"/>
              </w:rPr>
              <w:t>Capital</w:t>
            </w:r>
          </w:p>
        </w:tc>
        <w:tc>
          <w:tcPr>
            <w:tcW w:w="1134" w:type="dxa"/>
          </w:tcPr>
          <w:p w14:paraId="5A6ACACC" w14:textId="77777777" w:rsidR="006933EA" w:rsidRPr="001073FE" w:rsidRDefault="006933EA" w:rsidP="00381C19">
            <w:pPr>
              <w:suppressAutoHyphens/>
              <w:ind w:right="138"/>
              <w:jc w:val="center"/>
              <w:rPr>
                <w:rFonts w:cs="Arial"/>
                <w:b/>
                <w:spacing w:val="-2"/>
              </w:rPr>
            </w:pPr>
          </w:p>
          <w:p w14:paraId="4DF2DE22" w14:textId="77777777" w:rsidR="006933EA" w:rsidRPr="001073FE" w:rsidRDefault="006933EA" w:rsidP="00381C19">
            <w:pPr>
              <w:suppressAutoHyphens/>
              <w:ind w:left="-108" w:right="-108"/>
              <w:jc w:val="center"/>
              <w:rPr>
                <w:rFonts w:cs="Arial"/>
                <w:b/>
                <w:spacing w:val="-2"/>
              </w:rPr>
            </w:pPr>
            <w:r w:rsidRPr="001073FE">
              <w:rPr>
                <w:rFonts w:cs="Arial"/>
                <w:b/>
                <w:spacing w:val="-2"/>
              </w:rPr>
              <w:t>Revaluation Reserve</w:t>
            </w:r>
          </w:p>
        </w:tc>
        <w:tc>
          <w:tcPr>
            <w:tcW w:w="1134" w:type="dxa"/>
          </w:tcPr>
          <w:p w14:paraId="79409903" w14:textId="77777777" w:rsidR="006933EA" w:rsidRPr="001073FE" w:rsidRDefault="006933EA" w:rsidP="00381C19">
            <w:pPr>
              <w:suppressAutoHyphens/>
              <w:ind w:right="138"/>
              <w:jc w:val="center"/>
              <w:rPr>
                <w:rFonts w:cs="Arial"/>
                <w:b/>
                <w:spacing w:val="-2"/>
              </w:rPr>
            </w:pPr>
          </w:p>
          <w:p w14:paraId="3E3B000D" w14:textId="77777777" w:rsidR="006933EA" w:rsidRPr="001073FE" w:rsidRDefault="006933EA" w:rsidP="007E673D">
            <w:pPr>
              <w:suppressAutoHyphens/>
              <w:ind w:right="34"/>
              <w:jc w:val="center"/>
              <w:rPr>
                <w:rFonts w:cs="Arial"/>
                <w:b/>
                <w:spacing w:val="-2"/>
              </w:rPr>
            </w:pPr>
            <w:r w:rsidRPr="001073FE">
              <w:rPr>
                <w:rFonts w:cs="Arial"/>
                <w:b/>
                <w:spacing w:val="-2"/>
              </w:rPr>
              <w:t xml:space="preserve">Other </w:t>
            </w:r>
            <w:r w:rsidR="007E673D" w:rsidRPr="001073FE">
              <w:rPr>
                <w:rFonts w:cs="Arial"/>
                <w:b/>
                <w:spacing w:val="-2"/>
              </w:rPr>
              <w:t>R</w:t>
            </w:r>
            <w:r w:rsidRPr="001073FE">
              <w:rPr>
                <w:rFonts w:cs="Arial"/>
                <w:b/>
                <w:spacing w:val="-2"/>
              </w:rPr>
              <w:t>eserves</w:t>
            </w:r>
          </w:p>
        </w:tc>
        <w:tc>
          <w:tcPr>
            <w:tcW w:w="1134" w:type="dxa"/>
          </w:tcPr>
          <w:p w14:paraId="787DC537" w14:textId="77777777" w:rsidR="006933EA" w:rsidRPr="001073FE" w:rsidRDefault="006933EA" w:rsidP="00381C19">
            <w:pPr>
              <w:suppressAutoHyphens/>
              <w:ind w:right="138"/>
              <w:jc w:val="center"/>
              <w:rPr>
                <w:rFonts w:cs="Arial"/>
                <w:b/>
                <w:spacing w:val="-2"/>
              </w:rPr>
            </w:pPr>
          </w:p>
          <w:p w14:paraId="0C03CEA9" w14:textId="77777777" w:rsidR="006933EA" w:rsidRPr="001073FE" w:rsidRDefault="006933EA" w:rsidP="00381C19">
            <w:pPr>
              <w:suppressAutoHyphens/>
              <w:jc w:val="center"/>
              <w:rPr>
                <w:rFonts w:cs="Arial"/>
                <w:b/>
                <w:spacing w:val="-2"/>
              </w:rPr>
            </w:pPr>
            <w:r w:rsidRPr="001073FE">
              <w:rPr>
                <w:rFonts w:cs="Arial"/>
                <w:b/>
                <w:spacing w:val="-2"/>
              </w:rPr>
              <w:t>Retained</w:t>
            </w:r>
          </w:p>
          <w:p w14:paraId="091BF0A8" w14:textId="77777777" w:rsidR="006933EA" w:rsidRPr="001073FE" w:rsidRDefault="006933EA" w:rsidP="00381C19">
            <w:pPr>
              <w:suppressAutoHyphens/>
              <w:jc w:val="center"/>
              <w:rPr>
                <w:rFonts w:cs="Arial"/>
                <w:b/>
                <w:spacing w:val="-2"/>
              </w:rPr>
            </w:pPr>
            <w:r w:rsidRPr="001073FE">
              <w:rPr>
                <w:rFonts w:cs="Arial"/>
                <w:b/>
                <w:spacing w:val="-2"/>
              </w:rPr>
              <w:t>Earnings</w:t>
            </w:r>
          </w:p>
        </w:tc>
        <w:tc>
          <w:tcPr>
            <w:tcW w:w="1134" w:type="dxa"/>
          </w:tcPr>
          <w:p w14:paraId="0FEC068B" w14:textId="77777777" w:rsidR="006933EA" w:rsidRPr="001073FE" w:rsidRDefault="006933EA" w:rsidP="00381C19">
            <w:pPr>
              <w:suppressAutoHyphens/>
              <w:ind w:right="138"/>
              <w:jc w:val="center"/>
              <w:rPr>
                <w:rFonts w:cs="Arial"/>
                <w:b/>
                <w:spacing w:val="-2"/>
              </w:rPr>
            </w:pPr>
          </w:p>
          <w:p w14:paraId="6CC3CE19" w14:textId="77777777" w:rsidR="006933EA" w:rsidRPr="001073FE" w:rsidRDefault="006933EA" w:rsidP="007E673D">
            <w:pPr>
              <w:suppressAutoHyphens/>
              <w:jc w:val="center"/>
              <w:rPr>
                <w:rFonts w:cs="Arial"/>
                <w:b/>
                <w:spacing w:val="-2"/>
              </w:rPr>
            </w:pPr>
            <w:r w:rsidRPr="001073FE">
              <w:rPr>
                <w:rFonts w:cs="Arial"/>
                <w:b/>
                <w:spacing w:val="-2"/>
              </w:rPr>
              <w:t xml:space="preserve">Hedging </w:t>
            </w:r>
            <w:r w:rsidR="007E673D" w:rsidRPr="001073FE">
              <w:rPr>
                <w:rFonts w:cs="Arial"/>
                <w:b/>
                <w:spacing w:val="-2"/>
              </w:rPr>
              <w:t>R</w:t>
            </w:r>
            <w:r w:rsidRPr="001073FE">
              <w:rPr>
                <w:rFonts w:cs="Arial"/>
                <w:b/>
                <w:spacing w:val="-2"/>
              </w:rPr>
              <w:t>eserve</w:t>
            </w:r>
          </w:p>
        </w:tc>
        <w:tc>
          <w:tcPr>
            <w:tcW w:w="1276" w:type="dxa"/>
          </w:tcPr>
          <w:p w14:paraId="2EC6797D" w14:textId="77777777" w:rsidR="006933EA" w:rsidRPr="001073FE" w:rsidRDefault="006933EA" w:rsidP="007E673D">
            <w:pPr>
              <w:tabs>
                <w:tab w:val="left" w:pos="1026"/>
              </w:tabs>
              <w:suppressAutoHyphens/>
              <w:jc w:val="center"/>
              <w:rPr>
                <w:rFonts w:cs="Arial"/>
                <w:b/>
                <w:spacing w:val="-2"/>
              </w:rPr>
            </w:pPr>
            <w:r w:rsidRPr="001073FE">
              <w:rPr>
                <w:rFonts w:cs="Arial"/>
                <w:b/>
                <w:spacing w:val="-2"/>
              </w:rPr>
              <w:t xml:space="preserve">Non-controlling </w:t>
            </w:r>
            <w:r w:rsidR="007E673D" w:rsidRPr="001073FE">
              <w:rPr>
                <w:rFonts w:cs="Arial"/>
                <w:b/>
                <w:spacing w:val="-2"/>
              </w:rPr>
              <w:t>I</w:t>
            </w:r>
            <w:r w:rsidRPr="001073FE">
              <w:rPr>
                <w:rFonts w:cs="Arial"/>
                <w:b/>
                <w:spacing w:val="-2"/>
              </w:rPr>
              <w:t>nterest</w:t>
            </w:r>
          </w:p>
        </w:tc>
        <w:tc>
          <w:tcPr>
            <w:tcW w:w="1309" w:type="dxa"/>
          </w:tcPr>
          <w:p w14:paraId="0F2F732D" w14:textId="77777777" w:rsidR="006933EA" w:rsidRPr="001073FE" w:rsidRDefault="006933EA" w:rsidP="00381C19">
            <w:pPr>
              <w:suppressAutoHyphens/>
              <w:ind w:right="138"/>
              <w:jc w:val="center"/>
              <w:rPr>
                <w:rFonts w:cs="Arial"/>
                <w:b/>
                <w:spacing w:val="-2"/>
              </w:rPr>
            </w:pPr>
          </w:p>
          <w:p w14:paraId="2A6232C1" w14:textId="77777777" w:rsidR="006933EA" w:rsidRPr="001073FE" w:rsidRDefault="006933EA" w:rsidP="00381C19">
            <w:pPr>
              <w:suppressAutoHyphens/>
              <w:ind w:right="138"/>
              <w:jc w:val="center"/>
              <w:rPr>
                <w:rFonts w:cs="Arial"/>
                <w:b/>
                <w:spacing w:val="-2"/>
              </w:rPr>
            </w:pPr>
          </w:p>
          <w:p w14:paraId="1441F2CD" w14:textId="77777777" w:rsidR="006933EA" w:rsidRPr="001073FE" w:rsidRDefault="006933EA" w:rsidP="005C6B66">
            <w:pPr>
              <w:suppressAutoHyphens/>
              <w:ind w:left="113"/>
              <w:jc w:val="center"/>
              <w:rPr>
                <w:rFonts w:cs="Arial"/>
                <w:b/>
                <w:spacing w:val="-2"/>
              </w:rPr>
            </w:pPr>
            <w:r w:rsidRPr="001073FE">
              <w:rPr>
                <w:rFonts w:cs="Arial"/>
                <w:b/>
                <w:spacing w:val="-2"/>
              </w:rPr>
              <w:t>Total</w:t>
            </w:r>
          </w:p>
        </w:tc>
      </w:tr>
      <w:tr w:rsidR="006933EA" w:rsidRPr="001073FE" w14:paraId="62FF839B" w14:textId="77777777" w:rsidTr="00224B26">
        <w:trPr>
          <w:gridAfter w:val="4"/>
          <w:wAfter w:w="5104" w:type="dxa"/>
        </w:trPr>
        <w:tc>
          <w:tcPr>
            <w:tcW w:w="2552" w:type="dxa"/>
          </w:tcPr>
          <w:p w14:paraId="1540CF4D" w14:textId="77777777" w:rsidR="006933EA" w:rsidRPr="001073FE" w:rsidRDefault="006933EA" w:rsidP="0016035E">
            <w:pPr>
              <w:jc w:val="center"/>
              <w:rPr>
                <w:b/>
              </w:rPr>
            </w:pPr>
          </w:p>
        </w:tc>
        <w:tc>
          <w:tcPr>
            <w:tcW w:w="567" w:type="dxa"/>
          </w:tcPr>
          <w:p w14:paraId="725D7311" w14:textId="77777777" w:rsidR="006933EA" w:rsidRPr="001073FE" w:rsidRDefault="006933EA" w:rsidP="00381C19">
            <w:pPr>
              <w:ind w:left="-108" w:right="-250"/>
              <w:rPr>
                <w:b/>
              </w:rPr>
            </w:pPr>
            <w:r w:rsidRPr="001073FE">
              <w:rPr>
                <w:b/>
              </w:rPr>
              <w:t>Note</w:t>
            </w:r>
          </w:p>
        </w:tc>
        <w:tc>
          <w:tcPr>
            <w:tcW w:w="1134" w:type="dxa"/>
          </w:tcPr>
          <w:p w14:paraId="061458ED" w14:textId="77777777" w:rsidR="006933EA" w:rsidRPr="001073FE" w:rsidRDefault="006933EA" w:rsidP="003E4D48">
            <w:pPr>
              <w:suppressAutoHyphens/>
              <w:ind w:right="138"/>
              <w:jc w:val="right"/>
              <w:rPr>
                <w:rFonts w:cs="Arial"/>
                <w:b/>
                <w:spacing w:val="-2"/>
              </w:rPr>
            </w:pPr>
            <w:r w:rsidRPr="001073FE">
              <w:rPr>
                <w:rFonts w:cs="Arial"/>
                <w:b/>
                <w:spacing w:val="-2"/>
              </w:rPr>
              <w:t>£’000</w:t>
            </w:r>
          </w:p>
        </w:tc>
        <w:tc>
          <w:tcPr>
            <w:tcW w:w="1134" w:type="dxa"/>
          </w:tcPr>
          <w:p w14:paraId="55A4386A" w14:textId="77777777" w:rsidR="006933EA" w:rsidRPr="001073FE" w:rsidRDefault="006933EA" w:rsidP="003E4D48">
            <w:pPr>
              <w:suppressAutoHyphens/>
              <w:ind w:right="138"/>
              <w:jc w:val="right"/>
              <w:rPr>
                <w:rFonts w:cs="Arial"/>
                <w:b/>
                <w:spacing w:val="-2"/>
              </w:rPr>
            </w:pPr>
            <w:r w:rsidRPr="001073FE">
              <w:rPr>
                <w:rFonts w:cs="Arial"/>
                <w:b/>
                <w:spacing w:val="-2"/>
              </w:rPr>
              <w:t>£’000</w:t>
            </w:r>
          </w:p>
        </w:tc>
        <w:tc>
          <w:tcPr>
            <w:tcW w:w="1134" w:type="dxa"/>
          </w:tcPr>
          <w:p w14:paraId="18151CD1" w14:textId="77777777" w:rsidR="006933EA" w:rsidRPr="001073FE" w:rsidRDefault="006933EA" w:rsidP="003E4D48">
            <w:pPr>
              <w:suppressAutoHyphens/>
              <w:ind w:right="138"/>
              <w:jc w:val="right"/>
              <w:rPr>
                <w:rFonts w:cs="Arial"/>
                <w:b/>
                <w:spacing w:val="-2"/>
              </w:rPr>
            </w:pPr>
            <w:r w:rsidRPr="001073FE">
              <w:rPr>
                <w:rFonts w:cs="Arial"/>
                <w:b/>
                <w:spacing w:val="-2"/>
              </w:rPr>
              <w:t>£’000</w:t>
            </w:r>
          </w:p>
        </w:tc>
        <w:tc>
          <w:tcPr>
            <w:tcW w:w="1134" w:type="dxa"/>
          </w:tcPr>
          <w:p w14:paraId="7CFF3D63" w14:textId="77777777" w:rsidR="006933EA" w:rsidRPr="001073FE" w:rsidRDefault="006933EA" w:rsidP="003E4D48">
            <w:pPr>
              <w:suppressAutoHyphens/>
              <w:ind w:right="138"/>
              <w:jc w:val="right"/>
              <w:rPr>
                <w:rFonts w:cs="Arial"/>
                <w:b/>
                <w:spacing w:val="-2"/>
              </w:rPr>
            </w:pPr>
            <w:r w:rsidRPr="001073FE">
              <w:rPr>
                <w:rFonts w:cs="Arial"/>
                <w:b/>
                <w:spacing w:val="-2"/>
              </w:rPr>
              <w:t>£’000</w:t>
            </w:r>
          </w:p>
        </w:tc>
        <w:tc>
          <w:tcPr>
            <w:tcW w:w="1134" w:type="dxa"/>
          </w:tcPr>
          <w:p w14:paraId="66E2F965" w14:textId="77777777" w:rsidR="006933EA" w:rsidRPr="001073FE" w:rsidRDefault="00B913FE" w:rsidP="003E4D48">
            <w:pPr>
              <w:suppressAutoHyphens/>
              <w:ind w:right="138"/>
              <w:jc w:val="right"/>
              <w:rPr>
                <w:rFonts w:cs="Arial"/>
                <w:b/>
                <w:spacing w:val="-2"/>
              </w:rPr>
            </w:pPr>
            <w:r w:rsidRPr="001073FE">
              <w:rPr>
                <w:rFonts w:cs="Arial"/>
                <w:b/>
                <w:spacing w:val="-2"/>
              </w:rPr>
              <w:t>£’000</w:t>
            </w:r>
          </w:p>
        </w:tc>
        <w:tc>
          <w:tcPr>
            <w:tcW w:w="1276" w:type="dxa"/>
          </w:tcPr>
          <w:p w14:paraId="2C869067" w14:textId="77777777" w:rsidR="006933EA" w:rsidRPr="001073FE" w:rsidRDefault="006933EA" w:rsidP="003E4D48">
            <w:pPr>
              <w:suppressAutoHyphens/>
              <w:ind w:right="138"/>
              <w:jc w:val="right"/>
              <w:rPr>
                <w:rFonts w:cs="Arial"/>
                <w:b/>
                <w:spacing w:val="-2"/>
              </w:rPr>
            </w:pPr>
            <w:r w:rsidRPr="001073FE">
              <w:rPr>
                <w:rFonts w:cs="Arial"/>
                <w:b/>
                <w:spacing w:val="-2"/>
              </w:rPr>
              <w:t>£’000</w:t>
            </w:r>
          </w:p>
        </w:tc>
        <w:tc>
          <w:tcPr>
            <w:tcW w:w="1309" w:type="dxa"/>
          </w:tcPr>
          <w:p w14:paraId="415E8ACC" w14:textId="77777777" w:rsidR="006933EA" w:rsidRPr="001073FE" w:rsidRDefault="006933EA" w:rsidP="00684D60">
            <w:pPr>
              <w:suppressAutoHyphens/>
              <w:ind w:right="138"/>
              <w:jc w:val="right"/>
              <w:rPr>
                <w:rFonts w:cs="Arial"/>
                <w:b/>
                <w:spacing w:val="-2"/>
              </w:rPr>
            </w:pPr>
            <w:r w:rsidRPr="001073FE">
              <w:rPr>
                <w:rFonts w:cs="Arial"/>
                <w:b/>
                <w:spacing w:val="-2"/>
              </w:rPr>
              <w:t>£’000</w:t>
            </w:r>
          </w:p>
        </w:tc>
      </w:tr>
      <w:tr w:rsidR="006933EA" w:rsidRPr="001073FE" w14:paraId="2CF09EBC" w14:textId="77777777" w:rsidTr="00224B26">
        <w:trPr>
          <w:gridAfter w:val="4"/>
          <w:wAfter w:w="5104" w:type="dxa"/>
        </w:trPr>
        <w:tc>
          <w:tcPr>
            <w:tcW w:w="2552" w:type="dxa"/>
          </w:tcPr>
          <w:p w14:paraId="7F68C6CB" w14:textId="77777777" w:rsidR="006933EA" w:rsidRPr="001073FE" w:rsidRDefault="00042D96" w:rsidP="0016035E">
            <w:r w:rsidRPr="001073FE">
              <w:rPr>
                <w:b/>
              </w:rPr>
              <w:t>Group</w:t>
            </w:r>
          </w:p>
        </w:tc>
        <w:tc>
          <w:tcPr>
            <w:tcW w:w="567" w:type="dxa"/>
          </w:tcPr>
          <w:p w14:paraId="719F52C1" w14:textId="77777777" w:rsidR="006933EA" w:rsidRPr="001073FE" w:rsidRDefault="006933EA" w:rsidP="0016035E">
            <w:pPr>
              <w:jc w:val="both"/>
            </w:pPr>
          </w:p>
        </w:tc>
        <w:tc>
          <w:tcPr>
            <w:tcW w:w="1134" w:type="dxa"/>
          </w:tcPr>
          <w:p w14:paraId="08369D71" w14:textId="77777777" w:rsidR="006933EA" w:rsidRPr="001073FE" w:rsidRDefault="006933EA" w:rsidP="00102915">
            <w:pPr>
              <w:ind w:right="204" w:firstLine="86"/>
              <w:jc w:val="both"/>
            </w:pPr>
            <w:r w:rsidRPr="001073FE">
              <w:t xml:space="preserve">    </w:t>
            </w:r>
          </w:p>
        </w:tc>
        <w:tc>
          <w:tcPr>
            <w:tcW w:w="1134" w:type="dxa"/>
          </w:tcPr>
          <w:p w14:paraId="3242BE1C" w14:textId="77777777" w:rsidR="006933EA" w:rsidRPr="001073FE" w:rsidRDefault="006933EA" w:rsidP="00102915">
            <w:pPr>
              <w:ind w:right="72" w:firstLine="48"/>
              <w:jc w:val="both"/>
            </w:pPr>
          </w:p>
        </w:tc>
        <w:tc>
          <w:tcPr>
            <w:tcW w:w="1134" w:type="dxa"/>
          </w:tcPr>
          <w:p w14:paraId="45840BA4" w14:textId="77777777" w:rsidR="006933EA" w:rsidRPr="001073FE" w:rsidRDefault="006933EA" w:rsidP="00102915">
            <w:pPr>
              <w:ind w:right="72" w:firstLine="48"/>
              <w:jc w:val="both"/>
            </w:pPr>
          </w:p>
        </w:tc>
        <w:tc>
          <w:tcPr>
            <w:tcW w:w="1134" w:type="dxa"/>
          </w:tcPr>
          <w:p w14:paraId="75BF79C0" w14:textId="77777777" w:rsidR="006933EA" w:rsidRPr="001073FE" w:rsidRDefault="006933EA" w:rsidP="00102915">
            <w:pPr>
              <w:ind w:left="140" w:right="204"/>
              <w:jc w:val="both"/>
            </w:pPr>
          </w:p>
        </w:tc>
        <w:tc>
          <w:tcPr>
            <w:tcW w:w="1134" w:type="dxa"/>
          </w:tcPr>
          <w:p w14:paraId="4DAEBF86" w14:textId="77777777" w:rsidR="006933EA" w:rsidRPr="001073FE" w:rsidRDefault="006933EA" w:rsidP="00102915">
            <w:pPr>
              <w:jc w:val="both"/>
            </w:pPr>
          </w:p>
        </w:tc>
        <w:tc>
          <w:tcPr>
            <w:tcW w:w="1276" w:type="dxa"/>
          </w:tcPr>
          <w:p w14:paraId="43F64C6C" w14:textId="77777777" w:rsidR="006933EA" w:rsidRPr="001073FE" w:rsidRDefault="006933EA" w:rsidP="00102915">
            <w:pPr>
              <w:jc w:val="both"/>
            </w:pPr>
          </w:p>
        </w:tc>
        <w:tc>
          <w:tcPr>
            <w:tcW w:w="1309" w:type="dxa"/>
          </w:tcPr>
          <w:p w14:paraId="5ADEB5C8" w14:textId="77777777" w:rsidR="006933EA" w:rsidRPr="001073FE" w:rsidRDefault="006933EA" w:rsidP="006933EA">
            <w:pPr>
              <w:ind w:right="1799"/>
              <w:jc w:val="both"/>
            </w:pPr>
          </w:p>
        </w:tc>
      </w:tr>
      <w:tr w:rsidR="004E6DE4" w:rsidRPr="00C328EF" w14:paraId="060F805F" w14:textId="77777777" w:rsidTr="00224B26">
        <w:trPr>
          <w:gridAfter w:val="4"/>
          <w:wAfter w:w="5104" w:type="dxa"/>
        </w:trPr>
        <w:tc>
          <w:tcPr>
            <w:tcW w:w="2552" w:type="dxa"/>
          </w:tcPr>
          <w:p w14:paraId="26066D69" w14:textId="77777777" w:rsidR="004E6DE4" w:rsidRPr="00B65C0A" w:rsidRDefault="004E6DE4" w:rsidP="004E6DE4">
            <w:pPr>
              <w:rPr>
                <w:b/>
              </w:rPr>
            </w:pPr>
            <w:r w:rsidRPr="00B65C0A">
              <w:rPr>
                <w:b/>
              </w:rPr>
              <w:t>Balance at 1 January 2023</w:t>
            </w:r>
          </w:p>
        </w:tc>
        <w:tc>
          <w:tcPr>
            <w:tcW w:w="567" w:type="dxa"/>
          </w:tcPr>
          <w:p w14:paraId="5FA02A30" w14:textId="77777777" w:rsidR="004E6DE4" w:rsidRPr="004E6DE4" w:rsidRDefault="004E6DE4" w:rsidP="004E6DE4">
            <w:pPr>
              <w:tabs>
                <w:tab w:val="decimal" w:pos="942"/>
              </w:tabs>
              <w:jc w:val="both"/>
            </w:pPr>
          </w:p>
        </w:tc>
        <w:tc>
          <w:tcPr>
            <w:tcW w:w="1134" w:type="dxa"/>
          </w:tcPr>
          <w:p w14:paraId="1E7F537F" w14:textId="77777777" w:rsidR="004E6DE4" w:rsidRPr="004E6DE4" w:rsidRDefault="004E6DE4" w:rsidP="004E6DE4">
            <w:pPr>
              <w:tabs>
                <w:tab w:val="decimal" w:pos="885"/>
              </w:tabs>
              <w:ind w:left="-108"/>
            </w:pPr>
          </w:p>
          <w:p w14:paraId="15B303BC" w14:textId="77777777" w:rsidR="004E6DE4" w:rsidRPr="004E6DE4" w:rsidRDefault="004E6DE4" w:rsidP="004E6DE4">
            <w:pPr>
              <w:tabs>
                <w:tab w:val="decimal" w:pos="885"/>
              </w:tabs>
              <w:ind w:left="-108"/>
            </w:pPr>
            <w:r w:rsidRPr="004E6DE4">
              <w:t>41,878</w:t>
            </w:r>
          </w:p>
        </w:tc>
        <w:tc>
          <w:tcPr>
            <w:tcW w:w="1134" w:type="dxa"/>
          </w:tcPr>
          <w:p w14:paraId="0FA2F98C" w14:textId="77777777" w:rsidR="004E6DE4" w:rsidRPr="004E6DE4" w:rsidRDefault="004E6DE4" w:rsidP="004E6DE4">
            <w:pPr>
              <w:tabs>
                <w:tab w:val="decimal" w:pos="885"/>
              </w:tabs>
              <w:ind w:left="-108"/>
            </w:pPr>
          </w:p>
          <w:p w14:paraId="7A4C36D0" w14:textId="77777777" w:rsidR="004E6DE4" w:rsidRPr="004E6DE4" w:rsidRDefault="004E6DE4" w:rsidP="004E6DE4">
            <w:pPr>
              <w:tabs>
                <w:tab w:val="decimal" w:pos="885"/>
              </w:tabs>
              <w:ind w:left="-108"/>
            </w:pPr>
            <w:r w:rsidRPr="004E6DE4">
              <w:t>20,816</w:t>
            </w:r>
          </w:p>
        </w:tc>
        <w:tc>
          <w:tcPr>
            <w:tcW w:w="1134" w:type="dxa"/>
          </w:tcPr>
          <w:p w14:paraId="58DFCA4A" w14:textId="77777777" w:rsidR="004E6DE4" w:rsidRPr="004E6DE4" w:rsidRDefault="004E6DE4" w:rsidP="004E6DE4">
            <w:pPr>
              <w:tabs>
                <w:tab w:val="decimal" w:pos="885"/>
              </w:tabs>
              <w:ind w:left="-108"/>
            </w:pPr>
          </w:p>
          <w:p w14:paraId="1C60551F" w14:textId="77777777" w:rsidR="004E6DE4" w:rsidRPr="004E6DE4" w:rsidRDefault="004E6DE4" w:rsidP="004E6DE4">
            <w:pPr>
              <w:tabs>
                <w:tab w:val="decimal" w:pos="885"/>
              </w:tabs>
              <w:ind w:left="-108"/>
            </w:pPr>
            <w:r w:rsidRPr="004E6DE4">
              <w:t>59,929</w:t>
            </w:r>
          </w:p>
        </w:tc>
        <w:tc>
          <w:tcPr>
            <w:tcW w:w="1134" w:type="dxa"/>
          </w:tcPr>
          <w:p w14:paraId="36AE50BE" w14:textId="77777777" w:rsidR="004E6DE4" w:rsidRPr="004E6DE4" w:rsidRDefault="004E6DE4" w:rsidP="004E6DE4">
            <w:pPr>
              <w:tabs>
                <w:tab w:val="decimal" w:pos="885"/>
              </w:tabs>
              <w:ind w:left="-108"/>
            </w:pPr>
          </w:p>
          <w:p w14:paraId="585C51A1" w14:textId="77777777" w:rsidR="004E6DE4" w:rsidRPr="004E6DE4" w:rsidRDefault="004E6DE4" w:rsidP="004E6DE4">
            <w:pPr>
              <w:tabs>
                <w:tab w:val="decimal" w:pos="885"/>
              </w:tabs>
              <w:ind w:left="-108"/>
            </w:pPr>
            <w:r w:rsidRPr="004E6DE4">
              <w:t>(12,320)</w:t>
            </w:r>
          </w:p>
        </w:tc>
        <w:tc>
          <w:tcPr>
            <w:tcW w:w="1134" w:type="dxa"/>
          </w:tcPr>
          <w:p w14:paraId="68B467B3" w14:textId="77777777" w:rsidR="004E6DE4" w:rsidRPr="004E6DE4" w:rsidRDefault="004E6DE4" w:rsidP="004E6DE4">
            <w:pPr>
              <w:tabs>
                <w:tab w:val="decimal" w:pos="885"/>
              </w:tabs>
              <w:ind w:left="-108"/>
            </w:pPr>
          </w:p>
          <w:p w14:paraId="6BFB328A" w14:textId="77777777" w:rsidR="004E6DE4" w:rsidRPr="004E6DE4" w:rsidRDefault="004E6DE4" w:rsidP="004E6DE4">
            <w:pPr>
              <w:tabs>
                <w:tab w:val="decimal" w:pos="885"/>
              </w:tabs>
              <w:ind w:left="-108"/>
            </w:pPr>
            <w:r w:rsidRPr="004E6DE4">
              <w:t>1,594</w:t>
            </w:r>
          </w:p>
        </w:tc>
        <w:tc>
          <w:tcPr>
            <w:tcW w:w="1276" w:type="dxa"/>
          </w:tcPr>
          <w:p w14:paraId="1ECEC348" w14:textId="77777777" w:rsidR="004E6DE4" w:rsidRPr="004E6DE4" w:rsidRDefault="004E6DE4" w:rsidP="004E6DE4">
            <w:pPr>
              <w:tabs>
                <w:tab w:val="decimal" w:pos="885"/>
              </w:tabs>
              <w:ind w:left="-108"/>
            </w:pPr>
          </w:p>
          <w:p w14:paraId="7D267167" w14:textId="77777777" w:rsidR="004E6DE4" w:rsidRPr="004E6DE4" w:rsidRDefault="004E6DE4" w:rsidP="004E6DE4">
            <w:pPr>
              <w:tabs>
                <w:tab w:val="decimal" w:pos="885"/>
              </w:tabs>
              <w:ind w:left="-108"/>
            </w:pPr>
            <w:r w:rsidRPr="004E6DE4">
              <w:t>11,813</w:t>
            </w:r>
          </w:p>
        </w:tc>
        <w:tc>
          <w:tcPr>
            <w:tcW w:w="1309" w:type="dxa"/>
          </w:tcPr>
          <w:p w14:paraId="46D96ADD" w14:textId="77777777" w:rsidR="004E6DE4" w:rsidRPr="004E6DE4" w:rsidRDefault="004E6DE4" w:rsidP="004E6DE4">
            <w:pPr>
              <w:tabs>
                <w:tab w:val="decimal" w:pos="885"/>
              </w:tabs>
              <w:ind w:left="-108"/>
            </w:pPr>
          </w:p>
          <w:p w14:paraId="1DE5703C" w14:textId="77777777" w:rsidR="004E6DE4" w:rsidRPr="004E6DE4" w:rsidRDefault="004E6DE4" w:rsidP="00224B26">
            <w:pPr>
              <w:tabs>
                <w:tab w:val="decimal" w:pos="918"/>
              </w:tabs>
              <w:ind w:left="-108" w:right="-107"/>
            </w:pPr>
            <w:r w:rsidRPr="004E6DE4">
              <w:t>123,710</w:t>
            </w:r>
          </w:p>
        </w:tc>
      </w:tr>
      <w:tr w:rsidR="00924812" w:rsidRPr="00C328EF" w14:paraId="6B2FCD26" w14:textId="77777777" w:rsidTr="00224B26">
        <w:trPr>
          <w:trHeight w:val="249"/>
        </w:trPr>
        <w:tc>
          <w:tcPr>
            <w:tcW w:w="2552" w:type="dxa"/>
          </w:tcPr>
          <w:p w14:paraId="1BBC766F" w14:textId="77777777" w:rsidR="00924812" w:rsidRPr="00B65C0A" w:rsidRDefault="00924812" w:rsidP="00924812">
            <w:r w:rsidRPr="00B65C0A">
              <w:rPr>
                <w:b/>
              </w:rPr>
              <w:t>Comprehensive income</w:t>
            </w:r>
            <w:r w:rsidR="00B65C0A" w:rsidRPr="00B65C0A">
              <w:rPr>
                <w:b/>
              </w:rPr>
              <w:t>/(expense)</w:t>
            </w:r>
          </w:p>
        </w:tc>
        <w:tc>
          <w:tcPr>
            <w:tcW w:w="567" w:type="dxa"/>
          </w:tcPr>
          <w:p w14:paraId="28184376" w14:textId="77777777" w:rsidR="00924812" w:rsidRPr="00C328EF" w:rsidRDefault="00924812" w:rsidP="00924812">
            <w:pPr>
              <w:tabs>
                <w:tab w:val="decimal" w:pos="942"/>
              </w:tabs>
              <w:jc w:val="both"/>
              <w:rPr>
                <w:highlight w:val="yellow"/>
              </w:rPr>
            </w:pPr>
          </w:p>
        </w:tc>
        <w:tc>
          <w:tcPr>
            <w:tcW w:w="1134" w:type="dxa"/>
          </w:tcPr>
          <w:p w14:paraId="45E0D61E" w14:textId="77777777" w:rsidR="00924812" w:rsidRPr="00C328EF" w:rsidRDefault="00924812" w:rsidP="00924812">
            <w:pPr>
              <w:tabs>
                <w:tab w:val="decimal" w:pos="885"/>
              </w:tabs>
              <w:ind w:left="-108"/>
              <w:rPr>
                <w:highlight w:val="yellow"/>
              </w:rPr>
            </w:pPr>
          </w:p>
        </w:tc>
        <w:tc>
          <w:tcPr>
            <w:tcW w:w="1134" w:type="dxa"/>
          </w:tcPr>
          <w:p w14:paraId="5D8304FA" w14:textId="77777777" w:rsidR="00924812" w:rsidRPr="00C328EF" w:rsidRDefault="00924812" w:rsidP="00924812">
            <w:pPr>
              <w:tabs>
                <w:tab w:val="decimal" w:pos="885"/>
              </w:tabs>
              <w:ind w:left="-108"/>
              <w:rPr>
                <w:highlight w:val="yellow"/>
              </w:rPr>
            </w:pPr>
          </w:p>
        </w:tc>
        <w:tc>
          <w:tcPr>
            <w:tcW w:w="1134" w:type="dxa"/>
          </w:tcPr>
          <w:p w14:paraId="0662E0FC" w14:textId="77777777" w:rsidR="00924812" w:rsidRPr="00C328EF" w:rsidRDefault="00924812" w:rsidP="00924812">
            <w:pPr>
              <w:tabs>
                <w:tab w:val="decimal" w:pos="885"/>
              </w:tabs>
              <w:ind w:left="-108"/>
              <w:rPr>
                <w:highlight w:val="yellow"/>
              </w:rPr>
            </w:pPr>
          </w:p>
        </w:tc>
        <w:tc>
          <w:tcPr>
            <w:tcW w:w="1134" w:type="dxa"/>
          </w:tcPr>
          <w:p w14:paraId="1A5DE82F" w14:textId="77777777" w:rsidR="00924812" w:rsidRPr="00C328EF" w:rsidRDefault="00924812" w:rsidP="00924812">
            <w:pPr>
              <w:tabs>
                <w:tab w:val="decimal" w:pos="885"/>
              </w:tabs>
              <w:ind w:left="-108"/>
              <w:rPr>
                <w:highlight w:val="yellow"/>
              </w:rPr>
            </w:pPr>
          </w:p>
        </w:tc>
        <w:tc>
          <w:tcPr>
            <w:tcW w:w="1134" w:type="dxa"/>
          </w:tcPr>
          <w:p w14:paraId="1FA1153D" w14:textId="77777777" w:rsidR="00924812" w:rsidRPr="00C328EF" w:rsidRDefault="00924812" w:rsidP="00924812">
            <w:pPr>
              <w:tabs>
                <w:tab w:val="decimal" w:pos="885"/>
              </w:tabs>
              <w:ind w:left="-108"/>
              <w:rPr>
                <w:highlight w:val="yellow"/>
              </w:rPr>
            </w:pPr>
          </w:p>
        </w:tc>
        <w:tc>
          <w:tcPr>
            <w:tcW w:w="1276" w:type="dxa"/>
          </w:tcPr>
          <w:p w14:paraId="01B8878D" w14:textId="77777777" w:rsidR="00924812" w:rsidRPr="00C328EF" w:rsidRDefault="00924812" w:rsidP="00924812">
            <w:pPr>
              <w:tabs>
                <w:tab w:val="decimal" w:pos="885"/>
              </w:tabs>
              <w:ind w:left="-108"/>
              <w:rPr>
                <w:highlight w:val="yellow"/>
              </w:rPr>
            </w:pPr>
          </w:p>
        </w:tc>
        <w:tc>
          <w:tcPr>
            <w:tcW w:w="1309" w:type="dxa"/>
          </w:tcPr>
          <w:p w14:paraId="1F34DD27" w14:textId="77777777" w:rsidR="00924812" w:rsidRPr="00C328EF" w:rsidRDefault="00924812" w:rsidP="00924812">
            <w:pPr>
              <w:tabs>
                <w:tab w:val="decimal" w:pos="885"/>
              </w:tabs>
              <w:ind w:left="-108"/>
              <w:rPr>
                <w:highlight w:val="yellow"/>
              </w:rPr>
            </w:pPr>
          </w:p>
        </w:tc>
        <w:tc>
          <w:tcPr>
            <w:tcW w:w="1276" w:type="dxa"/>
          </w:tcPr>
          <w:p w14:paraId="4A14EC19" w14:textId="77777777" w:rsidR="00924812" w:rsidRPr="00C328EF" w:rsidRDefault="00924812" w:rsidP="00924812">
            <w:pPr>
              <w:tabs>
                <w:tab w:val="decimal" w:pos="885"/>
              </w:tabs>
              <w:ind w:left="-108"/>
              <w:rPr>
                <w:highlight w:val="yellow"/>
              </w:rPr>
            </w:pPr>
            <w:r w:rsidRPr="00C328EF">
              <w:rPr>
                <w:highlight w:val="yellow"/>
              </w:rPr>
              <w:t>-</w:t>
            </w:r>
          </w:p>
        </w:tc>
        <w:tc>
          <w:tcPr>
            <w:tcW w:w="1276" w:type="dxa"/>
          </w:tcPr>
          <w:p w14:paraId="1FB25E24" w14:textId="77777777" w:rsidR="00924812" w:rsidRPr="00C328EF" w:rsidRDefault="00924812" w:rsidP="00924812">
            <w:pPr>
              <w:tabs>
                <w:tab w:val="decimal" w:pos="885"/>
              </w:tabs>
              <w:ind w:left="-108"/>
              <w:rPr>
                <w:highlight w:val="yellow"/>
              </w:rPr>
            </w:pPr>
            <w:r w:rsidRPr="00C328EF">
              <w:rPr>
                <w:highlight w:val="yellow"/>
              </w:rPr>
              <w:t>-</w:t>
            </w:r>
          </w:p>
        </w:tc>
        <w:tc>
          <w:tcPr>
            <w:tcW w:w="1276" w:type="dxa"/>
          </w:tcPr>
          <w:p w14:paraId="18D24380" w14:textId="77777777" w:rsidR="00924812" w:rsidRPr="00C328EF" w:rsidRDefault="00924812" w:rsidP="00924812">
            <w:pPr>
              <w:tabs>
                <w:tab w:val="decimal" w:pos="885"/>
              </w:tabs>
              <w:ind w:left="-108"/>
              <w:rPr>
                <w:highlight w:val="yellow"/>
              </w:rPr>
            </w:pPr>
            <w:r w:rsidRPr="00C328EF">
              <w:rPr>
                <w:highlight w:val="yellow"/>
              </w:rPr>
              <w:t>-</w:t>
            </w:r>
          </w:p>
        </w:tc>
        <w:tc>
          <w:tcPr>
            <w:tcW w:w="1276" w:type="dxa"/>
          </w:tcPr>
          <w:p w14:paraId="557456B9" w14:textId="77777777" w:rsidR="00924812" w:rsidRPr="00C328EF" w:rsidRDefault="00924812" w:rsidP="00924812">
            <w:pPr>
              <w:tabs>
                <w:tab w:val="decimal" w:pos="884"/>
              </w:tabs>
              <w:ind w:left="-108"/>
              <w:rPr>
                <w:highlight w:val="yellow"/>
              </w:rPr>
            </w:pPr>
            <w:r w:rsidRPr="00C328EF">
              <w:rPr>
                <w:highlight w:val="yellow"/>
              </w:rPr>
              <w:t>-</w:t>
            </w:r>
          </w:p>
        </w:tc>
      </w:tr>
      <w:tr w:rsidR="004E6DE4" w:rsidRPr="00C328EF" w14:paraId="6C8066F0" w14:textId="77777777" w:rsidTr="00224B26">
        <w:trPr>
          <w:gridAfter w:val="4"/>
          <w:wAfter w:w="5104" w:type="dxa"/>
        </w:trPr>
        <w:tc>
          <w:tcPr>
            <w:tcW w:w="2552" w:type="dxa"/>
          </w:tcPr>
          <w:p w14:paraId="23DE11C2" w14:textId="77777777" w:rsidR="004E6DE4" w:rsidRPr="00B65C0A" w:rsidRDefault="004E6DE4" w:rsidP="004E6DE4">
            <w:r w:rsidRPr="00B65C0A">
              <w:t xml:space="preserve">Profit for the </w:t>
            </w:r>
            <w:r w:rsidR="00002C01">
              <w:t>period</w:t>
            </w:r>
          </w:p>
        </w:tc>
        <w:tc>
          <w:tcPr>
            <w:tcW w:w="567" w:type="dxa"/>
          </w:tcPr>
          <w:p w14:paraId="195C0922" w14:textId="77777777" w:rsidR="004E6DE4" w:rsidRPr="004E6DE4" w:rsidRDefault="004E6DE4" w:rsidP="004E6DE4">
            <w:pPr>
              <w:tabs>
                <w:tab w:val="decimal" w:pos="942"/>
              </w:tabs>
              <w:jc w:val="both"/>
            </w:pPr>
          </w:p>
        </w:tc>
        <w:tc>
          <w:tcPr>
            <w:tcW w:w="1134" w:type="dxa"/>
          </w:tcPr>
          <w:p w14:paraId="7AD72607" w14:textId="77777777" w:rsidR="004E6DE4" w:rsidRPr="004E6DE4" w:rsidRDefault="004E6DE4" w:rsidP="004E6DE4">
            <w:pPr>
              <w:tabs>
                <w:tab w:val="decimal" w:pos="885"/>
              </w:tabs>
              <w:ind w:left="-108"/>
            </w:pPr>
            <w:r w:rsidRPr="004E6DE4">
              <w:t>-</w:t>
            </w:r>
          </w:p>
        </w:tc>
        <w:tc>
          <w:tcPr>
            <w:tcW w:w="1134" w:type="dxa"/>
          </w:tcPr>
          <w:p w14:paraId="2ADAE217" w14:textId="77777777" w:rsidR="004E6DE4" w:rsidRPr="004E6DE4" w:rsidRDefault="004E6DE4" w:rsidP="004E6DE4">
            <w:pPr>
              <w:tabs>
                <w:tab w:val="decimal" w:pos="885"/>
              </w:tabs>
              <w:ind w:left="-108"/>
            </w:pPr>
            <w:r w:rsidRPr="004E6DE4">
              <w:t>-</w:t>
            </w:r>
          </w:p>
        </w:tc>
        <w:tc>
          <w:tcPr>
            <w:tcW w:w="1134" w:type="dxa"/>
          </w:tcPr>
          <w:p w14:paraId="2A205676" w14:textId="77777777" w:rsidR="004E6DE4" w:rsidRPr="004E6DE4" w:rsidRDefault="004E6DE4" w:rsidP="004E6DE4">
            <w:pPr>
              <w:tabs>
                <w:tab w:val="decimal" w:pos="885"/>
              </w:tabs>
              <w:ind w:left="-108"/>
            </w:pPr>
            <w:r w:rsidRPr="004E6DE4">
              <w:t>-</w:t>
            </w:r>
          </w:p>
        </w:tc>
        <w:tc>
          <w:tcPr>
            <w:tcW w:w="1134" w:type="dxa"/>
          </w:tcPr>
          <w:p w14:paraId="35A1B8FF" w14:textId="77777777" w:rsidR="004E6DE4" w:rsidRPr="004E6DE4" w:rsidRDefault="004E6DE4" w:rsidP="004E6DE4">
            <w:pPr>
              <w:tabs>
                <w:tab w:val="decimal" w:pos="885"/>
              </w:tabs>
              <w:ind w:left="-108"/>
            </w:pPr>
            <w:r w:rsidRPr="004E6DE4">
              <w:t>2,811</w:t>
            </w:r>
          </w:p>
        </w:tc>
        <w:tc>
          <w:tcPr>
            <w:tcW w:w="1134" w:type="dxa"/>
          </w:tcPr>
          <w:p w14:paraId="1842D718" w14:textId="77777777" w:rsidR="004E6DE4" w:rsidRPr="004E6DE4" w:rsidRDefault="004E6DE4" w:rsidP="004E6DE4">
            <w:pPr>
              <w:tabs>
                <w:tab w:val="decimal" w:pos="885"/>
              </w:tabs>
              <w:ind w:left="-108"/>
            </w:pPr>
            <w:r w:rsidRPr="004E6DE4">
              <w:t>-</w:t>
            </w:r>
          </w:p>
        </w:tc>
        <w:tc>
          <w:tcPr>
            <w:tcW w:w="1276" w:type="dxa"/>
          </w:tcPr>
          <w:p w14:paraId="57427FFF" w14:textId="77777777" w:rsidR="004E6DE4" w:rsidRPr="004E6DE4" w:rsidRDefault="004E6DE4" w:rsidP="004E6DE4">
            <w:pPr>
              <w:tabs>
                <w:tab w:val="decimal" w:pos="885"/>
              </w:tabs>
              <w:ind w:left="-108"/>
            </w:pPr>
            <w:r w:rsidRPr="004E6DE4">
              <w:t>1,311</w:t>
            </w:r>
          </w:p>
        </w:tc>
        <w:tc>
          <w:tcPr>
            <w:tcW w:w="1309" w:type="dxa"/>
          </w:tcPr>
          <w:p w14:paraId="2D353008" w14:textId="77777777" w:rsidR="004E6DE4" w:rsidRPr="004E6DE4" w:rsidRDefault="004E6DE4" w:rsidP="004E6DE4">
            <w:pPr>
              <w:tabs>
                <w:tab w:val="decimal" w:pos="885"/>
              </w:tabs>
              <w:ind w:left="-108"/>
            </w:pPr>
            <w:r w:rsidRPr="004E6DE4">
              <w:t>4,122</w:t>
            </w:r>
          </w:p>
        </w:tc>
      </w:tr>
      <w:tr w:rsidR="00032CB5" w:rsidRPr="00C328EF" w14:paraId="77267B2F" w14:textId="77777777" w:rsidTr="00224B26">
        <w:trPr>
          <w:gridAfter w:val="4"/>
          <w:wAfter w:w="5104" w:type="dxa"/>
        </w:trPr>
        <w:tc>
          <w:tcPr>
            <w:tcW w:w="2552" w:type="dxa"/>
          </w:tcPr>
          <w:p w14:paraId="14FA02B2" w14:textId="77777777" w:rsidR="00032CB5" w:rsidRPr="00C328EF" w:rsidRDefault="00032CB5" w:rsidP="00032CB5">
            <w:pPr>
              <w:rPr>
                <w:highlight w:val="yellow"/>
              </w:rPr>
            </w:pPr>
            <w:r w:rsidRPr="004E6DE4">
              <w:rPr>
                <w:b/>
              </w:rPr>
              <w:t>Other comprehensive income</w:t>
            </w:r>
            <w:r w:rsidR="004E6DE4" w:rsidRPr="004E6DE4">
              <w:rPr>
                <w:b/>
              </w:rPr>
              <w:t>/(expense)</w:t>
            </w:r>
          </w:p>
        </w:tc>
        <w:tc>
          <w:tcPr>
            <w:tcW w:w="567" w:type="dxa"/>
          </w:tcPr>
          <w:p w14:paraId="564623BB" w14:textId="77777777" w:rsidR="00032CB5" w:rsidRPr="00C328EF" w:rsidRDefault="00032CB5" w:rsidP="00032CB5">
            <w:pPr>
              <w:tabs>
                <w:tab w:val="decimal" w:pos="942"/>
              </w:tabs>
              <w:jc w:val="both"/>
              <w:rPr>
                <w:highlight w:val="yellow"/>
              </w:rPr>
            </w:pPr>
          </w:p>
        </w:tc>
        <w:tc>
          <w:tcPr>
            <w:tcW w:w="1134" w:type="dxa"/>
          </w:tcPr>
          <w:p w14:paraId="5BD59832" w14:textId="77777777" w:rsidR="00032CB5" w:rsidRPr="00C328EF" w:rsidRDefault="00032CB5" w:rsidP="00032CB5">
            <w:pPr>
              <w:tabs>
                <w:tab w:val="decimal" w:pos="885"/>
              </w:tabs>
              <w:ind w:left="-108"/>
              <w:rPr>
                <w:highlight w:val="yellow"/>
              </w:rPr>
            </w:pPr>
          </w:p>
        </w:tc>
        <w:tc>
          <w:tcPr>
            <w:tcW w:w="1134" w:type="dxa"/>
          </w:tcPr>
          <w:p w14:paraId="2C3C9925" w14:textId="77777777" w:rsidR="00032CB5" w:rsidRPr="00C328EF" w:rsidRDefault="00032CB5" w:rsidP="00032CB5">
            <w:pPr>
              <w:tabs>
                <w:tab w:val="decimal" w:pos="885"/>
              </w:tabs>
              <w:ind w:left="-108"/>
              <w:rPr>
                <w:highlight w:val="yellow"/>
              </w:rPr>
            </w:pPr>
          </w:p>
        </w:tc>
        <w:tc>
          <w:tcPr>
            <w:tcW w:w="1134" w:type="dxa"/>
          </w:tcPr>
          <w:p w14:paraId="2BCBF842" w14:textId="77777777" w:rsidR="00032CB5" w:rsidRPr="00C328EF" w:rsidRDefault="00032CB5" w:rsidP="00032CB5">
            <w:pPr>
              <w:tabs>
                <w:tab w:val="decimal" w:pos="885"/>
              </w:tabs>
              <w:ind w:left="-108"/>
              <w:rPr>
                <w:highlight w:val="yellow"/>
              </w:rPr>
            </w:pPr>
          </w:p>
        </w:tc>
        <w:tc>
          <w:tcPr>
            <w:tcW w:w="1134" w:type="dxa"/>
          </w:tcPr>
          <w:p w14:paraId="4AFFD152" w14:textId="77777777" w:rsidR="00032CB5" w:rsidRPr="00C328EF" w:rsidRDefault="00032CB5" w:rsidP="00032CB5">
            <w:pPr>
              <w:tabs>
                <w:tab w:val="decimal" w:pos="885"/>
              </w:tabs>
              <w:ind w:left="-108"/>
              <w:rPr>
                <w:highlight w:val="yellow"/>
              </w:rPr>
            </w:pPr>
          </w:p>
        </w:tc>
        <w:tc>
          <w:tcPr>
            <w:tcW w:w="1134" w:type="dxa"/>
          </w:tcPr>
          <w:p w14:paraId="530E0C5B" w14:textId="77777777" w:rsidR="00032CB5" w:rsidRPr="00C328EF" w:rsidRDefault="00032CB5" w:rsidP="00032CB5">
            <w:pPr>
              <w:tabs>
                <w:tab w:val="decimal" w:pos="885"/>
              </w:tabs>
              <w:ind w:left="-108"/>
              <w:rPr>
                <w:highlight w:val="yellow"/>
              </w:rPr>
            </w:pPr>
          </w:p>
        </w:tc>
        <w:tc>
          <w:tcPr>
            <w:tcW w:w="1276" w:type="dxa"/>
          </w:tcPr>
          <w:p w14:paraId="5CFCE988" w14:textId="77777777" w:rsidR="00032CB5" w:rsidRPr="00C328EF" w:rsidRDefault="00032CB5" w:rsidP="00032CB5">
            <w:pPr>
              <w:tabs>
                <w:tab w:val="decimal" w:pos="885"/>
              </w:tabs>
              <w:ind w:left="-108"/>
              <w:rPr>
                <w:highlight w:val="yellow"/>
              </w:rPr>
            </w:pPr>
          </w:p>
        </w:tc>
        <w:tc>
          <w:tcPr>
            <w:tcW w:w="1309" w:type="dxa"/>
          </w:tcPr>
          <w:p w14:paraId="6D97E484" w14:textId="77777777" w:rsidR="00032CB5" w:rsidRPr="00C328EF" w:rsidRDefault="00032CB5" w:rsidP="00032CB5">
            <w:pPr>
              <w:tabs>
                <w:tab w:val="decimal" w:pos="885"/>
              </w:tabs>
              <w:ind w:left="-108"/>
              <w:rPr>
                <w:highlight w:val="yellow"/>
              </w:rPr>
            </w:pPr>
          </w:p>
        </w:tc>
      </w:tr>
      <w:tr w:rsidR="004E6DE4" w:rsidRPr="00C328EF" w14:paraId="4D88172A" w14:textId="77777777" w:rsidTr="00224B26">
        <w:trPr>
          <w:gridAfter w:val="4"/>
          <w:wAfter w:w="5104" w:type="dxa"/>
        </w:trPr>
        <w:tc>
          <w:tcPr>
            <w:tcW w:w="2552" w:type="dxa"/>
          </w:tcPr>
          <w:p w14:paraId="1A50B52F" w14:textId="77777777" w:rsidR="004E6DE4" w:rsidRPr="004E6DE4" w:rsidRDefault="004E6DE4" w:rsidP="004E6DE4">
            <w:r w:rsidRPr="004E6DE4">
              <w:t>Actuarial gain on pension plan</w:t>
            </w:r>
          </w:p>
        </w:tc>
        <w:tc>
          <w:tcPr>
            <w:tcW w:w="567" w:type="dxa"/>
          </w:tcPr>
          <w:p w14:paraId="25439056" w14:textId="77777777" w:rsidR="004E6DE4" w:rsidRPr="00F80503" w:rsidRDefault="004E6DE4" w:rsidP="004E6DE4">
            <w:pPr>
              <w:jc w:val="center"/>
            </w:pPr>
          </w:p>
          <w:p w14:paraId="2C04F8ED" w14:textId="77777777" w:rsidR="004E6DE4" w:rsidRPr="00F80503" w:rsidRDefault="004E6DE4" w:rsidP="004E6DE4">
            <w:pPr>
              <w:jc w:val="center"/>
            </w:pPr>
            <w:r w:rsidRPr="00F80503">
              <w:t>2</w:t>
            </w:r>
            <w:r w:rsidR="00F80503" w:rsidRPr="00F80503">
              <w:t>4</w:t>
            </w:r>
          </w:p>
        </w:tc>
        <w:tc>
          <w:tcPr>
            <w:tcW w:w="1134" w:type="dxa"/>
          </w:tcPr>
          <w:p w14:paraId="55CE7317" w14:textId="77777777" w:rsidR="004E6DE4" w:rsidRPr="00F80503" w:rsidRDefault="004E6DE4" w:rsidP="004E6DE4">
            <w:pPr>
              <w:tabs>
                <w:tab w:val="decimal" w:pos="885"/>
              </w:tabs>
              <w:ind w:left="-108"/>
            </w:pPr>
          </w:p>
          <w:p w14:paraId="6C220EC5" w14:textId="77777777" w:rsidR="004E6DE4" w:rsidRPr="00F80503" w:rsidRDefault="004E6DE4" w:rsidP="004E6DE4">
            <w:pPr>
              <w:tabs>
                <w:tab w:val="decimal" w:pos="885"/>
              </w:tabs>
              <w:ind w:left="-108"/>
            </w:pPr>
            <w:r w:rsidRPr="00F80503">
              <w:t>-</w:t>
            </w:r>
          </w:p>
        </w:tc>
        <w:tc>
          <w:tcPr>
            <w:tcW w:w="1134" w:type="dxa"/>
          </w:tcPr>
          <w:p w14:paraId="719D9E77" w14:textId="77777777" w:rsidR="004E6DE4" w:rsidRPr="004E6DE4" w:rsidRDefault="004E6DE4" w:rsidP="004E6DE4">
            <w:pPr>
              <w:tabs>
                <w:tab w:val="decimal" w:pos="885"/>
              </w:tabs>
              <w:ind w:left="-108"/>
            </w:pPr>
          </w:p>
          <w:p w14:paraId="46D521A8" w14:textId="77777777" w:rsidR="004E6DE4" w:rsidRPr="004E6DE4" w:rsidRDefault="004E6DE4" w:rsidP="004E6DE4">
            <w:pPr>
              <w:tabs>
                <w:tab w:val="decimal" w:pos="885"/>
              </w:tabs>
              <w:ind w:left="-108"/>
            </w:pPr>
            <w:r w:rsidRPr="004E6DE4">
              <w:t>-</w:t>
            </w:r>
          </w:p>
        </w:tc>
        <w:tc>
          <w:tcPr>
            <w:tcW w:w="1134" w:type="dxa"/>
          </w:tcPr>
          <w:p w14:paraId="79790F8E" w14:textId="77777777" w:rsidR="004E6DE4" w:rsidRPr="004E6DE4" w:rsidRDefault="004E6DE4" w:rsidP="004E6DE4">
            <w:pPr>
              <w:tabs>
                <w:tab w:val="decimal" w:pos="885"/>
              </w:tabs>
              <w:ind w:left="-108"/>
            </w:pPr>
          </w:p>
          <w:p w14:paraId="3456BF83" w14:textId="77777777" w:rsidR="004E6DE4" w:rsidRPr="004E6DE4" w:rsidRDefault="004E6DE4" w:rsidP="004E6DE4">
            <w:pPr>
              <w:tabs>
                <w:tab w:val="decimal" w:pos="885"/>
              </w:tabs>
              <w:ind w:left="-108"/>
            </w:pPr>
            <w:r w:rsidRPr="004E6DE4">
              <w:t>-</w:t>
            </w:r>
          </w:p>
        </w:tc>
        <w:tc>
          <w:tcPr>
            <w:tcW w:w="1134" w:type="dxa"/>
          </w:tcPr>
          <w:p w14:paraId="7EFDC10E" w14:textId="77777777" w:rsidR="004E6DE4" w:rsidRPr="004E6DE4" w:rsidRDefault="004E6DE4" w:rsidP="004E6DE4">
            <w:pPr>
              <w:tabs>
                <w:tab w:val="decimal" w:pos="885"/>
              </w:tabs>
              <w:ind w:left="-108"/>
            </w:pPr>
          </w:p>
          <w:p w14:paraId="67E42654" w14:textId="77777777" w:rsidR="004E6DE4" w:rsidRPr="004E6DE4" w:rsidRDefault="004E6DE4" w:rsidP="004E6DE4">
            <w:pPr>
              <w:tabs>
                <w:tab w:val="decimal" w:pos="885"/>
              </w:tabs>
              <w:ind w:left="-108"/>
            </w:pPr>
            <w:r w:rsidRPr="004E6DE4">
              <w:t>18,842</w:t>
            </w:r>
          </w:p>
        </w:tc>
        <w:tc>
          <w:tcPr>
            <w:tcW w:w="1134" w:type="dxa"/>
          </w:tcPr>
          <w:p w14:paraId="369F4240" w14:textId="77777777" w:rsidR="004E6DE4" w:rsidRPr="004E6DE4" w:rsidRDefault="004E6DE4" w:rsidP="004E6DE4">
            <w:pPr>
              <w:tabs>
                <w:tab w:val="decimal" w:pos="885"/>
              </w:tabs>
              <w:ind w:left="-108"/>
            </w:pPr>
          </w:p>
          <w:p w14:paraId="16BD7402" w14:textId="77777777" w:rsidR="004E6DE4" w:rsidRPr="004E6DE4" w:rsidRDefault="004E6DE4" w:rsidP="004E6DE4">
            <w:pPr>
              <w:tabs>
                <w:tab w:val="decimal" w:pos="885"/>
              </w:tabs>
              <w:ind w:left="-108"/>
            </w:pPr>
            <w:r w:rsidRPr="004E6DE4">
              <w:t>-</w:t>
            </w:r>
          </w:p>
        </w:tc>
        <w:tc>
          <w:tcPr>
            <w:tcW w:w="1276" w:type="dxa"/>
          </w:tcPr>
          <w:p w14:paraId="7D1833A2" w14:textId="77777777" w:rsidR="004E6DE4" w:rsidRPr="004E6DE4" w:rsidRDefault="004E6DE4" w:rsidP="004E6DE4">
            <w:pPr>
              <w:tabs>
                <w:tab w:val="decimal" w:pos="885"/>
              </w:tabs>
              <w:ind w:left="-108"/>
            </w:pPr>
          </w:p>
          <w:p w14:paraId="2481D5EC" w14:textId="77777777" w:rsidR="004E6DE4" w:rsidRPr="004E6DE4" w:rsidRDefault="004E6DE4" w:rsidP="004E6DE4">
            <w:pPr>
              <w:tabs>
                <w:tab w:val="decimal" w:pos="885"/>
              </w:tabs>
              <w:ind w:left="-108"/>
            </w:pPr>
            <w:r w:rsidRPr="004E6DE4">
              <w:t>1,861</w:t>
            </w:r>
          </w:p>
        </w:tc>
        <w:tc>
          <w:tcPr>
            <w:tcW w:w="1309" w:type="dxa"/>
          </w:tcPr>
          <w:p w14:paraId="23F8932E" w14:textId="77777777" w:rsidR="004E6DE4" w:rsidRPr="004E6DE4" w:rsidRDefault="004E6DE4" w:rsidP="004E6DE4">
            <w:pPr>
              <w:tabs>
                <w:tab w:val="decimal" w:pos="885"/>
              </w:tabs>
              <w:ind w:left="-108"/>
            </w:pPr>
          </w:p>
          <w:p w14:paraId="12331A64" w14:textId="77777777" w:rsidR="004E6DE4" w:rsidRPr="004E6DE4" w:rsidRDefault="004E6DE4" w:rsidP="004E6DE4">
            <w:pPr>
              <w:tabs>
                <w:tab w:val="decimal" w:pos="885"/>
              </w:tabs>
              <w:ind w:left="-108"/>
            </w:pPr>
            <w:r w:rsidRPr="004E6DE4">
              <w:t>20,703</w:t>
            </w:r>
          </w:p>
        </w:tc>
      </w:tr>
      <w:tr w:rsidR="004E6DE4" w:rsidRPr="00C328EF" w14:paraId="4914E34A" w14:textId="77777777" w:rsidTr="00224B26">
        <w:trPr>
          <w:gridAfter w:val="4"/>
          <w:wAfter w:w="5104" w:type="dxa"/>
        </w:trPr>
        <w:tc>
          <w:tcPr>
            <w:tcW w:w="2552" w:type="dxa"/>
          </w:tcPr>
          <w:p w14:paraId="78ED7FDE" w14:textId="77777777" w:rsidR="004E6DE4" w:rsidRPr="004E6DE4" w:rsidRDefault="004E6DE4" w:rsidP="004E6DE4">
            <w:r w:rsidRPr="004E6DE4">
              <w:t>Deferred tax thereon</w:t>
            </w:r>
          </w:p>
        </w:tc>
        <w:tc>
          <w:tcPr>
            <w:tcW w:w="567" w:type="dxa"/>
          </w:tcPr>
          <w:p w14:paraId="4A4F7124" w14:textId="77777777" w:rsidR="004E6DE4" w:rsidRPr="00F80503" w:rsidRDefault="00F80503" w:rsidP="004E6DE4">
            <w:pPr>
              <w:jc w:val="center"/>
            </w:pPr>
            <w:r w:rsidRPr="00F80503">
              <w:t>17</w:t>
            </w:r>
          </w:p>
        </w:tc>
        <w:tc>
          <w:tcPr>
            <w:tcW w:w="1134" w:type="dxa"/>
          </w:tcPr>
          <w:p w14:paraId="64B457E7" w14:textId="77777777" w:rsidR="004E6DE4" w:rsidRPr="004E6DE4" w:rsidRDefault="004E6DE4" w:rsidP="004E6DE4">
            <w:pPr>
              <w:tabs>
                <w:tab w:val="decimal" w:pos="885"/>
              </w:tabs>
              <w:ind w:left="-108"/>
            </w:pPr>
            <w:r w:rsidRPr="004E6DE4">
              <w:t>-</w:t>
            </w:r>
          </w:p>
        </w:tc>
        <w:tc>
          <w:tcPr>
            <w:tcW w:w="1134" w:type="dxa"/>
          </w:tcPr>
          <w:p w14:paraId="759D3359" w14:textId="77777777" w:rsidR="004E6DE4" w:rsidRPr="004E6DE4" w:rsidRDefault="004E6DE4" w:rsidP="004E6DE4">
            <w:pPr>
              <w:tabs>
                <w:tab w:val="decimal" w:pos="885"/>
              </w:tabs>
              <w:ind w:left="-108"/>
            </w:pPr>
            <w:r w:rsidRPr="004E6DE4">
              <w:t>-</w:t>
            </w:r>
          </w:p>
        </w:tc>
        <w:tc>
          <w:tcPr>
            <w:tcW w:w="1134" w:type="dxa"/>
          </w:tcPr>
          <w:p w14:paraId="2AC7D5E5" w14:textId="77777777" w:rsidR="004E6DE4" w:rsidRPr="004E6DE4" w:rsidRDefault="004E6DE4" w:rsidP="004E6DE4">
            <w:pPr>
              <w:tabs>
                <w:tab w:val="decimal" w:pos="885"/>
              </w:tabs>
              <w:ind w:left="-108"/>
            </w:pPr>
            <w:r w:rsidRPr="004E6DE4">
              <w:t>-</w:t>
            </w:r>
          </w:p>
        </w:tc>
        <w:tc>
          <w:tcPr>
            <w:tcW w:w="1134" w:type="dxa"/>
          </w:tcPr>
          <w:p w14:paraId="4F656FB5" w14:textId="77777777" w:rsidR="004E6DE4" w:rsidRPr="004E6DE4" w:rsidRDefault="004E6DE4" w:rsidP="004E6DE4">
            <w:pPr>
              <w:tabs>
                <w:tab w:val="decimal" w:pos="885"/>
              </w:tabs>
              <w:ind w:left="-108"/>
            </w:pPr>
            <w:r w:rsidRPr="004E6DE4">
              <w:t>(5,837)</w:t>
            </w:r>
          </w:p>
        </w:tc>
        <w:tc>
          <w:tcPr>
            <w:tcW w:w="1134" w:type="dxa"/>
          </w:tcPr>
          <w:p w14:paraId="017B5178" w14:textId="77777777" w:rsidR="004E6DE4" w:rsidRPr="004E6DE4" w:rsidRDefault="004E6DE4" w:rsidP="004E6DE4">
            <w:pPr>
              <w:tabs>
                <w:tab w:val="decimal" w:pos="885"/>
              </w:tabs>
              <w:ind w:left="-108"/>
            </w:pPr>
            <w:r w:rsidRPr="004E6DE4">
              <w:t>-</w:t>
            </w:r>
          </w:p>
        </w:tc>
        <w:tc>
          <w:tcPr>
            <w:tcW w:w="1276" w:type="dxa"/>
          </w:tcPr>
          <w:p w14:paraId="72F10C7B" w14:textId="77777777" w:rsidR="004E6DE4" w:rsidRPr="004E6DE4" w:rsidRDefault="004E6DE4" w:rsidP="004E6DE4">
            <w:pPr>
              <w:tabs>
                <w:tab w:val="decimal" w:pos="885"/>
              </w:tabs>
              <w:ind w:left="-108"/>
            </w:pPr>
            <w:r w:rsidRPr="004E6DE4">
              <w:t>(576)</w:t>
            </w:r>
          </w:p>
        </w:tc>
        <w:tc>
          <w:tcPr>
            <w:tcW w:w="1309" w:type="dxa"/>
          </w:tcPr>
          <w:p w14:paraId="2478CB1D" w14:textId="77777777" w:rsidR="004E6DE4" w:rsidRPr="004E6DE4" w:rsidRDefault="004E6DE4" w:rsidP="004E6DE4">
            <w:pPr>
              <w:tabs>
                <w:tab w:val="decimal" w:pos="885"/>
              </w:tabs>
              <w:ind w:left="-108"/>
            </w:pPr>
            <w:r w:rsidRPr="004E6DE4">
              <w:t>(6,413)</w:t>
            </w:r>
          </w:p>
        </w:tc>
      </w:tr>
      <w:tr w:rsidR="004E6DE4" w:rsidRPr="00C328EF" w14:paraId="4DAF42A0" w14:textId="77777777" w:rsidTr="00224B26">
        <w:trPr>
          <w:gridAfter w:val="4"/>
          <w:wAfter w:w="5104" w:type="dxa"/>
        </w:trPr>
        <w:tc>
          <w:tcPr>
            <w:tcW w:w="2552" w:type="dxa"/>
          </w:tcPr>
          <w:p w14:paraId="416059DC" w14:textId="77777777" w:rsidR="004E6DE4" w:rsidRPr="0047306F" w:rsidRDefault="004E6DE4" w:rsidP="004E6DE4">
            <w:r w:rsidRPr="0047306F">
              <w:t>Net fair value movements on cash flow hedges</w:t>
            </w:r>
          </w:p>
        </w:tc>
        <w:tc>
          <w:tcPr>
            <w:tcW w:w="567" w:type="dxa"/>
          </w:tcPr>
          <w:p w14:paraId="28642DCE" w14:textId="77777777" w:rsidR="004E6DE4" w:rsidRPr="0047306F" w:rsidRDefault="004E6DE4" w:rsidP="004E6DE4">
            <w:pPr>
              <w:jc w:val="center"/>
            </w:pPr>
          </w:p>
          <w:p w14:paraId="263E0C5B" w14:textId="77777777" w:rsidR="004E6DE4" w:rsidRPr="0047306F" w:rsidRDefault="004E6DE4" w:rsidP="004E6DE4">
            <w:pPr>
              <w:jc w:val="center"/>
            </w:pPr>
            <w:r w:rsidRPr="0047306F">
              <w:t>2</w:t>
            </w:r>
            <w:r w:rsidR="001959E2">
              <w:t>7</w:t>
            </w:r>
          </w:p>
        </w:tc>
        <w:tc>
          <w:tcPr>
            <w:tcW w:w="1134" w:type="dxa"/>
          </w:tcPr>
          <w:p w14:paraId="356CD4B4" w14:textId="77777777" w:rsidR="004E6DE4" w:rsidRPr="004E6DE4" w:rsidRDefault="004E6DE4" w:rsidP="004E6DE4">
            <w:pPr>
              <w:tabs>
                <w:tab w:val="decimal" w:pos="885"/>
              </w:tabs>
              <w:ind w:left="-108"/>
            </w:pPr>
          </w:p>
          <w:p w14:paraId="2B28C878" w14:textId="77777777" w:rsidR="004E6DE4" w:rsidRPr="004E6DE4" w:rsidRDefault="004E6DE4" w:rsidP="004E6DE4">
            <w:pPr>
              <w:tabs>
                <w:tab w:val="decimal" w:pos="885"/>
              </w:tabs>
              <w:ind w:left="-108"/>
            </w:pPr>
            <w:r w:rsidRPr="004E6DE4">
              <w:t>-</w:t>
            </w:r>
          </w:p>
        </w:tc>
        <w:tc>
          <w:tcPr>
            <w:tcW w:w="1134" w:type="dxa"/>
          </w:tcPr>
          <w:p w14:paraId="569F7D95" w14:textId="77777777" w:rsidR="004E6DE4" w:rsidRPr="004E6DE4" w:rsidRDefault="004E6DE4" w:rsidP="004E6DE4">
            <w:pPr>
              <w:tabs>
                <w:tab w:val="decimal" w:pos="885"/>
              </w:tabs>
              <w:ind w:left="-108"/>
            </w:pPr>
          </w:p>
          <w:p w14:paraId="3FA19CBD" w14:textId="77777777" w:rsidR="004E6DE4" w:rsidRPr="004E6DE4" w:rsidRDefault="004E6DE4" w:rsidP="004E6DE4">
            <w:pPr>
              <w:tabs>
                <w:tab w:val="decimal" w:pos="885"/>
              </w:tabs>
              <w:ind w:left="-108"/>
            </w:pPr>
            <w:r w:rsidRPr="004E6DE4">
              <w:t>-</w:t>
            </w:r>
          </w:p>
        </w:tc>
        <w:tc>
          <w:tcPr>
            <w:tcW w:w="1134" w:type="dxa"/>
          </w:tcPr>
          <w:p w14:paraId="3606CFCF" w14:textId="77777777" w:rsidR="004E6DE4" w:rsidRPr="004E6DE4" w:rsidRDefault="004E6DE4" w:rsidP="004E6DE4">
            <w:pPr>
              <w:tabs>
                <w:tab w:val="decimal" w:pos="885"/>
              </w:tabs>
              <w:ind w:left="-108"/>
            </w:pPr>
          </w:p>
          <w:p w14:paraId="3E5F072D" w14:textId="77777777" w:rsidR="004E6DE4" w:rsidRPr="004E6DE4" w:rsidRDefault="004E6DE4" w:rsidP="004E6DE4">
            <w:pPr>
              <w:tabs>
                <w:tab w:val="decimal" w:pos="885"/>
              </w:tabs>
              <w:ind w:left="-108"/>
            </w:pPr>
            <w:r w:rsidRPr="004E6DE4">
              <w:t>-</w:t>
            </w:r>
          </w:p>
        </w:tc>
        <w:tc>
          <w:tcPr>
            <w:tcW w:w="1134" w:type="dxa"/>
          </w:tcPr>
          <w:p w14:paraId="5EA30E0E" w14:textId="77777777" w:rsidR="004E6DE4" w:rsidRPr="004E6DE4" w:rsidRDefault="004E6DE4" w:rsidP="004E6DE4">
            <w:pPr>
              <w:tabs>
                <w:tab w:val="decimal" w:pos="885"/>
              </w:tabs>
              <w:ind w:left="-108"/>
            </w:pPr>
          </w:p>
          <w:p w14:paraId="305F1E95" w14:textId="77777777" w:rsidR="004E6DE4" w:rsidRPr="004E6DE4" w:rsidRDefault="004E6DE4" w:rsidP="004E6DE4">
            <w:pPr>
              <w:tabs>
                <w:tab w:val="decimal" w:pos="885"/>
              </w:tabs>
              <w:ind w:left="-108"/>
            </w:pPr>
            <w:r w:rsidRPr="004E6DE4">
              <w:t>-</w:t>
            </w:r>
          </w:p>
        </w:tc>
        <w:tc>
          <w:tcPr>
            <w:tcW w:w="1134" w:type="dxa"/>
          </w:tcPr>
          <w:p w14:paraId="4C24F865" w14:textId="77777777" w:rsidR="004E6DE4" w:rsidRPr="004E6DE4" w:rsidRDefault="004E6DE4" w:rsidP="004E6DE4">
            <w:pPr>
              <w:tabs>
                <w:tab w:val="decimal" w:pos="885"/>
              </w:tabs>
              <w:ind w:left="-108"/>
            </w:pPr>
          </w:p>
          <w:p w14:paraId="415A125C" w14:textId="77777777" w:rsidR="004E6DE4" w:rsidRPr="004E6DE4" w:rsidRDefault="004E6DE4" w:rsidP="004E6DE4">
            <w:pPr>
              <w:tabs>
                <w:tab w:val="decimal" w:pos="885"/>
              </w:tabs>
              <w:ind w:left="-108"/>
            </w:pPr>
            <w:r w:rsidRPr="004E6DE4">
              <w:t>(3,678)</w:t>
            </w:r>
          </w:p>
        </w:tc>
        <w:tc>
          <w:tcPr>
            <w:tcW w:w="1276" w:type="dxa"/>
          </w:tcPr>
          <w:p w14:paraId="377F1AD4" w14:textId="77777777" w:rsidR="004E6DE4" w:rsidRPr="004E6DE4" w:rsidRDefault="004E6DE4" w:rsidP="004E6DE4">
            <w:pPr>
              <w:tabs>
                <w:tab w:val="decimal" w:pos="885"/>
              </w:tabs>
              <w:ind w:left="-108"/>
            </w:pPr>
          </w:p>
          <w:p w14:paraId="223514D4" w14:textId="77777777" w:rsidR="004E6DE4" w:rsidRPr="004E6DE4" w:rsidRDefault="004E6DE4" w:rsidP="004E6DE4">
            <w:pPr>
              <w:tabs>
                <w:tab w:val="decimal" w:pos="885"/>
              </w:tabs>
              <w:ind w:left="-108"/>
            </w:pPr>
            <w:r w:rsidRPr="004E6DE4">
              <w:t>(363)</w:t>
            </w:r>
          </w:p>
        </w:tc>
        <w:tc>
          <w:tcPr>
            <w:tcW w:w="1309" w:type="dxa"/>
          </w:tcPr>
          <w:p w14:paraId="696CCC60" w14:textId="77777777" w:rsidR="004E6DE4" w:rsidRPr="004E6DE4" w:rsidRDefault="004E6DE4" w:rsidP="004E6DE4">
            <w:pPr>
              <w:tabs>
                <w:tab w:val="decimal" w:pos="885"/>
              </w:tabs>
              <w:ind w:left="-108"/>
            </w:pPr>
          </w:p>
          <w:p w14:paraId="0DE96408" w14:textId="77777777" w:rsidR="004E6DE4" w:rsidRPr="004E6DE4" w:rsidRDefault="004E6DE4" w:rsidP="004E6DE4">
            <w:pPr>
              <w:tabs>
                <w:tab w:val="decimal" w:pos="885"/>
              </w:tabs>
              <w:ind w:left="-108"/>
            </w:pPr>
            <w:r w:rsidRPr="004E6DE4">
              <w:t>(4,041)</w:t>
            </w:r>
          </w:p>
        </w:tc>
      </w:tr>
      <w:tr w:rsidR="004E6DE4" w:rsidRPr="00C328EF" w14:paraId="7ABD355B" w14:textId="77777777" w:rsidTr="00224B26">
        <w:trPr>
          <w:gridAfter w:val="4"/>
          <w:wAfter w:w="5104" w:type="dxa"/>
        </w:trPr>
        <w:tc>
          <w:tcPr>
            <w:tcW w:w="2552" w:type="dxa"/>
          </w:tcPr>
          <w:p w14:paraId="579BC50C" w14:textId="77777777" w:rsidR="004E6DE4" w:rsidRPr="004E6DE4" w:rsidRDefault="004E6DE4" w:rsidP="004E6DE4">
            <w:r w:rsidRPr="004E6DE4">
              <w:t>Deferred tax thereon</w:t>
            </w:r>
          </w:p>
        </w:tc>
        <w:tc>
          <w:tcPr>
            <w:tcW w:w="567" w:type="dxa"/>
          </w:tcPr>
          <w:p w14:paraId="0DE33DCC" w14:textId="77777777" w:rsidR="004E6DE4" w:rsidRPr="00F80503" w:rsidRDefault="004E6DE4" w:rsidP="004E6DE4">
            <w:pPr>
              <w:jc w:val="center"/>
            </w:pPr>
            <w:r w:rsidRPr="00F80503">
              <w:t>1</w:t>
            </w:r>
            <w:r w:rsidR="00F80503" w:rsidRPr="00F80503">
              <w:t>7</w:t>
            </w:r>
          </w:p>
        </w:tc>
        <w:tc>
          <w:tcPr>
            <w:tcW w:w="1134" w:type="dxa"/>
          </w:tcPr>
          <w:p w14:paraId="61C665D1" w14:textId="77777777" w:rsidR="004E6DE4" w:rsidRPr="004E6DE4" w:rsidRDefault="004E6DE4" w:rsidP="004E6DE4">
            <w:pPr>
              <w:tabs>
                <w:tab w:val="decimal" w:pos="885"/>
              </w:tabs>
              <w:ind w:left="-108"/>
            </w:pPr>
            <w:r w:rsidRPr="004E6DE4">
              <w:t>-</w:t>
            </w:r>
          </w:p>
        </w:tc>
        <w:tc>
          <w:tcPr>
            <w:tcW w:w="1134" w:type="dxa"/>
          </w:tcPr>
          <w:p w14:paraId="133CF14C" w14:textId="77777777" w:rsidR="004E6DE4" w:rsidRPr="004E6DE4" w:rsidRDefault="004E6DE4" w:rsidP="004E6DE4">
            <w:pPr>
              <w:tabs>
                <w:tab w:val="decimal" w:pos="885"/>
              </w:tabs>
              <w:ind w:left="-108"/>
            </w:pPr>
            <w:r w:rsidRPr="004E6DE4">
              <w:t>-</w:t>
            </w:r>
          </w:p>
        </w:tc>
        <w:tc>
          <w:tcPr>
            <w:tcW w:w="1134" w:type="dxa"/>
          </w:tcPr>
          <w:p w14:paraId="2401B971" w14:textId="77777777" w:rsidR="004E6DE4" w:rsidRPr="004E6DE4" w:rsidRDefault="004E6DE4" w:rsidP="004E6DE4">
            <w:pPr>
              <w:tabs>
                <w:tab w:val="decimal" w:pos="885"/>
              </w:tabs>
              <w:ind w:left="-108"/>
            </w:pPr>
            <w:r w:rsidRPr="004E6DE4">
              <w:t>-</w:t>
            </w:r>
          </w:p>
        </w:tc>
        <w:tc>
          <w:tcPr>
            <w:tcW w:w="1134" w:type="dxa"/>
          </w:tcPr>
          <w:p w14:paraId="7133ECCE" w14:textId="77777777" w:rsidR="004E6DE4" w:rsidRPr="004E6DE4" w:rsidRDefault="004E6DE4" w:rsidP="004E6DE4">
            <w:pPr>
              <w:tabs>
                <w:tab w:val="decimal" w:pos="885"/>
              </w:tabs>
              <w:ind w:left="-108"/>
            </w:pPr>
            <w:r w:rsidRPr="004E6DE4">
              <w:t>-</w:t>
            </w:r>
          </w:p>
        </w:tc>
        <w:tc>
          <w:tcPr>
            <w:tcW w:w="1134" w:type="dxa"/>
          </w:tcPr>
          <w:p w14:paraId="701082FC" w14:textId="77777777" w:rsidR="004E6DE4" w:rsidRPr="004E6DE4" w:rsidRDefault="004E6DE4" w:rsidP="004E6DE4">
            <w:pPr>
              <w:tabs>
                <w:tab w:val="decimal" w:pos="885"/>
              </w:tabs>
              <w:ind w:left="-108"/>
            </w:pPr>
            <w:r w:rsidRPr="004E6DE4">
              <w:t>919</w:t>
            </w:r>
          </w:p>
        </w:tc>
        <w:tc>
          <w:tcPr>
            <w:tcW w:w="1276" w:type="dxa"/>
          </w:tcPr>
          <w:p w14:paraId="447DE9F8" w14:textId="77777777" w:rsidR="004E6DE4" w:rsidRPr="004E6DE4" w:rsidRDefault="004E6DE4" w:rsidP="004E6DE4">
            <w:pPr>
              <w:tabs>
                <w:tab w:val="decimal" w:pos="885"/>
              </w:tabs>
              <w:ind w:left="-108"/>
            </w:pPr>
            <w:r w:rsidRPr="004E6DE4">
              <w:t>91</w:t>
            </w:r>
          </w:p>
        </w:tc>
        <w:tc>
          <w:tcPr>
            <w:tcW w:w="1309" w:type="dxa"/>
          </w:tcPr>
          <w:p w14:paraId="2D85A2A4" w14:textId="77777777" w:rsidR="004E6DE4" w:rsidRPr="004E6DE4" w:rsidRDefault="004E6DE4" w:rsidP="004E6DE4">
            <w:pPr>
              <w:tabs>
                <w:tab w:val="decimal" w:pos="885"/>
              </w:tabs>
              <w:ind w:left="-108"/>
            </w:pPr>
            <w:r w:rsidRPr="004E6DE4">
              <w:t>1,010</w:t>
            </w:r>
          </w:p>
        </w:tc>
      </w:tr>
      <w:tr w:rsidR="004E6DE4" w:rsidRPr="00C328EF" w14:paraId="3586E836" w14:textId="77777777" w:rsidTr="00224B26">
        <w:trPr>
          <w:gridAfter w:val="4"/>
          <w:wAfter w:w="5104" w:type="dxa"/>
        </w:trPr>
        <w:tc>
          <w:tcPr>
            <w:tcW w:w="2552" w:type="dxa"/>
          </w:tcPr>
          <w:p w14:paraId="47B4E4B6" w14:textId="77777777" w:rsidR="004E6DE4" w:rsidRPr="004E6DE4" w:rsidRDefault="004E6DE4" w:rsidP="004E6DE4">
            <w:r w:rsidRPr="004E6DE4">
              <w:t xml:space="preserve">Shares issued in </w:t>
            </w:r>
            <w:r w:rsidR="00002C01">
              <w:t>period</w:t>
            </w:r>
          </w:p>
        </w:tc>
        <w:tc>
          <w:tcPr>
            <w:tcW w:w="567" w:type="dxa"/>
          </w:tcPr>
          <w:p w14:paraId="01B6EF51" w14:textId="77777777" w:rsidR="004E6DE4" w:rsidRPr="0047306F" w:rsidRDefault="004E6DE4" w:rsidP="004E6DE4">
            <w:pPr>
              <w:jc w:val="center"/>
              <w:rPr>
                <w:spacing w:val="-2"/>
              </w:rPr>
            </w:pPr>
            <w:r w:rsidRPr="0047306F">
              <w:t>1</w:t>
            </w:r>
            <w:r w:rsidR="0047306F" w:rsidRPr="0047306F">
              <w:t>8</w:t>
            </w:r>
          </w:p>
        </w:tc>
        <w:tc>
          <w:tcPr>
            <w:tcW w:w="1134" w:type="dxa"/>
          </w:tcPr>
          <w:p w14:paraId="620797B1" w14:textId="77777777" w:rsidR="004E6DE4" w:rsidRPr="004E6DE4" w:rsidRDefault="004E6DE4" w:rsidP="004E6DE4">
            <w:pPr>
              <w:tabs>
                <w:tab w:val="decimal" w:pos="885"/>
              </w:tabs>
              <w:ind w:left="-108"/>
            </w:pPr>
            <w:r w:rsidRPr="004E6DE4">
              <w:t>12,000</w:t>
            </w:r>
          </w:p>
        </w:tc>
        <w:tc>
          <w:tcPr>
            <w:tcW w:w="1134" w:type="dxa"/>
          </w:tcPr>
          <w:p w14:paraId="58535404" w14:textId="77777777" w:rsidR="004E6DE4" w:rsidRPr="004E6DE4" w:rsidRDefault="004E6DE4" w:rsidP="004E6DE4">
            <w:pPr>
              <w:tabs>
                <w:tab w:val="decimal" w:pos="885"/>
              </w:tabs>
              <w:ind w:left="-108"/>
            </w:pPr>
            <w:r w:rsidRPr="004E6DE4">
              <w:t>-</w:t>
            </w:r>
          </w:p>
        </w:tc>
        <w:tc>
          <w:tcPr>
            <w:tcW w:w="1134" w:type="dxa"/>
          </w:tcPr>
          <w:p w14:paraId="0FCB11D2" w14:textId="77777777" w:rsidR="004E6DE4" w:rsidRPr="004E6DE4" w:rsidRDefault="004E6DE4" w:rsidP="004E6DE4">
            <w:pPr>
              <w:tabs>
                <w:tab w:val="decimal" w:pos="885"/>
              </w:tabs>
              <w:ind w:left="-108"/>
            </w:pPr>
            <w:r w:rsidRPr="004E6DE4">
              <w:t>-</w:t>
            </w:r>
          </w:p>
        </w:tc>
        <w:tc>
          <w:tcPr>
            <w:tcW w:w="1134" w:type="dxa"/>
          </w:tcPr>
          <w:p w14:paraId="7C775C22" w14:textId="77777777" w:rsidR="004E6DE4" w:rsidRPr="004E6DE4" w:rsidRDefault="004E6DE4" w:rsidP="004E6DE4">
            <w:pPr>
              <w:tabs>
                <w:tab w:val="decimal" w:pos="885"/>
              </w:tabs>
              <w:ind w:left="-108"/>
            </w:pPr>
            <w:r w:rsidRPr="004E6DE4">
              <w:t>-</w:t>
            </w:r>
          </w:p>
        </w:tc>
        <w:tc>
          <w:tcPr>
            <w:tcW w:w="1134" w:type="dxa"/>
          </w:tcPr>
          <w:p w14:paraId="0A16830F" w14:textId="77777777" w:rsidR="004E6DE4" w:rsidRPr="004E6DE4" w:rsidRDefault="004E6DE4" w:rsidP="004E6DE4">
            <w:pPr>
              <w:tabs>
                <w:tab w:val="decimal" w:pos="885"/>
              </w:tabs>
              <w:ind w:left="-108"/>
            </w:pPr>
            <w:r w:rsidRPr="004E6DE4">
              <w:t>-</w:t>
            </w:r>
          </w:p>
        </w:tc>
        <w:tc>
          <w:tcPr>
            <w:tcW w:w="1276" w:type="dxa"/>
          </w:tcPr>
          <w:p w14:paraId="1CAE8FEC" w14:textId="77777777" w:rsidR="004E6DE4" w:rsidRPr="004E6DE4" w:rsidRDefault="004E6DE4" w:rsidP="004E6DE4">
            <w:pPr>
              <w:tabs>
                <w:tab w:val="decimal" w:pos="885"/>
              </w:tabs>
              <w:ind w:left="-108"/>
            </w:pPr>
            <w:r w:rsidRPr="004E6DE4">
              <w:t>-</w:t>
            </w:r>
          </w:p>
        </w:tc>
        <w:tc>
          <w:tcPr>
            <w:tcW w:w="1309" w:type="dxa"/>
          </w:tcPr>
          <w:p w14:paraId="6FD4106C" w14:textId="77777777" w:rsidR="004E6DE4" w:rsidRPr="004E6DE4" w:rsidRDefault="004E6DE4" w:rsidP="004E6DE4">
            <w:pPr>
              <w:tabs>
                <w:tab w:val="decimal" w:pos="885"/>
              </w:tabs>
              <w:ind w:left="-108"/>
            </w:pPr>
            <w:r w:rsidRPr="004E6DE4">
              <w:t>12,000</w:t>
            </w:r>
          </w:p>
        </w:tc>
      </w:tr>
      <w:tr w:rsidR="004E6DE4" w:rsidRPr="00C328EF" w14:paraId="5BA76458" w14:textId="77777777" w:rsidTr="00224B26">
        <w:trPr>
          <w:gridAfter w:val="4"/>
          <w:wAfter w:w="5104" w:type="dxa"/>
        </w:trPr>
        <w:tc>
          <w:tcPr>
            <w:tcW w:w="2552" w:type="dxa"/>
          </w:tcPr>
          <w:p w14:paraId="13872587" w14:textId="77777777" w:rsidR="004E6DE4" w:rsidRPr="004E6DE4" w:rsidRDefault="004E6DE4" w:rsidP="004E6DE4">
            <w:r w:rsidRPr="004E6DE4">
              <w:t>Dividends</w:t>
            </w:r>
          </w:p>
        </w:tc>
        <w:tc>
          <w:tcPr>
            <w:tcW w:w="567" w:type="dxa"/>
          </w:tcPr>
          <w:p w14:paraId="42B77194" w14:textId="77777777" w:rsidR="004E6DE4" w:rsidRPr="0047306F" w:rsidRDefault="001959E2" w:rsidP="004E6DE4">
            <w:pPr>
              <w:jc w:val="center"/>
            </w:pPr>
            <w:r>
              <w:t>29</w:t>
            </w:r>
          </w:p>
        </w:tc>
        <w:tc>
          <w:tcPr>
            <w:tcW w:w="1134" w:type="dxa"/>
          </w:tcPr>
          <w:p w14:paraId="128D03D3" w14:textId="77777777" w:rsidR="004E6DE4" w:rsidRPr="004E6DE4" w:rsidRDefault="004E6DE4" w:rsidP="004E6DE4">
            <w:pPr>
              <w:tabs>
                <w:tab w:val="decimal" w:pos="885"/>
              </w:tabs>
              <w:ind w:left="-108"/>
            </w:pPr>
            <w:r w:rsidRPr="004E6DE4">
              <w:t>-</w:t>
            </w:r>
          </w:p>
        </w:tc>
        <w:tc>
          <w:tcPr>
            <w:tcW w:w="1134" w:type="dxa"/>
          </w:tcPr>
          <w:p w14:paraId="46D86CF3" w14:textId="77777777" w:rsidR="004E6DE4" w:rsidRPr="004E6DE4" w:rsidRDefault="004E6DE4" w:rsidP="004E6DE4">
            <w:pPr>
              <w:tabs>
                <w:tab w:val="decimal" w:pos="885"/>
              </w:tabs>
              <w:ind w:left="-108"/>
            </w:pPr>
            <w:r w:rsidRPr="004E6DE4">
              <w:t>-</w:t>
            </w:r>
          </w:p>
        </w:tc>
        <w:tc>
          <w:tcPr>
            <w:tcW w:w="1134" w:type="dxa"/>
          </w:tcPr>
          <w:p w14:paraId="77D88210" w14:textId="77777777" w:rsidR="004E6DE4" w:rsidRPr="004E6DE4" w:rsidRDefault="004E6DE4" w:rsidP="004E6DE4">
            <w:pPr>
              <w:tabs>
                <w:tab w:val="decimal" w:pos="885"/>
              </w:tabs>
              <w:ind w:left="-108"/>
            </w:pPr>
            <w:r w:rsidRPr="004E6DE4">
              <w:t>-</w:t>
            </w:r>
          </w:p>
        </w:tc>
        <w:tc>
          <w:tcPr>
            <w:tcW w:w="1134" w:type="dxa"/>
          </w:tcPr>
          <w:p w14:paraId="48028D35" w14:textId="77777777" w:rsidR="004E6DE4" w:rsidRPr="004E6DE4" w:rsidRDefault="004E6DE4" w:rsidP="004E6DE4">
            <w:pPr>
              <w:tabs>
                <w:tab w:val="decimal" w:pos="885"/>
              </w:tabs>
              <w:ind w:left="-108"/>
            </w:pPr>
            <w:r w:rsidRPr="004E6DE4">
              <w:t>-</w:t>
            </w:r>
          </w:p>
        </w:tc>
        <w:tc>
          <w:tcPr>
            <w:tcW w:w="1134" w:type="dxa"/>
          </w:tcPr>
          <w:p w14:paraId="24F00B96" w14:textId="77777777" w:rsidR="004E6DE4" w:rsidRPr="004E6DE4" w:rsidRDefault="004E6DE4" w:rsidP="004E6DE4">
            <w:pPr>
              <w:tabs>
                <w:tab w:val="decimal" w:pos="885"/>
              </w:tabs>
              <w:ind w:left="-108"/>
            </w:pPr>
            <w:r w:rsidRPr="004E6DE4">
              <w:t>-</w:t>
            </w:r>
          </w:p>
        </w:tc>
        <w:tc>
          <w:tcPr>
            <w:tcW w:w="1276" w:type="dxa"/>
          </w:tcPr>
          <w:p w14:paraId="27F95176" w14:textId="77777777" w:rsidR="004E6DE4" w:rsidRPr="004E6DE4" w:rsidRDefault="004E6DE4" w:rsidP="004E6DE4">
            <w:pPr>
              <w:tabs>
                <w:tab w:val="decimal" w:pos="885"/>
              </w:tabs>
              <w:ind w:left="-108"/>
            </w:pPr>
            <w:r w:rsidRPr="004E6DE4">
              <w:t>(288)</w:t>
            </w:r>
          </w:p>
        </w:tc>
        <w:tc>
          <w:tcPr>
            <w:tcW w:w="1309" w:type="dxa"/>
          </w:tcPr>
          <w:p w14:paraId="22B6D8C9" w14:textId="77777777" w:rsidR="004E6DE4" w:rsidRPr="004E6DE4" w:rsidRDefault="004E6DE4" w:rsidP="004E6DE4">
            <w:pPr>
              <w:tabs>
                <w:tab w:val="decimal" w:pos="885"/>
              </w:tabs>
              <w:ind w:left="-108"/>
            </w:pPr>
            <w:r w:rsidRPr="004E6DE4">
              <w:t>(288)</w:t>
            </w:r>
          </w:p>
        </w:tc>
      </w:tr>
      <w:tr w:rsidR="004E6DE4" w:rsidRPr="00C328EF" w14:paraId="13A71934" w14:textId="77777777" w:rsidTr="00224B26">
        <w:trPr>
          <w:gridAfter w:val="4"/>
          <w:wAfter w:w="5104" w:type="dxa"/>
        </w:trPr>
        <w:tc>
          <w:tcPr>
            <w:tcW w:w="2552" w:type="dxa"/>
          </w:tcPr>
          <w:p w14:paraId="3FC16F31" w14:textId="77777777" w:rsidR="004E6DE4" w:rsidRPr="004E6DE4" w:rsidRDefault="004E6DE4" w:rsidP="004E6DE4"/>
        </w:tc>
        <w:tc>
          <w:tcPr>
            <w:tcW w:w="567" w:type="dxa"/>
          </w:tcPr>
          <w:p w14:paraId="7AD381DD" w14:textId="77777777" w:rsidR="004E6DE4" w:rsidRPr="004E6DE4" w:rsidRDefault="004E6DE4" w:rsidP="004E6DE4">
            <w:pPr>
              <w:tabs>
                <w:tab w:val="decimal" w:pos="942"/>
              </w:tabs>
              <w:jc w:val="both"/>
              <w:rPr>
                <w:spacing w:val="-2"/>
              </w:rPr>
            </w:pPr>
          </w:p>
        </w:tc>
        <w:tc>
          <w:tcPr>
            <w:tcW w:w="1134" w:type="dxa"/>
          </w:tcPr>
          <w:p w14:paraId="1F29FE0A" w14:textId="77777777" w:rsidR="004E6DE4" w:rsidRPr="004E6DE4" w:rsidRDefault="004E6DE4" w:rsidP="004E6DE4">
            <w:pPr>
              <w:tabs>
                <w:tab w:val="decimal" w:pos="885"/>
              </w:tabs>
              <w:ind w:left="-108"/>
            </w:pPr>
            <w:r w:rsidRPr="004E6DE4">
              <w:t>───────</w:t>
            </w:r>
          </w:p>
        </w:tc>
        <w:tc>
          <w:tcPr>
            <w:tcW w:w="1134" w:type="dxa"/>
          </w:tcPr>
          <w:p w14:paraId="290377C3" w14:textId="77777777" w:rsidR="004E6DE4" w:rsidRPr="004E6DE4" w:rsidRDefault="004E6DE4" w:rsidP="004E6DE4">
            <w:pPr>
              <w:tabs>
                <w:tab w:val="decimal" w:pos="885"/>
              </w:tabs>
              <w:ind w:left="-108"/>
            </w:pPr>
            <w:r w:rsidRPr="004E6DE4">
              <w:t>───────</w:t>
            </w:r>
          </w:p>
        </w:tc>
        <w:tc>
          <w:tcPr>
            <w:tcW w:w="1134" w:type="dxa"/>
          </w:tcPr>
          <w:p w14:paraId="05163B2D" w14:textId="77777777" w:rsidR="004E6DE4" w:rsidRPr="004E6DE4" w:rsidRDefault="004E6DE4" w:rsidP="004E6DE4">
            <w:pPr>
              <w:tabs>
                <w:tab w:val="decimal" w:pos="885"/>
              </w:tabs>
              <w:ind w:left="-108"/>
            </w:pPr>
            <w:r w:rsidRPr="004E6DE4">
              <w:t>───────</w:t>
            </w:r>
          </w:p>
        </w:tc>
        <w:tc>
          <w:tcPr>
            <w:tcW w:w="1134" w:type="dxa"/>
          </w:tcPr>
          <w:p w14:paraId="40E8DDD4" w14:textId="77777777" w:rsidR="004E6DE4" w:rsidRPr="004E6DE4" w:rsidRDefault="004E6DE4" w:rsidP="004E6DE4">
            <w:pPr>
              <w:tabs>
                <w:tab w:val="decimal" w:pos="885"/>
              </w:tabs>
              <w:ind w:left="-108"/>
            </w:pPr>
            <w:r w:rsidRPr="004E6DE4">
              <w:t>───────</w:t>
            </w:r>
          </w:p>
        </w:tc>
        <w:tc>
          <w:tcPr>
            <w:tcW w:w="1134" w:type="dxa"/>
          </w:tcPr>
          <w:p w14:paraId="4092D57F" w14:textId="77777777" w:rsidR="004E6DE4" w:rsidRPr="004E6DE4" w:rsidRDefault="004E6DE4" w:rsidP="004E6DE4">
            <w:pPr>
              <w:tabs>
                <w:tab w:val="decimal" w:pos="885"/>
              </w:tabs>
              <w:ind w:left="-108"/>
            </w:pPr>
            <w:r w:rsidRPr="004E6DE4">
              <w:t>───────</w:t>
            </w:r>
          </w:p>
        </w:tc>
        <w:tc>
          <w:tcPr>
            <w:tcW w:w="1276" w:type="dxa"/>
          </w:tcPr>
          <w:p w14:paraId="5C154DEA" w14:textId="77777777" w:rsidR="004E6DE4" w:rsidRPr="004E6DE4" w:rsidRDefault="004E6DE4" w:rsidP="004E6DE4">
            <w:pPr>
              <w:tabs>
                <w:tab w:val="decimal" w:pos="885"/>
              </w:tabs>
              <w:ind w:left="-108"/>
            </w:pPr>
            <w:r w:rsidRPr="004E6DE4">
              <w:t>───────</w:t>
            </w:r>
          </w:p>
        </w:tc>
        <w:tc>
          <w:tcPr>
            <w:tcW w:w="1309" w:type="dxa"/>
          </w:tcPr>
          <w:p w14:paraId="385AEF9D" w14:textId="77777777" w:rsidR="004E6DE4" w:rsidRPr="004E6DE4" w:rsidRDefault="004E6DE4" w:rsidP="004E6DE4">
            <w:pPr>
              <w:tabs>
                <w:tab w:val="decimal" w:pos="885"/>
              </w:tabs>
              <w:ind w:left="-108"/>
            </w:pPr>
            <w:r w:rsidRPr="004E6DE4">
              <w:t>───────</w:t>
            </w:r>
          </w:p>
        </w:tc>
      </w:tr>
      <w:tr w:rsidR="004E6DE4" w:rsidRPr="00C328EF" w14:paraId="0901F18D" w14:textId="77777777" w:rsidTr="00224B26">
        <w:trPr>
          <w:gridAfter w:val="4"/>
          <w:wAfter w:w="5104" w:type="dxa"/>
        </w:trPr>
        <w:tc>
          <w:tcPr>
            <w:tcW w:w="2552" w:type="dxa"/>
          </w:tcPr>
          <w:p w14:paraId="0C7E9817" w14:textId="77777777" w:rsidR="004E6DE4" w:rsidRPr="004E6DE4" w:rsidRDefault="004E6DE4" w:rsidP="004E6DE4">
            <w:pPr>
              <w:rPr>
                <w:b/>
              </w:rPr>
            </w:pPr>
            <w:r w:rsidRPr="004E6DE4">
              <w:rPr>
                <w:b/>
              </w:rPr>
              <w:t>Balance at 3</w:t>
            </w:r>
            <w:r w:rsidR="00B65C0A">
              <w:rPr>
                <w:b/>
              </w:rPr>
              <w:t>0</w:t>
            </w:r>
            <w:r w:rsidRPr="004E6DE4">
              <w:rPr>
                <w:b/>
              </w:rPr>
              <w:t xml:space="preserve"> December 2023</w:t>
            </w:r>
          </w:p>
        </w:tc>
        <w:tc>
          <w:tcPr>
            <w:tcW w:w="567" w:type="dxa"/>
          </w:tcPr>
          <w:p w14:paraId="6F9D66AC" w14:textId="77777777" w:rsidR="004E6DE4" w:rsidRPr="004E6DE4" w:rsidRDefault="004E6DE4" w:rsidP="004E6DE4">
            <w:pPr>
              <w:tabs>
                <w:tab w:val="decimal" w:pos="942"/>
              </w:tabs>
              <w:jc w:val="both"/>
            </w:pPr>
          </w:p>
        </w:tc>
        <w:tc>
          <w:tcPr>
            <w:tcW w:w="1134" w:type="dxa"/>
          </w:tcPr>
          <w:p w14:paraId="0478B6CB" w14:textId="77777777" w:rsidR="004E6DE4" w:rsidRPr="004E6DE4" w:rsidRDefault="004E6DE4" w:rsidP="004E6DE4">
            <w:pPr>
              <w:tabs>
                <w:tab w:val="decimal" w:pos="885"/>
              </w:tabs>
              <w:ind w:left="-108"/>
            </w:pPr>
          </w:p>
          <w:p w14:paraId="26094936" w14:textId="77777777" w:rsidR="004E6DE4" w:rsidRPr="004E6DE4" w:rsidRDefault="004E6DE4" w:rsidP="004E6DE4">
            <w:pPr>
              <w:tabs>
                <w:tab w:val="decimal" w:pos="885"/>
              </w:tabs>
              <w:ind w:left="-108"/>
            </w:pPr>
            <w:r w:rsidRPr="004E6DE4">
              <w:t>53,878</w:t>
            </w:r>
          </w:p>
        </w:tc>
        <w:tc>
          <w:tcPr>
            <w:tcW w:w="1134" w:type="dxa"/>
          </w:tcPr>
          <w:p w14:paraId="4D4A70B0" w14:textId="77777777" w:rsidR="004E6DE4" w:rsidRPr="004E6DE4" w:rsidRDefault="004E6DE4" w:rsidP="004E6DE4">
            <w:pPr>
              <w:tabs>
                <w:tab w:val="decimal" w:pos="885"/>
              </w:tabs>
              <w:ind w:left="-108"/>
            </w:pPr>
          </w:p>
          <w:p w14:paraId="3BD1E222" w14:textId="77777777" w:rsidR="004E6DE4" w:rsidRPr="004E6DE4" w:rsidRDefault="004E6DE4" w:rsidP="004E6DE4">
            <w:pPr>
              <w:tabs>
                <w:tab w:val="decimal" w:pos="885"/>
              </w:tabs>
              <w:ind w:left="-108"/>
            </w:pPr>
            <w:r w:rsidRPr="004E6DE4">
              <w:t>20,816</w:t>
            </w:r>
          </w:p>
        </w:tc>
        <w:tc>
          <w:tcPr>
            <w:tcW w:w="1134" w:type="dxa"/>
          </w:tcPr>
          <w:p w14:paraId="7DDD1627" w14:textId="77777777" w:rsidR="004E6DE4" w:rsidRPr="004E6DE4" w:rsidRDefault="004E6DE4" w:rsidP="004E6DE4">
            <w:pPr>
              <w:tabs>
                <w:tab w:val="decimal" w:pos="885"/>
              </w:tabs>
              <w:ind w:left="-108"/>
            </w:pPr>
          </w:p>
          <w:p w14:paraId="25A7D446" w14:textId="77777777" w:rsidR="004E6DE4" w:rsidRPr="004E6DE4" w:rsidRDefault="004E6DE4" w:rsidP="004E6DE4">
            <w:pPr>
              <w:tabs>
                <w:tab w:val="decimal" w:pos="885"/>
              </w:tabs>
              <w:ind w:left="-108"/>
            </w:pPr>
            <w:r w:rsidRPr="004E6DE4">
              <w:t>59,929</w:t>
            </w:r>
          </w:p>
        </w:tc>
        <w:tc>
          <w:tcPr>
            <w:tcW w:w="1134" w:type="dxa"/>
          </w:tcPr>
          <w:p w14:paraId="32874FE1" w14:textId="77777777" w:rsidR="004E6DE4" w:rsidRPr="004E6DE4" w:rsidRDefault="004E6DE4" w:rsidP="004E6DE4">
            <w:pPr>
              <w:tabs>
                <w:tab w:val="decimal" w:pos="885"/>
              </w:tabs>
              <w:ind w:left="-108"/>
            </w:pPr>
          </w:p>
          <w:p w14:paraId="0C104B66" w14:textId="77777777" w:rsidR="004E6DE4" w:rsidRPr="004E6DE4" w:rsidRDefault="004E6DE4" w:rsidP="004E6DE4">
            <w:pPr>
              <w:tabs>
                <w:tab w:val="decimal" w:pos="885"/>
              </w:tabs>
              <w:ind w:left="-108"/>
            </w:pPr>
            <w:r w:rsidRPr="004E6DE4">
              <w:t>3,496</w:t>
            </w:r>
          </w:p>
        </w:tc>
        <w:tc>
          <w:tcPr>
            <w:tcW w:w="1134" w:type="dxa"/>
          </w:tcPr>
          <w:p w14:paraId="682947AB" w14:textId="77777777" w:rsidR="004E6DE4" w:rsidRPr="004E6DE4" w:rsidRDefault="004E6DE4" w:rsidP="004E6DE4">
            <w:pPr>
              <w:tabs>
                <w:tab w:val="decimal" w:pos="885"/>
              </w:tabs>
              <w:ind w:left="-108"/>
            </w:pPr>
          </w:p>
          <w:p w14:paraId="12AF4D21" w14:textId="77777777" w:rsidR="004E6DE4" w:rsidRPr="004E6DE4" w:rsidRDefault="004E6DE4" w:rsidP="004E6DE4">
            <w:pPr>
              <w:tabs>
                <w:tab w:val="decimal" w:pos="885"/>
              </w:tabs>
              <w:ind w:left="-108"/>
            </w:pPr>
            <w:r w:rsidRPr="004E6DE4">
              <w:t>(1,165)</w:t>
            </w:r>
          </w:p>
        </w:tc>
        <w:tc>
          <w:tcPr>
            <w:tcW w:w="1276" w:type="dxa"/>
          </w:tcPr>
          <w:p w14:paraId="6A2EB4F1" w14:textId="77777777" w:rsidR="004E6DE4" w:rsidRPr="004E6DE4" w:rsidRDefault="004E6DE4" w:rsidP="004E6DE4">
            <w:pPr>
              <w:tabs>
                <w:tab w:val="decimal" w:pos="885"/>
              </w:tabs>
              <w:ind w:left="-108"/>
            </w:pPr>
          </w:p>
          <w:p w14:paraId="1CE0661B" w14:textId="77777777" w:rsidR="004E6DE4" w:rsidRPr="004E6DE4" w:rsidRDefault="004E6DE4" w:rsidP="004E6DE4">
            <w:pPr>
              <w:tabs>
                <w:tab w:val="decimal" w:pos="885"/>
              </w:tabs>
              <w:ind w:left="-108"/>
            </w:pPr>
            <w:r w:rsidRPr="004E6DE4">
              <w:t>13,849</w:t>
            </w:r>
          </w:p>
        </w:tc>
        <w:tc>
          <w:tcPr>
            <w:tcW w:w="1309" w:type="dxa"/>
          </w:tcPr>
          <w:p w14:paraId="67B9EA81" w14:textId="77777777" w:rsidR="004E6DE4" w:rsidRPr="004E6DE4" w:rsidRDefault="004E6DE4" w:rsidP="004E6DE4">
            <w:pPr>
              <w:tabs>
                <w:tab w:val="decimal" w:pos="885"/>
              </w:tabs>
              <w:ind w:left="-108"/>
            </w:pPr>
          </w:p>
          <w:p w14:paraId="626648C1" w14:textId="77777777" w:rsidR="004E6DE4" w:rsidRPr="004E6DE4" w:rsidRDefault="004E6DE4" w:rsidP="004E6DE4">
            <w:pPr>
              <w:tabs>
                <w:tab w:val="decimal" w:pos="885"/>
              </w:tabs>
              <w:ind w:left="-108"/>
            </w:pPr>
            <w:r w:rsidRPr="004E6DE4">
              <w:t>150,803</w:t>
            </w:r>
          </w:p>
        </w:tc>
      </w:tr>
      <w:tr w:rsidR="004E6DE4" w:rsidRPr="00C328EF" w14:paraId="71CD3035" w14:textId="77777777" w:rsidTr="00224B26">
        <w:trPr>
          <w:gridAfter w:val="4"/>
          <w:wAfter w:w="5104" w:type="dxa"/>
        </w:trPr>
        <w:tc>
          <w:tcPr>
            <w:tcW w:w="2552" w:type="dxa"/>
          </w:tcPr>
          <w:p w14:paraId="2A9C751B" w14:textId="77777777" w:rsidR="004E6DE4" w:rsidRPr="004E6DE4" w:rsidRDefault="004E6DE4" w:rsidP="004E6DE4">
            <w:pPr>
              <w:jc w:val="both"/>
            </w:pPr>
          </w:p>
        </w:tc>
        <w:tc>
          <w:tcPr>
            <w:tcW w:w="567" w:type="dxa"/>
          </w:tcPr>
          <w:p w14:paraId="4F456034" w14:textId="77777777" w:rsidR="004E6DE4" w:rsidRPr="004E6DE4" w:rsidRDefault="004E6DE4" w:rsidP="004E6DE4">
            <w:pPr>
              <w:tabs>
                <w:tab w:val="decimal" w:pos="942"/>
              </w:tabs>
              <w:jc w:val="both"/>
            </w:pPr>
          </w:p>
        </w:tc>
        <w:tc>
          <w:tcPr>
            <w:tcW w:w="1134" w:type="dxa"/>
          </w:tcPr>
          <w:p w14:paraId="33888B1A" w14:textId="77777777" w:rsidR="004E6DE4" w:rsidRPr="004E6DE4" w:rsidRDefault="004E6DE4" w:rsidP="004E6DE4">
            <w:pPr>
              <w:tabs>
                <w:tab w:val="decimal" w:pos="885"/>
              </w:tabs>
              <w:ind w:left="-108"/>
            </w:pPr>
            <w:r w:rsidRPr="004E6DE4">
              <w:t>═══════</w:t>
            </w:r>
          </w:p>
        </w:tc>
        <w:tc>
          <w:tcPr>
            <w:tcW w:w="1134" w:type="dxa"/>
          </w:tcPr>
          <w:p w14:paraId="184D209E" w14:textId="77777777" w:rsidR="004E6DE4" w:rsidRPr="004E6DE4" w:rsidRDefault="004E6DE4" w:rsidP="004E6DE4">
            <w:pPr>
              <w:tabs>
                <w:tab w:val="decimal" w:pos="885"/>
              </w:tabs>
              <w:ind w:left="-108"/>
            </w:pPr>
            <w:r w:rsidRPr="004E6DE4">
              <w:t>═══════</w:t>
            </w:r>
          </w:p>
        </w:tc>
        <w:tc>
          <w:tcPr>
            <w:tcW w:w="1134" w:type="dxa"/>
          </w:tcPr>
          <w:p w14:paraId="61E8FB67" w14:textId="77777777" w:rsidR="004E6DE4" w:rsidRPr="004E6DE4" w:rsidRDefault="004E6DE4" w:rsidP="004E6DE4">
            <w:pPr>
              <w:tabs>
                <w:tab w:val="decimal" w:pos="885"/>
              </w:tabs>
              <w:ind w:left="-108"/>
            </w:pPr>
            <w:r w:rsidRPr="004E6DE4">
              <w:t>═══════</w:t>
            </w:r>
          </w:p>
        </w:tc>
        <w:tc>
          <w:tcPr>
            <w:tcW w:w="1134" w:type="dxa"/>
          </w:tcPr>
          <w:p w14:paraId="42018C7D" w14:textId="77777777" w:rsidR="004E6DE4" w:rsidRPr="004E6DE4" w:rsidRDefault="004E6DE4" w:rsidP="004E6DE4">
            <w:pPr>
              <w:tabs>
                <w:tab w:val="decimal" w:pos="885"/>
              </w:tabs>
              <w:ind w:left="-108"/>
            </w:pPr>
            <w:r w:rsidRPr="004E6DE4">
              <w:t>═══════</w:t>
            </w:r>
          </w:p>
        </w:tc>
        <w:tc>
          <w:tcPr>
            <w:tcW w:w="1134" w:type="dxa"/>
          </w:tcPr>
          <w:p w14:paraId="50776ABB" w14:textId="77777777" w:rsidR="004E6DE4" w:rsidRPr="004E6DE4" w:rsidRDefault="004E6DE4" w:rsidP="004E6DE4">
            <w:pPr>
              <w:tabs>
                <w:tab w:val="decimal" w:pos="885"/>
              </w:tabs>
              <w:ind w:left="-108"/>
            </w:pPr>
            <w:r w:rsidRPr="004E6DE4">
              <w:t>═══════</w:t>
            </w:r>
          </w:p>
        </w:tc>
        <w:tc>
          <w:tcPr>
            <w:tcW w:w="1276" w:type="dxa"/>
          </w:tcPr>
          <w:p w14:paraId="1046612D" w14:textId="77777777" w:rsidR="004E6DE4" w:rsidRPr="004E6DE4" w:rsidRDefault="004E6DE4" w:rsidP="004E6DE4">
            <w:pPr>
              <w:tabs>
                <w:tab w:val="decimal" w:pos="885"/>
              </w:tabs>
              <w:ind w:left="-108"/>
            </w:pPr>
            <w:r w:rsidRPr="004E6DE4">
              <w:t>═══════</w:t>
            </w:r>
          </w:p>
        </w:tc>
        <w:tc>
          <w:tcPr>
            <w:tcW w:w="1309" w:type="dxa"/>
          </w:tcPr>
          <w:p w14:paraId="770ABBA2" w14:textId="77777777" w:rsidR="004E6DE4" w:rsidRPr="004E6DE4" w:rsidRDefault="004E6DE4" w:rsidP="004E6DE4">
            <w:pPr>
              <w:tabs>
                <w:tab w:val="decimal" w:pos="885"/>
              </w:tabs>
              <w:ind w:left="-108"/>
            </w:pPr>
            <w:r w:rsidRPr="004E6DE4">
              <w:t>═══════</w:t>
            </w:r>
          </w:p>
        </w:tc>
      </w:tr>
      <w:bookmarkEnd w:id="22"/>
    </w:tbl>
    <w:p w14:paraId="67BF52EB" w14:textId="77777777" w:rsidR="00C57052" w:rsidRPr="00C328EF" w:rsidRDefault="00C57052" w:rsidP="00C57052">
      <w:pPr>
        <w:spacing w:after="120"/>
        <w:rPr>
          <w:highlight w:val="yellow"/>
        </w:rPr>
      </w:pPr>
    </w:p>
    <w:tbl>
      <w:tblPr>
        <w:tblW w:w="11199" w:type="dxa"/>
        <w:tblInd w:w="-601" w:type="dxa"/>
        <w:tblLayout w:type="fixed"/>
        <w:tblLook w:val="0000" w:firstRow="0" w:lastRow="0" w:firstColumn="0" w:lastColumn="0" w:noHBand="0" w:noVBand="0"/>
      </w:tblPr>
      <w:tblGrid>
        <w:gridCol w:w="2552"/>
        <w:gridCol w:w="142"/>
        <w:gridCol w:w="425"/>
        <w:gridCol w:w="142"/>
        <w:gridCol w:w="850"/>
        <w:gridCol w:w="142"/>
        <w:gridCol w:w="1134"/>
        <w:gridCol w:w="1134"/>
        <w:gridCol w:w="1134"/>
        <w:gridCol w:w="1134"/>
        <w:gridCol w:w="1276"/>
        <w:gridCol w:w="1134"/>
      </w:tblGrid>
      <w:tr w:rsidR="001A7362" w:rsidRPr="00F45179" w14:paraId="620890B9" w14:textId="77777777" w:rsidTr="00381C19">
        <w:tc>
          <w:tcPr>
            <w:tcW w:w="2552" w:type="dxa"/>
          </w:tcPr>
          <w:p w14:paraId="31DCF057" w14:textId="77777777" w:rsidR="001A7362" w:rsidRPr="00C328EF" w:rsidRDefault="001A7362" w:rsidP="00D62803">
            <w:pPr>
              <w:jc w:val="center"/>
              <w:rPr>
                <w:b/>
                <w:highlight w:val="yellow"/>
              </w:rPr>
            </w:pPr>
          </w:p>
        </w:tc>
        <w:tc>
          <w:tcPr>
            <w:tcW w:w="567" w:type="dxa"/>
            <w:gridSpan w:val="2"/>
          </w:tcPr>
          <w:p w14:paraId="03FD13D3" w14:textId="77777777" w:rsidR="001A7362" w:rsidRPr="00C328EF" w:rsidRDefault="001A7362" w:rsidP="00D62803">
            <w:pPr>
              <w:jc w:val="right"/>
              <w:rPr>
                <w:b/>
                <w:highlight w:val="yellow"/>
              </w:rPr>
            </w:pPr>
          </w:p>
        </w:tc>
        <w:tc>
          <w:tcPr>
            <w:tcW w:w="1134" w:type="dxa"/>
            <w:gridSpan w:val="3"/>
          </w:tcPr>
          <w:p w14:paraId="1EEE2D71" w14:textId="77777777" w:rsidR="001A7362" w:rsidRPr="00F45179" w:rsidRDefault="001A7362" w:rsidP="00381C19">
            <w:pPr>
              <w:suppressAutoHyphens/>
              <w:ind w:right="138"/>
              <w:jc w:val="center"/>
              <w:rPr>
                <w:rFonts w:cs="Arial"/>
                <w:b/>
                <w:spacing w:val="-2"/>
              </w:rPr>
            </w:pPr>
          </w:p>
          <w:p w14:paraId="32520CD6" w14:textId="77777777" w:rsidR="001A7362" w:rsidRPr="00F45179" w:rsidRDefault="001A7362" w:rsidP="00381C19">
            <w:pPr>
              <w:suppressAutoHyphens/>
              <w:ind w:right="-108"/>
              <w:jc w:val="center"/>
              <w:rPr>
                <w:rFonts w:cs="Arial"/>
                <w:b/>
                <w:spacing w:val="-2"/>
              </w:rPr>
            </w:pPr>
            <w:r w:rsidRPr="00F45179">
              <w:rPr>
                <w:rFonts w:cs="Arial"/>
                <w:b/>
                <w:spacing w:val="-2"/>
              </w:rPr>
              <w:t>Share</w:t>
            </w:r>
          </w:p>
          <w:p w14:paraId="10C33DD8" w14:textId="77777777" w:rsidR="001A7362" w:rsidRPr="00F45179" w:rsidRDefault="001A7362" w:rsidP="00381C19">
            <w:pPr>
              <w:suppressAutoHyphens/>
              <w:ind w:right="-108"/>
              <w:jc w:val="center"/>
              <w:rPr>
                <w:rFonts w:cs="Arial"/>
                <w:b/>
                <w:spacing w:val="-2"/>
              </w:rPr>
            </w:pPr>
            <w:r w:rsidRPr="00F45179">
              <w:rPr>
                <w:rFonts w:cs="Arial"/>
                <w:b/>
                <w:spacing w:val="-2"/>
              </w:rPr>
              <w:t>Capital</w:t>
            </w:r>
          </w:p>
        </w:tc>
        <w:tc>
          <w:tcPr>
            <w:tcW w:w="1134" w:type="dxa"/>
          </w:tcPr>
          <w:p w14:paraId="2D28419D" w14:textId="77777777" w:rsidR="001A7362" w:rsidRPr="00F45179" w:rsidRDefault="001A7362" w:rsidP="00381C19">
            <w:pPr>
              <w:suppressAutoHyphens/>
              <w:ind w:right="138"/>
              <w:jc w:val="center"/>
              <w:rPr>
                <w:rFonts w:cs="Arial"/>
                <w:b/>
                <w:spacing w:val="-2"/>
              </w:rPr>
            </w:pPr>
          </w:p>
          <w:p w14:paraId="7C69FC13" w14:textId="77777777" w:rsidR="001A7362" w:rsidRPr="00F45179" w:rsidRDefault="001A7362" w:rsidP="00381C19">
            <w:pPr>
              <w:suppressAutoHyphens/>
              <w:ind w:left="-108" w:right="-108"/>
              <w:jc w:val="center"/>
              <w:rPr>
                <w:rFonts w:cs="Arial"/>
                <w:b/>
                <w:spacing w:val="-2"/>
              </w:rPr>
            </w:pPr>
            <w:r w:rsidRPr="00F45179">
              <w:rPr>
                <w:rFonts w:cs="Arial"/>
                <w:b/>
                <w:spacing w:val="-2"/>
              </w:rPr>
              <w:t>Revaluation Reserve</w:t>
            </w:r>
          </w:p>
        </w:tc>
        <w:tc>
          <w:tcPr>
            <w:tcW w:w="1134" w:type="dxa"/>
          </w:tcPr>
          <w:p w14:paraId="08F84F28" w14:textId="77777777" w:rsidR="001A7362" w:rsidRPr="00F45179" w:rsidRDefault="001A7362" w:rsidP="00381C19">
            <w:pPr>
              <w:suppressAutoHyphens/>
              <w:ind w:right="138"/>
              <w:jc w:val="center"/>
              <w:rPr>
                <w:rFonts w:cs="Arial"/>
                <w:b/>
                <w:spacing w:val="-2"/>
              </w:rPr>
            </w:pPr>
          </w:p>
          <w:p w14:paraId="39015486" w14:textId="77777777" w:rsidR="001A7362" w:rsidRPr="00F45179" w:rsidRDefault="001A7362" w:rsidP="007E673D">
            <w:pPr>
              <w:suppressAutoHyphens/>
              <w:ind w:right="34"/>
              <w:jc w:val="center"/>
              <w:rPr>
                <w:rFonts w:cs="Arial"/>
                <w:b/>
                <w:spacing w:val="-2"/>
              </w:rPr>
            </w:pPr>
            <w:r w:rsidRPr="00F45179">
              <w:rPr>
                <w:rFonts w:cs="Arial"/>
                <w:b/>
                <w:spacing w:val="-2"/>
              </w:rPr>
              <w:t xml:space="preserve">Other </w:t>
            </w:r>
            <w:r w:rsidR="007E673D" w:rsidRPr="00F45179">
              <w:rPr>
                <w:rFonts w:cs="Arial"/>
                <w:b/>
                <w:spacing w:val="-2"/>
              </w:rPr>
              <w:t>R</w:t>
            </w:r>
            <w:r w:rsidRPr="00F45179">
              <w:rPr>
                <w:rFonts w:cs="Arial"/>
                <w:b/>
                <w:spacing w:val="-2"/>
              </w:rPr>
              <w:t>eserves</w:t>
            </w:r>
          </w:p>
        </w:tc>
        <w:tc>
          <w:tcPr>
            <w:tcW w:w="1134" w:type="dxa"/>
          </w:tcPr>
          <w:p w14:paraId="03146BDB" w14:textId="77777777" w:rsidR="001A7362" w:rsidRPr="00F45179" w:rsidRDefault="001A7362" w:rsidP="00381C19">
            <w:pPr>
              <w:suppressAutoHyphens/>
              <w:ind w:right="138"/>
              <w:jc w:val="center"/>
              <w:rPr>
                <w:rFonts w:cs="Arial"/>
                <w:b/>
                <w:spacing w:val="-2"/>
              </w:rPr>
            </w:pPr>
          </w:p>
          <w:p w14:paraId="417A5580" w14:textId="77777777" w:rsidR="001A7362" w:rsidRPr="00F45179" w:rsidRDefault="001A7362" w:rsidP="00381C19">
            <w:pPr>
              <w:suppressAutoHyphens/>
              <w:jc w:val="center"/>
              <w:rPr>
                <w:rFonts w:cs="Arial"/>
                <w:b/>
                <w:spacing w:val="-2"/>
              </w:rPr>
            </w:pPr>
            <w:r w:rsidRPr="00F45179">
              <w:rPr>
                <w:rFonts w:cs="Arial"/>
                <w:b/>
                <w:spacing w:val="-2"/>
              </w:rPr>
              <w:t>Retained</w:t>
            </w:r>
          </w:p>
          <w:p w14:paraId="0D2ED809" w14:textId="77777777" w:rsidR="001A7362" w:rsidRPr="00F45179" w:rsidRDefault="001A7362" w:rsidP="00381C19">
            <w:pPr>
              <w:suppressAutoHyphens/>
              <w:jc w:val="center"/>
              <w:rPr>
                <w:rFonts w:cs="Arial"/>
                <w:b/>
                <w:spacing w:val="-2"/>
              </w:rPr>
            </w:pPr>
            <w:r w:rsidRPr="00F45179">
              <w:rPr>
                <w:rFonts w:cs="Arial"/>
                <w:b/>
                <w:spacing w:val="-2"/>
              </w:rPr>
              <w:t>Earnings</w:t>
            </w:r>
          </w:p>
        </w:tc>
        <w:tc>
          <w:tcPr>
            <w:tcW w:w="1134" w:type="dxa"/>
          </w:tcPr>
          <w:p w14:paraId="59229527" w14:textId="77777777" w:rsidR="001A7362" w:rsidRPr="00F45179" w:rsidRDefault="001A7362" w:rsidP="00381C19">
            <w:pPr>
              <w:suppressAutoHyphens/>
              <w:ind w:right="138"/>
              <w:jc w:val="center"/>
              <w:rPr>
                <w:rFonts w:cs="Arial"/>
                <w:b/>
                <w:spacing w:val="-2"/>
              </w:rPr>
            </w:pPr>
          </w:p>
          <w:p w14:paraId="1EC0E8BD" w14:textId="77777777" w:rsidR="001A7362" w:rsidRPr="00F45179" w:rsidRDefault="001A7362" w:rsidP="007E673D">
            <w:pPr>
              <w:suppressAutoHyphens/>
              <w:jc w:val="center"/>
              <w:rPr>
                <w:rFonts w:cs="Arial"/>
                <w:b/>
                <w:spacing w:val="-2"/>
              </w:rPr>
            </w:pPr>
            <w:r w:rsidRPr="00F45179">
              <w:rPr>
                <w:rFonts w:cs="Arial"/>
                <w:b/>
                <w:spacing w:val="-2"/>
              </w:rPr>
              <w:t xml:space="preserve">Hedging </w:t>
            </w:r>
            <w:r w:rsidR="007E673D" w:rsidRPr="00F45179">
              <w:rPr>
                <w:rFonts w:cs="Arial"/>
                <w:b/>
                <w:spacing w:val="-2"/>
              </w:rPr>
              <w:t>R</w:t>
            </w:r>
            <w:r w:rsidRPr="00F45179">
              <w:rPr>
                <w:rFonts w:cs="Arial"/>
                <w:b/>
                <w:spacing w:val="-2"/>
              </w:rPr>
              <w:t>eserve</w:t>
            </w:r>
          </w:p>
        </w:tc>
        <w:tc>
          <w:tcPr>
            <w:tcW w:w="1276" w:type="dxa"/>
          </w:tcPr>
          <w:p w14:paraId="69AD5FE4" w14:textId="77777777" w:rsidR="001A7362" w:rsidRPr="00F45179" w:rsidRDefault="001A7362" w:rsidP="007E673D">
            <w:pPr>
              <w:tabs>
                <w:tab w:val="left" w:pos="1168"/>
              </w:tabs>
              <w:suppressAutoHyphens/>
              <w:jc w:val="center"/>
              <w:rPr>
                <w:rFonts w:cs="Arial"/>
                <w:b/>
                <w:spacing w:val="-2"/>
              </w:rPr>
            </w:pPr>
            <w:r w:rsidRPr="00F45179">
              <w:rPr>
                <w:rFonts w:cs="Arial"/>
                <w:b/>
                <w:spacing w:val="-2"/>
              </w:rPr>
              <w:t xml:space="preserve">Non-controlling </w:t>
            </w:r>
            <w:r w:rsidR="007E673D" w:rsidRPr="00F45179">
              <w:rPr>
                <w:rFonts w:cs="Arial"/>
                <w:b/>
                <w:spacing w:val="-2"/>
              </w:rPr>
              <w:t>I</w:t>
            </w:r>
            <w:r w:rsidRPr="00F45179">
              <w:rPr>
                <w:rFonts w:cs="Arial"/>
                <w:b/>
                <w:spacing w:val="-2"/>
              </w:rPr>
              <w:t>nterest</w:t>
            </w:r>
          </w:p>
        </w:tc>
        <w:tc>
          <w:tcPr>
            <w:tcW w:w="1134" w:type="dxa"/>
          </w:tcPr>
          <w:p w14:paraId="3B44A7BD" w14:textId="77777777" w:rsidR="001A7362" w:rsidRPr="00F45179" w:rsidRDefault="001A7362" w:rsidP="00381C19">
            <w:pPr>
              <w:suppressAutoHyphens/>
              <w:ind w:right="138"/>
              <w:jc w:val="center"/>
              <w:rPr>
                <w:rFonts w:cs="Arial"/>
                <w:b/>
                <w:spacing w:val="-2"/>
              </w:rPr>
            </w:pPr>
          </w:p>
          <w:p w14:paraId="53E3C571" w14:textId="77777777" w:rsidR="001A7362" w:rsidRPr="00F45179" w:rsidRDefault="001A7362" w:rsidP="00381C19">
            <w:pPr>
              <w:suppressAutoHyphens/>
              <w:ind w:right="138"/>
              <w:jc w:val="center"/>
              <w:rPr>
                <w:rFonts w:cs="Arial"/>
                <w:b/>
                <w:spacing w:val="-2"/>
              </w:rPr>
            </w:pPr>
          </w:p>
          <w:p w14:paraId="641A5A56" w14:textId="77777777" w:rsidR="001A7362" w:rsidRPr="00F45179" w:rsidRDefault="001A7362" w:rsidP="005C6B66">
            <w:pPr>
              <w:suppressAutoHyphens/>
              <w:ind w:left="113"/>
              <w:jc w:val="center"/>
              <w:rPr>
                <w:rFonts w:cs="Arial"/>
                <w:b/>
                <w:spacing w:val="-2"/>
              </w:rPr>
            </w:pPr>
            <w:r w:rsidRPr="00F45179">
              <w:rPr>
                <w:rFonts w:cs="Arial"/>
                <w:b/>
                <w:spacing w:val="-2"/>
              </w:rPr>
              <w:t>Total</w:t>
            </w:r>
          </w:p>
        </w:tc>
      </w:tr>
      <w:tr w:rsidR="001A7362" w:rsidRPr="00F45179" w14:paraId="5076A8F2" w14:textId="77777777" w:rsidTr="00692912">
        <w:tc>
          <w:tcPr>
            <w:tcW w:w="2552" w:type="dxa"/>
          </w:tcPr>
          <w:p w14:paraId="7DA4F03B" w14:textId="77777777" w:rsidR="001A7362" w:rsidRPr="00C328EF" w:rsidRDefault="001A7362" w:rsidP="00D62803">
            <w:pPr>
              <w:jc w:val="center"/>
              <w:rPr>
                <w:b/>
                <w:highlight w:val="yellow"/>
              </w:rPr>
            </w:pPr>
          </w:p>
        </w:tc>
        <w:tc>
          <w:tcPr>
            <w:tcW w:w="709" w:type="dxa"/>
            <w:gridSpan w:val="3"/>
          </w:tcPr>
          <w:p w14:paraId="3BA0FE45" w14:textId="77777777" w:rsidR="001A7362" w:rsidRPr="00F45179" w:rsidRDefault="001A7362" w:rsidP="00B913FE">
            <w:pPr>
              <w:ind w:right="-108"/>
              <w:rPr>
                <w:b/>
              </w:rPr>
            </w:pPr>
            <w:r w:rsidRPr="00F45179">
              <w:rPr>
                <w:b/>
              </w:rPr>
              <w:t>Note</w:t>
            </w:r>
          </w:p>
        </w:tc>
        <w:tc>
          <w:tcPr>
            <w:tcW w:w="992" w:type="dxa"/>
            <w:gridSpan w:val="2"/>
          </w:tcPr>
          <w:p w14:paraId="2A477A34" w14:textId="77777777" w:rsidR="001A7362" w:rsidRPr="00F45179" w:rsidRDefault="001A7362" w:rsidP="00D62803">
            <w:pPr>
              <w:suppressAutoHyphens/>
              <w:ind w:right="138"/>
              <w:jc w:val="right"/>
              <w:rPr>
                <w:rFonts w:cs="Arial"/>
                <w:b/>
                <w:spacing w:val="-2"/>
              </w:rPr>
            </w:pPr>
            <w:r w:rsidRPr="00F45179">
              <w:rPr>
                <w:rFonts w:cs="Arial"/>
                <w:b/>
                <w:spacing w:val="-2"/>
              </w:rPr>
              <w:t>£’000</w:t>
            </w:r>
          </w:p>
        </w:tc>
        <w:tc>
          <w:tcPr>
            <w:tcW w:w="1134" w:type="dxa"/>
          </w:tcPr>
          <w:p w14:paraId="1327EE44" w14:textId="77777777" w:rsidR="001A7362" w:rsidRPr="00F45179" w:rsidRDefault="001A7362" w:rsidP="00D62803">
            <w:pPr>
              <w:suppressAutoHyphens/>
              <w:ind w:right="138"/>
              <w:jc w:val="right"/>
              <w:rPr>
                <w:rFonts w:cs="Arial"/>
                <w:b/>
                <w:spacing w:val="-2"/>
              </w:rPr>
            </w:pPr>
            <w:r w:rsidRPr="00F45179">
              <w:rPr>
                <w:rFonts w:cs="Arial"/>
                <w:b/>
                <w:spacing w:val="-2"/>
              </w:rPr>
              <w:t>£’000</w:t>
            </w:r>
          </w:p>
        </w:tc>
        <w:tc>
          <w:tcPr>
            <w:tcW w:w="1134" w:type="dxa"/>
          </w:tcPr>
          <w:p w14:paraId="7DEC6437" w14:textId="77777777" w:rsidR="001A7362" w:rsidRPr="00F45179" w:rsidRDefault="001A7362" w:rsidP="00D62803">
            <w:pPr>
              <w:suppressAutoHyphens/>
              <w:ind w:right="138"/>
              <w:jc w:val="right"/>
              <w:rPr>
                <w:rFonts w:cs="Arial"/>
                <w:b/>
                <w:spacing w:val="-2"/>
              </w:rPr>
            </w:pPr>
            <w:r w:rsidRPr="00F45179">
              <w:rPr>
                <w:rFonts w:cs="Arial"/>
                <w:b/>
                <w:spacing w:val="-2"/>
              </w:rPr>
              <w:t>£’000</w:t>
            </w:r>
          </w:p>
        </w:tc>
        <w:tc>
          <w:tcPr>
            <w:tcW w:w="1134" w:type="dxa"/>
          </w:tcPr>
          <w:p w14:paraId="70CD970D" w14:textId="77777777" w:rsidR="001A7362" w:rsidRPr="00F45179" w:rsidRDefault="001A7362" w:rsidP="00D62803">
            <w:pPr>
              <w:suppressAutoHyphens/>
              <w:ind w:right="138"/>
              <w:jc w:val="right"/>
              <w:rPr>
                <w:rFonts w:cs="Arial"/>
                <w:b/>
                <w:spacing w:val="-2"/>
              </w:rPr>
            </w:pPr>
            <w:r w:rsidRPr="00F45179">
              <w:rPr>
                <w:rFonts w:cs="Arial"/>
                <w:b/>
                <w:spacing w:val="-2"/>
              </w:rPr>
              <w:t>£’000</w:t>
            </w:r>
          </w:p>
        </w:tc>
        <w:tc>
          <w:tcPr>
            <w:tcW w:w="1134" w:type="dxa"/>
          </w:tcPr>
          <w:p w14:paraId="1A28BE58" w14:textId="77777777" w:rsidR="001A7362" w:rsidRPr="00F45179" w:rsidRDefault="00B913FE" w:rsidP="00D62803">
            <w:pPr>
              <w:suppressAutoHyphens/>
              <w:ind w:right="138"/>
              <w:jc w:val="right"/>
              <w:rPr>
                <w:rFonts w:cs="Arial"/>
                <w:b/>
                <w:spacing w:val="-2"/>
              </w:rPr>
            </w:pPr>
            <w:r w:rsidRPr="00F45179">
              <w:rPr>
                <w:rFonts w:cs="Arial"/>
                <w:b/>
                <w:spacing w:val="-2"/>
              </w:rPr>
              <w:t>£’000</w:t>
            </w:r>
          </w:p>
        </w:tc>
        <w:tc>
          <w:tcPr>
            <w:tcW w:w="1276" w:type="dxa"/>
          </w:tcPr>
          <w:p w14:paraId="281AE9BF" w14:textId="77777777" w:rsidR="001A7362" w:rsidRPr="00F45179" w:rsidRDefault="001A7362" w:rsidP="00D62803">
            <w:pPr>
              <w:suppressAutoHyphens/>
              <w:ind w:right="138"/>
              <w:jc w:val="right"/>
              <w:rPr>
                <w:rFonts w:cs="Arial"/>
                <w:b/>
                <w:spacing w:val="-2"/>
              </w:rPr>
            </w:pPr>
            <w:r w:rsidRPr="00F45179">
              <w:rPr>
                <w:rFonts w:cs="Arial"/>
                <w:b/>
                <w:spacing w:val="-2"/>
              </w:rPr>
              <w:t>£’000</w:t>
            </w:r>
          </w:p>
        </w:tc>
        <w:tc>
          <w:tcPr>
            <w:tcW w:w="1134" w:type="dxa"/>
          </w:tcPr>
          <w:p w14:paraId="2B860B92" w14:textId="77777777" w:rsidR="001A7362" w:rsidRPr="00F45179" w:rsidRDefault="001A7362" w:rsidP="00D62803">
            <w:pPr>
              <w:suppressAutoHyphens/>
              <w:ind w:right="138"/>
              <w:jc w:val="right"/>
              <w:rPr>
                <w:rFonts w:cs="Arial"/>
                <w:b/>
                <w:spacing w:val="-2"/>
              </w:rPr>
            </w:pPr>
            <w:r w:rsidRPr="00F45179">
              <w:rPr>
                <w:rFonts w:cs="Arial"/>
                <w:b/>
                <w:spacing w:val="-2"/>
              </w:rPr>
              <w:t>£’000</w:t>
            </w:r>
          </w:p>
        </w:tc>
      </w:tr>
      <w:tr w:rsidR="001A7362" w:rsidRPr="00C328EF" w14:paraId="3BA6E66A" w14:textId="77777777" w:rsidTr="00692912">
        <w:tc>
          <w:tcPr>
            <w:tcW w:w="2694" w:type="dxa"/>
            <w:gridSpan w:val="2"/>
          </w:tcPr>
          <w:p w14:paraId="733C1BA3" w14:textId="77777777" w:rsidR="001A7362" w:rsidRPr="004E6DE4" w:rsidRDefault="00042D96" w:rsidP="00D62803">
            <w:r w:rsidRPr="004E6DE4">
              <w:rPr>
                <w:b/>
              </w:rPr>
              <w:t>Group</w:t>
            </w:r>
          </w:p>
        </w:tc>
        <w:tc>
          <w:tcPr>
            <w:tcW w:w="567" w:type="dxa"/>
            <w:gridSpan w:val="2"/>
          </w:tcPr>
          <w:p w14:paraId="63FD203E" w14:textId="77777777" w:rsidR="001A7362" w:rsidRPr="00C328EF" w:rsidRDefault="001A7362" w:rsidP="00D62803">
            <w:pPr>
              <w:jc w:val="both"/>
              <w:rPr>
                <w:highlight w:val="yellow"/>
              </w:rPr>
            </w:pPr>
          </w:p>
        </w:tc>
        <w:tc>
          <w:tcPr>
            <w:tcW w:w="992" w:type="dxa"/>
            <w:gridSpan w:val="2"/>
          </w:tcPr>
          <w:p w14:paraId="00CAD740" w14:textId="77777777" w:rsidR="001A7362" w:rsidRPr="00C328EF" w:rsidRDefault="001A7362" w:rsidP="00D62803">
            <w:pPr>
              <w:ind w:right="204" w:firstLine="86"/>
              <w:jc w:val="both"/>
              <w:rPr>
                <w:highlight w:val="yellow"/>
              </w:rPr>
            </w:pPr>
            <w:r w:rsidRPr="00C328EF">
              <w:rPr>
                <w:highlight w:val="yellow"/>
              </w:rPr>
              <w:t xml:space="preserve">    </w:t>
            </w:r>
          </w:p>
        </w:tc>
        <w:tc>
          <w:tcPr>
            <w:tcW w:w="1134" w:type="dxa"/>
          </w:tcPr>
          <w:p w14:paraId="00B054DF" w14:textId="77777777" w:rsidR="001A7362" w:rsidRPr="00C328EF" w:rsidRDefault="001A7362" w:rsidP="00D62803">
            <w:pPr>
              <w:ind w:right="72" w:firstLine="48"/>
              <w:jc w:val="both"/>
              <w:rPr>
                <w:highlight w:val="yellow"/>
              </w:rPr>
            </w:pPr>
          </w:p>
        </w:tc>
        <w:tc>
          <w:tcPr>
            <w:tcW w:w="1134" w:type="dxa"/>
          </w:tcPr>
          <w:p w14:paraId="07B49F58" w14:textId="77777777" w:rsidR="001A7362" w:rsidRPr="00C328EF" w:rsidRDefault="001A7362" w:rsidP="00D62803">
            <w:pPr>
              <w:ind w:right="72" w:firstLine="48"/>
              <w:jc w:val="both"/>
              <w:rPr>
                <w:highlight w:val="yellow"/>
              </w:rPr>
            </w:pPr>
          </w:p>
        </w:tc>
        <w:tc>
          <w:tcPr>
            <w:tcW w:w="1134" w:type="dxa"/>
          </w:tcPr>
          <w:p w14:paraId="3751B804" w14:textId="77777777" w:rsidR="001A7362" w:rsidRPr="00C328EF" w:rsidRDefault="001A7362" w:rsidP="00D62803">
            <w:pPr>
              <w:ind w:left="140" w:right="204"/>
              <w:jc w:val="both"/>
              <w:rPr>
                <w:highlight w:val="yellow"/>
              </w:rPr>
            </w:pPr>
          </w:p>
        </w:tc>
        <w:tc>
          <w:tcPr>
            <w:tcW w:w="1134" w:type="dxa"/>
          </w:tcPr>
          <w:p w14:paraId="550D2FC4" w14:textId="77777777" w:rsidR="001A7362" w:rsidRPr="00C328EF" w:rsidRDefault="001A7362" w:rsidP="00D62803">
            <w:pPr>
              <w:jc w:val="both"/>
              <w:rPr>
                <w:highlight w:val="yellow"/>
              </w:rPr>
            </w:pPr>
          </w:p>
        </w:tc>
        <w:tc>
          <w:tcPr>
            <w:tcW w:w="1276" w:type="dxa"/>
          </w:tcPr>
          <w:p w14:paraId="75EE496B" w14:textId="77777777" w:rsidR="001A7362" w:rsidRPr="00C328EF" w:rsidRDefault="001A7362" w:rsidP="00D62803">
            <w:pPr>
              <w:jc w:val="both"/>
              <w:rPr>
                <w:highlight w:val="yellow"/>
              </w:rPr>
            </w:pPr>
          </w:p>
        </w:tc>
        <w:tc>
          <w:tcPr>
            <w:tcW w:w="1134" w:type="dxa"/>
          </w:tcPr>
          <w:p w14:paraId="51837832" w14:textId="77777777" w:rsidR="001A7362" w:rsidRPr="00C328EF" w:rsidRDefault="001A7362" w:rsidP="00D62803">
            <w:pPr>
              <w:ind w:right="1799"/>
              <w:jc w:val="both"/>
              <w:rPr>
                <w:highlight w:val="yellow"/>
              </w:rPr>
            </w:pPr>
          </w:p>
        </w:tc>
      </w:tr>
      <w:tr w:rsidR="004E6DE4" w:rsidRPr="00C328EF" w14:paraId="1F07B26A" w14:textId="77777777" w:rsidTr="00692912">
        <w:tc>
          <w:tcPr>
            <w:tcW w:w="2694" w:type="dxa"/>
            <w:gridSpan w:val="2"/>
          </w:tcPr>
          <w:p w14:paraId="0CE23898" w14:textId="77777777" w:rsidR="004E6DE4" w:rsidRPr="004E6DE4" w:rsidRDefault="004E6DE4" w:rsidP="004E6DE4">
            <w:pPr>
              <w:rPr>
                <w:b/>
              </w:rPr>
            </w:pPr>
            <w:r w:rsidRPr="004E6DE4">
              <w:rPr>
                <w:b/>
              </w:rPr>
              <w:t xml:space="preserve">Balance at </w:t>
            </w:r>
            <w:r w:rsidR="00B65C0A" w:rsidRPr="004E6DE4">
              <w:rPr>
                <w:b/>
              </w:rPr>
              <w:t>3</w:t>
            </w:r>
            <w:r w:rsidR="00FC2ECA">
              <w:rPr>
                <w:b/>
              </w:rPr>
              <w:t>0</w:t>
            </w:r>
            <w:r w:rsidR="00B65C0A" w:rsidRPr="004E6DE4">
              <w:rPr>
                <w:b/>
              </w:rPr>
              <w:t xml:space="preserve"> December </w:t>
            </w:r>
            <w:r w:rsidRPr="004E6DE4">
              <w:rPr>
                <w:b/>
              </w:rPr>
              <w:t>202</w:t>
            </w:r>
            <w:r w:rsidR="00B65C0A">
              <w:rPr>
                <w:b/>
              </w:rPr>
              <w:t>3</w:t>
            </w:r>
          </w:p>
        </w:tc>
        <w:tc>
          <w:tcPr>
            <w:tcW w:w="567" w:type="dxa"/>
            <w:gridSpan w:val="2"/>
          </w:tcPr>
          <w:p w14:paraId="5DA1C8A7" w14:textId="77777777" w:rsidR="004E6DE4" w:rsidRPr="00C328EF" w:rsidRDefault="004E6DE4" w:rsidP="004E6DE4">
            <w:pPr>
              <w:tabs>
                <w:tab w:val="decimal" w:pos="942"/>
              </w:tabs>
              <w:jc w:val="both"/>
              <w:rPr>
                <w:highlight w:val="yellow"/>
              </w:rPr>
            </w:pPr>
          </w:p>
        </w:tc>
        <w:tc>
          <w:tcPr>
            <w:tcW w:w="850" w:type="dxa"/>
          </w:tcPr>
          <w:p w14:paraId="229B99AB" w14:textId="77777777" w:rsidR="004E6DE4" w:rsidRPr="004E6DE4" w:rsidRDefault="004E6DE4" w:rsidP="004E6DE4">
            <w:pPr>
              <w:tabs>
                <w:tab w:val="decimal" w:pos="885"/>
              </w:tabs>
              <w:ind w:left="-108"/>
            </w:pPr>
          </w:p>
          <w:p w14:paraId="4662F748" w14:textId="77777777" w:rsidR="004E6DE4" w:rsidRPr="004E6DE4" w:rsidRDefault="004E6DE4" w:rsidP="004E6DE4">
            <w:pPr>
              <w:tabs>
                <w:tab w:val="decimal" w:pos="885"/>
              </w:tabs>
              <w:ind w:left="-108"/>
            </w:pPr>
            <w:r w:rsidRPr="004E6DE4">
              <w:t>53,878</w:t>
            </w:r>
          </w:p>
        </w:tc>
        <w:tc>
          <w:tcPr>
            <w:tcW w:w="1276" w:type="dxa"/>
            <w:gridSpan w:val="2"/>
          </w:tcPr>
          <w:p w14:paraId="5DB56DE8" w14:textId="77777777" w:rsidR="004E6DE4" w:rsidRPr="004E6DE4" w:rsidRDefault="004E6DE4" w:rsidP="004E6DE4">
            <w:pPr>
              <w:tabs>
                <w:tab w:val="decimal" w:pos="885"/>
              </w:tabs>
              <w:ind w:left="-108"/>
            </w:pPr>
          </w:p>
          <w:p w14:paraId="14463493" w14:textId="77777777" w:rsidR="004E6DE4" w:rsidRPr="004E6DE4" w:rsidRDefault="004E6DE4" w:rsidP="004E6DE4">
            <w:pPr>
              <w:tabs>
                <w:tab w:val="decimal" w:pos="885"/>
              </w:tabs>
              <w:ind w:left="-108"/>
            </w:pPr>
            <w:r w:rsidRPr="004E6DE4">
              <w:t>20,816</w:t>
            </w:r>
          </w:p>
        </w:tc>
        <w:tc>
          <w:tcPr>
            <w:tcW w:w="1134" w:type="dxa"/>
          </w:tcPr>
          <w:p w14:paraId="645BB654" w14:textId="77777777" w:rsidR="004E6DE4" w:rsidRPr="004E6DE4" w:rsidRDefault="004E6DE4" w:rsidP="004E6DE4">
            <w:pPr>
              <w:tabs>
                <w:tab w:val="decimal" w:pos="885"/>
              </w:tabs>
              <w:ind w:left="-108"/>
            </w:pPr>
          </w:p>
          <w:p w14:paraId="2D6EA6EF" w14:textId="77777777" w:rsidR="004E6DE4" w:rsidRPr="004E6DE4" w:rsidRDefault="004E6DE4" w:rsidP="004E6DE4">
            <w:pPr>
              <w:tabs>
                <w:tab w:val="decimal" w:pos="885"/>
              </w:tabs>
              <w:ind w:left="-108"/>
            </w:pPr>
            <w:r w:rsidRPr="004E6DE4">
              <w:t>59,929</w:t>
            </w:r>
          </w:p>
        </w:tc>
        <w:tc>
          <w:tcPr>
            <w:tcW w:w="1134" w:type="dxa"/>
          </w:tcPr>
          <w:p w14:paraId="0906E051" w14:textId="77777777" w:rsidR="004E6DE4" w:rsidRPr="004E6DE4" w:rsidRDefault="004E6DE4" w:rsidP="004E6DE4">
            <w:pPr>
              <w:tabs>
                <w:tab w:val="decimal" w:pos="885"/>
              </w:tabs>
              <w:ind w:left="-108"/>
            </w:pPr>
          </w:p>
          <w:p w14:paraId="67D82D75" w14:textId="77777777" w:rsidR="004E6DE4" w:rsidRPr="004E6DE4" w:rsidRDefault="004E6DE4" w:rsidP="004E6DE4">
            <w:pPr>
              <w:tabs>
                <w:tab w:val="decimal" w:pos="885"/>
              </w:tabs>
              <w:ind w:left="-108"/>
            </w:pPr>
            <w:r w:rsidRPr="004E6DE4">
              <w:t>3,496</w:t>
            </w:r>
          </w:p>
        </w:tc>
        <w:tc>
          <w:tcPr>
            <w:tcW w:w="1134" w:type="dxa"/>
          </w:tcPr>
          <w:p w14:paraId="6B54DDE2" w14:textId="77777777" w:rsidR="004E6DE4" w:rsidRPr="004E6DE4" w:rsidRDefault="004E6DE4" w:rsidP="004E6DE4">
            <w:pPr>
              <w:tabs>
                <w:tab w:val="decimal" w:pos="885"/>
              </w:tabs>
              <w:ind w:left="-108"/>
            </w:pPr>
          </w:p>
          <w:p w14:paraId="31D11506" w14:textId="77777777" w:rsidR="004E6DE4" w:rsidRPr="004E6DE4" w:rsidRDefault="004E6DE4" w:rsidP="004E6DE4">
            <w:pPr>
              <w:tabs>
                <w:tab w:val="decimal" w:pos="885"/>
              </w:tabs>
              <w:ind w:left="-108"/>
            </w:pPr>
            <w:r w:rsidRPr="004E6DE4">
              <w:t>(1,165)</w:t>
            </w:r>
          </w:p>
        </w:tc>
        <w:tc>
          <w:tcPr>
            <w:tcW w:w="1276" w:type="dxa"/>
          </w:tcPr>
          <w:p w14:paraId="3D204CA4" w14:textId="77777777" w:rsidR="004E6DE4" w:rsidRPr="004E6DE4" w:rsidRDefault="004E6DE4" w:rsidP="004E6DE4">
            <w:pPr>
              <w:tabs>
                <w:tab w:val="decimal" w:pos="885"/>
              </w:tabs>
              <w:ind w:left="-108"/>
            </w:pPr>
          </w:p>
          <w:p w14:paraId="1B28F1AB" w14:textId="77777777" w:rsidR="004E6DE4" w:rsidRPr="004E6DE4" w:rsidRDefault="004E6DE4" w:rsidP="004E6DE4">
            <w:pPr>
              <w:tabs>
                <w:tab w:val="decimal" w:pos="885"/>
              </w:tabs>
              <w:ind w:left="-108"/>
            </w:pPr>
            <w:r w:rsidRPr="004E6DE4">
              <w:t>13,849</w:t>
            </w:r>
          </w:p>
        </w:tc>
        <w:tc>
          <w:tcPr>
            <w:tcW w:w="1134" w:type="dxa"/>
          </w:tcPr>
          <w:p w14:paraId="0CCBE88B" w14:textId="77777777" w:rsidR="004E6DE4" w:rsidRPr="004E6DE4" w:rsidRDefault="004E6DE4" w:rsidP="004E6DE4">
            <w:pPr>
              <w:tabs>
                <w:tab w:val="decimal" w:pos="885"/>
              </w:tabs>
              <w:ind w:left="-108"/>
            </w:pPr>
          </w:p>
          <w:p w14:paraId="05A4D18D" w14:textId="77777777" w:rsidR="004E6DE4" w:rsidRPr="004E6DE4" w:rsidRDefault="004E6DE4" w:rsidP="004E6DE4">
            <w:pPr>
              <w:tabs>
                <w:tab w:val="decimal" w:pos="885"/>
              </w:tabs>
              <w:ind w:left="-108"/>
            </w:pPr>
            <w:r w:rsidRPr="004E6DE4">
              <w:t>150,803</w:t>
            </w:r>
          </w:p>
        </w:tc>
      </w:tr>
      <w:tr w:rsidR="00423140" w:rsidRPr="00C328EF" w14:paraId="2E0E98E0" w14:textId="77777777" w:rsidTr="00692912">
        <w:tc>
          <w:tcPr>
            <w:tcW w:w="2694" w:type="dxa"/>
            <w:gridSpan w:val="2"/>
          </w:tcPr>
          <w:p w14:paraId="05545C16" w14:textId="77777777" w:rsidR="00423140" w:rsidRPr="00B65C0A" w:rsidRDefault="00423140" w:rsidP="00423140">
            <w:r w:rsidRPr="00B65C0A">
              <w:rPr>
                <w:b/>
              </w:rPr>
              <w:t>Comprehensive income</w:t>
            </w:r>
            <w:r w:rsidR="00B65C0A" w:rsidRPr="00B65C0A">
              <w:rPr>
                <w:b/>
              </w:rPr>
              <w:t>/(expense)</w:t>
            </w:r>
          </w:p>
        </w:tc>
        <w:tc>
          <w:tcPr>
            <w:tcW w:w="567" w:type="dxa"/>
            <w:gridSpan w:val="2"/>
          </w:tcPr>
          <w:p w14:paraId="105D67BA" w14:textId="77777777" w:rsidR="00423140" w:rsidRPr="00B65C0A" w:rsidRDefault="00423140" w:rsidP="00423140">
            <w:pPr>
              <w:tabs>
                <w:tab w:val="decimal" w:pos="942"/>
              </w:tabs>
              <w:jc w:val="both"/>
            </w:pPr>
          </w:p>
        </w:tc>
        <w:tc>
          <w:tcPr>
            <w:tcW w:w="850" w:type="dxa"/>
          </w:tcPr>
          <w:p w14:paraId="6A60F2BB" w14:textId="77777777" w:rsidR="00423140" w:rsidRPr="00B65C0A" w:rsidRDefault="00423140" w:rsidP="00423140">
            <w:pPr>
              <w:tabs>
                <w:tab w:val="decimal" w:pos="885"/>
              </w:tabs>
              <w:ind w:left="-108"/>
            </w:pPr>
          </w:p>
        </w:tc>
        <w:tc>
          <w:tcPr>
            <w:tcW w:w="1276" w:type="dxa"/>
            <w:gridSpan w:val="2"/>
          </w:tcPr>
          <w:p w14:paraId="244CD790" w14:textId="77777777" w:rsidR="00423140" w:rsidRPr="00B65C0A" w:rsidRDefault="00423140" w:rsidP="00423140">
            <w:pPr>
              <w:tabs>
                <w:tab w:val="decimal" w:pos="885"/>
              </w:tabs>
              <w:ind w:left="-108"/>
            </w:pPr>
          </w:p>
        </w:tc>
        <w:tc>
          <w:tcPr>
            <w:tcW w:w="1134" w:type="dxa"/>
          </w:tcPr>
          <w:p w14:paraId="32F66ACF" w14:textId="77777777" w:rsidR="00423140" w:rsidRPr="00B65C0A" w:rsidRDefault="00423140" w:rsidP="00423140">
            <w:pPr>
              <w:tabs>
                <w:tab w:val="decimal" w:pos="885"/>
              </w:tabs>
              <w:ind w:left="-108"/>
            </w:pPr>
          </w:p>
        </w:tc>
        <w:tc>
          <w:tcPr>
            <w:tcW w:w="1134" w:type="dxa"/>
          </w:tcPr>
          <w:p w14:paraId="326C4338" w14:textId="77777777" w:rsidR="00423140" w:rsidRPr="00B65C0A" w:rsidRDefault="00423140" w:rsidP="00423140">
            <w:pPr>
              <w:tabs>
                <w:tab w:val="decimal" w:pos="885"/>
              </w:tabs>
              <w:ind w:left="-108"/>
            </w:pPr>
          </w:p>
        </w:tc>
        <w:tc>
          <w:tcPr>
            <w:tcW w:w="1134" w:type="dxa"/>
          </w:tcPr>
          <w:p w14:paraId="7E5B81C6" w14:textId="77777777" w:rsidR="00423140" w:rsidRPr="00B65C0A" w:rsidRDefault="00423140" w:rsidP="00423140">
            <w:pPr>
              <w:tabs>
                <w:tab w:val="decimal" w:pos="885"/>
              </w:tabs>
              <w:ind w:left="-108"/>
            </w:pPr>
          </w:p>
        </w:tc>
        <w:tc>
          <w:tcPr>
            <w:tcW w:w="1276" w:type="dxa"/>
          </w:tcPr>
          <w:p w14:paraId="178E7F3F" w14:textId="77777777" w:rsidR="00423140" w:rsidRPr="00B65C0A" w:rsidRDefault="00423140" w:rsidP="00423140">
            <w:pPr>
              <w:tabs>
                <w:tab w:val="decimal" w:pos="885"/>
              </w:tabs>
              <w:ind w:left="-108"/>
            </w:pPr>
          </w:p>
        </w:tc>
        <w:tc>
          <w:tcPr>
            <w:tcW w:w="1134" w:type="dxa"/>
          </w:tcPr>
          <w:p w14:paraId="50B4402B" w14:textId="77777777" w:rsidR="00423140" w:rsidRPr="00B65C0A" w:rsidRDefault="00423140" w:rsidP="00423140">
            <w:pPr>
              <w:tabs>
                <w:tab w:val="decimal" w:pos="885"/>
              </w:tabs>
              <w:ind w:left="-108"/>
            </w:pPr>
          </w:p>
        </w:tc>
      </w:tr>
      <w:tr w:rsidR="00AF52C3" w:rsidRPr="00C328EF" w14:paraId="48B0D297" w14:textId="77777777" w:rsidTr="00692912">
        <w:tc>
          <w:tcPr>
            <w:tcW w:w="2694" w:type="dxa"/>
            <w:gridSpan w:val="2"/>
          </w:tcPr>
          <w:p w14:paraId="010B8865" w14:textId="77777777" w:rsidR="00AF52C3" w:rsidRPr="00B65C0A" w:rsidRDefault="00B65C0A" w:rsidP="00AF52C3">
            <w:r w:rsidRPr="00B65C0A">
              <w:t>(Loss)/p</w:t>
            </w:r>
            <w:r w:rsidR="00852F92" w:rsidRPr="00B65C0A">
              <w:t>rofit</w:t>
            </w:r>
            <w:r w:rsidR="009D5D77" w:rsidRPr="00B65C0A">
              <w:t xml:space="preserve"> for the </w:t>
            </w:r>
            <w:r w:rsidR="00002C01">
              <w:t>period</w:t>
            </w:r>
          </w:p>
        </w:tc>
        <w:tc>
          <w:tcPr>
            <w:tcW w:w="567" w:type="dxa"/>
            <w:gridSpan w:val="2"/>
          </w:tcPr>
          <w:p w14:paraId="327C34F4" w14:textId="77777777" w:rsidR="00AF52C3" w:rsidRPr="00B65C0A" w:rsidRDefault="00AF52C3" w:rsidP="00AF52C3">
            <w:pPr>
              <w:tabs>
                <w:tab w:val="decimal" w:pos="942"/>
              </w:tabs>
              <w:jc w:val="both"/>
            </w:pPr>
          </w:p>
        </w:tc>
        <w:tc>
          <w:tcPr>
            <w:tcW w:w="850" w:type="dxa"/>
          </w:tcPr>
          <w:p w14:paraId="62083933" w14:textId="77777777" w:rsidR="00AF52C3" w:rsidRPr="00B65C0A" w:rsidRDefault="00AF52C3" w:rsidP="00AF52C3">
            <w:pPr>
              <w:tabs>
                <w:tab w:val="decimal" w:pos="885"/>
              </w:tabs>
              <w:ind w:left="-108"/>
            </w:pPr>
            <w:r w:rsidRPr="00B65C0A">
              <w:t>-</w:t>
            </w:r>
          </w:p>
        </w:tc>
        <w:tc>
          <w:tcPr>
            <w:tcW w:w="1276" w:type="dxa"/>
            <w:gridSpan w:val="2"/>
          </w:tcPr>
          <w:p w14:paraId="70874695" w14:textId="77777777" w:rsidR="00AF52C3" w:rsidRPr="00B65C0A" w:rsidRDefault="00AF52C3" w:rsidP="00AF52C3">
            <w:pPr>
              <w:tabs>
                <w:tab w:val="decimal" w:pos="885"/>
              </w:tabs>
              <w:ind w:left="-108"/>
            </w:pPr>
            <w:r w:rsidRPr="00B65C0A">
              <w:t>-</w:t>
            </w:r>
          </w:p>
        </w:tc>
        <w:tc>
          <w:tcPr>
            <w:tcW w:w="1134" w:type="dxa"/>
          </w:tcPr>
          <w:p w14:paraId="10ABBD9D" w14:textId="77777777" w:rsidR="00AF52C3" w:rsidRPr="00B65C0A" w:rsidRDefault="00AF52C3" w:rsidP="00AF52C3">
            <w:pPr>
              <w:tabs>
                <w:tab w:val="decimal" w:pos="885"/>
              </w:tabs>
              <w:ind w:left="-108"/>
            </w:pPr>
            <w:r w:rsidRPr="00B65C0A">
              <w:t>-</w:t>
            </w:r>
          </w:p>
        </w:tc>
        <w:tc>
          <w:tcPr>
            <w:tcW w:w="1134" w:type="dxa"/>
          </w:tcPr>
          <w:p w14:paraId="2795F0B3" w14:textId="77777777" w:rsidR="00AF52C3" w:rsidRPr="00B65C0A" w:rsidRDefault="00B65C0A" w:rsidP="00AF52C3">
            <w:pPr>
              <w:tabs>
                <w:tab w:val="decimal" w:pos="885"/>
              </w:tabs>
              <w:ind w:left="-108"/>
            </w:pPr>
            <w:r w:rsidRPr="00B65C0A">
              <w:t>(6,818)</w:t>
            </w:r>
          </w:p>
        </w:tc>
        <w:tc>
          <w:tcPr>
            <w:tcW w:w="1134" w:type="dxa"/>
          </w:tcPr>
          <w:p w14:paraId="3E3FD380" w14:textId="77777777" w:rsidR="00AF52C3" w:rsidRPr="00B65C0A" w:rsidRDefault="00AF52C3" w:rsidP="00AF52C3">
            <w:pPr>
              <w:tabs>
                <w:tab w:val="decimal" w:pos="885"/>
              </w:tabs>
              <w:ind w:left="-108"/>
            </w:pPr>
            <w:r w:rsidRPr="00B65C0A">
              <w:t>-</w:t>
            </w:r>
          </w:p>
        </w:tc>
        <w:tc>
          <w:tcPr>
            <w:tcW w:w="1276" w:type="dxa"/>
          </w:tcPr>
          <w:p w14:paraId="31A1B27D" w14:textId="77777777" w:rsidR="00AF52C3" w:rsidRPr="00B65C0A" w:rsidRDefault="00B65C0A" w:rsidP="00AF52C3">
            <w:pPr>
              <w:tabs>
                <w:tab w:val="decimal" w:pos="885"/>
              </w:tabs>
              <w:ind w:left="-108"/>
            </w:pPr>
            <w:r w:rsidRPr="00B65C0A">
              <w:t>297</w:t>
            </w:r>
          </w:p>
        </w:tc>
        <w:tc>
          <w:tcPr>
            <w:tcW w:w="1134" w:type="dxa"/>
          </w:tcPr>
          <w:p w14:paraId="234928D9" w14:textId="77777777" w:rsidR="00AF52C3" w:rsidRPr="00B65C0A" w:rsidRDefault="00B65C0A" w:rsidP="00AF52C3">
            <w:pPr>
              <w:tabs>
                <w:tab w:val="decimal" w:pos="885"/>
              </w:tabs>
              <w:ind w:left="-108"/>
            </w:pPr>
            <w:r w:rsidRPr="00B65C0A">
              <w:t>(6,521)</w:t>
            </w:r>
          </w:p>
        </w:tc>
      </w:tr>
      <w:tr w:rsidR="00AF52C3" w:rsidRPr="00C328EF" w14:paraId="7121ECD5" w14:textId="77777777" w:rsidTr="00692912">
        <w:tc>
          <w:tcPr>
            <w:tcW w:w="2694" w:type="dxa"/>
            <w:gridSpan w:val="2"/>
          </w:tcPr>
          <w:p w14:paraId="428BC8D1" w14:textId="77777777" w:rsidR="00AF52C3" w:rsidRPr="00B65C0A" w:rsidRDefault="00AF52C3" w:rsidP="00AF52C3">
            <w:r w:rsidRPr="00B65C0A">
              <w:rPr>
                <w:b/>
              </w:rPr>
              <w:t xml:space="preserve">Other comprehensive </w:t>
            </w:r>
            <w:r w:rsidR="004E6DE4" w:rsidRPr="00B65C0A">
              <w:rPr>
                <w:b/>
              </w:rPr>
              <w:t>income/(expense)</w:t>
            </w:r>
          </w:p>
        </w:tc>
        <w:tc>
          <w:tcPr>
            <w:tcW w:w="567" w:type="dxa"/>
            <w:gridSpan w:val="2"/>
          </w:tcPr>
          <w:p w14:paraId="07A3CB3A" w14:textId="77777777" w:rsidR="00AF52C3" w:rsidRPr="00B65C0A" w:rsidRDefault="00AF52C3" w:rsidP="00AF52C3">
            <w:pPr>
              <w:tabs>
                <w:tab w:val="decimal" w:pos="942"/>
              </w:tabs>
              <w:jc w:val="both"/>
            </w:pPr>
          </w:p>
        </w:tc>
        <w:tc>
          <w:tcPr>
            <w:tcW w:w="850" w:type="dxa"/>
          </w:tcPr>
          <w:p w14:paraId="31B8269F" w14:textId="77777777" w:rsidR="00AF52C3" w:rsidRPr="00B65C0A" w:rsidRDefault="00AF52C3" w:rsidP="00AF52C3">
            <w:pPr>
              <w:tabs>
                <w:tab w:val="decimal" w:pos="885"/>
              </w:tabs>
              <w:ind w:left="-108"/>
            </w:pPr>
          </w:p>
        </w:tc>
        <w:tc>
          <w:tcPr>
            <w:tcW w:w="1276" w:type="dxa"/>
            <w:gridSpan w:val="2"/>
          </w:tcPr>
          <w:p w14:paraId="00AE5E3C" w14:textId="77777777" w:rsidR="00AF52C3" w:rsidRPr="00B65C0A" w:rsidRDefault="00AF52C3" w:rsidP="00AF52C3">
            <w:pPr>
              <w:tabs>
                <w:tab w:val="decimal" w:pos="885"/>
              </w:tabs>
              <w:ind w:left="-108"/>
            </w:pPr>
          </w:p>
        </w:tc>
        <w:tc>
          <w:tcPr>
            <w:tcW w:w="1134" w:type="dxa"/>
          </w:tcPr>
          <w:p w14:paraId="3C61C750" w14:textId="77777777" w:rsidR="00AF52C3" w:rsidRPr="00B65C0A" w:rsidRDefault="00AF52C3" w:rsidP="00AF52C3">
            <w:pPr>
              <w:tabs>
                <w:tab w:val="decimal" w:pos="885"/>
              </w:tabs>
              <w:ind w:left="-108"/>
            </w:pPr>
          </w:p>
        </w:tc>
        <w:tc>
          <w:tcPr>
            <w:tcW w:w="1134" w:type="dxa"/>
          </w:tcPr>
          <w:p w14:paraId="0E2825A7" w14:textId="77777777" w:rsidR="00AF52C3" w:rsidRPr="00B65C0A" w:rsidRDefault="00AF52C3" w:rsidP="00AF52C3">
            <w:pPr>
              <w:tabs>
                <w:tab w:val="decimal" w:pos="885"/>
              </w:tabs>
              <w:ind w:left="-108"/>
            </w:pPr>
          </w:p>
        </w:tc>
        <w:tc>
          <w:tcPr>
            <w:tcW w:w="1134" w:type="dxa"/>
          </w:tcPr>
          <w:p w14:paraId="35393197" w14:textId="77777777" w:rsidR="00AF52C3" w:rsidRPr="00B65C0A" w:rsidRDefault="00AF52C3" w:rsidP="00AF52C3">
            <w:pPr>
              <w:tabs>
                <w:tab w:val="decimal" w:pos="885"/>
              </w:tabs>
              <w:ind w:left="-108"/>
            </w:pPr>
          </w:p>
        </w:tc>
        <w:tc>
          <w:tcPr>
            <w:tcW w:w="1276" w:type="dxa"/>
          </w:tcPr>
          <w:p w14:paraId="6E3030FD" w14:textId="77777777" w:rsidR="00AF52C3" w:rsidRPr="00B65C0A" w:rsidRDefault="00AF52C3" w:rsidP="00AF52C3">
            <w:pPr>
              <w:tabs>
                <w:tab w:val="decimal" w:pos="885"/>
              </w:tabs>
              <w:ind w:left="-108"/>
            </w:pPr>
          </w:p>
        </w:tc>
        <w:tc>
          <w:tcPr>
            <w:tcW w:w="1134" w:type="dxa"/>
          </w:tcPr>
          <w:p w14:paraId="49D45085" w14:textId="77777777" w:rsidR="00AF52C3" w:rsidRPr="00B65C0A" w:rsidRDefault="00AF52C3" w:rsidP="00AF52C3">
            <w:pPr>
              <w:tabs>
                <w:tab w:val="decimal" w:pos="885"/>
              </w:tabs>
              <w:ind w:left="-108"/>
            </w:pPr>
          </w:p>
        </w:tc>
      </w:tr>
      <w:tr w:rsidR="004E6DE4" w:rsidRPr="00C328EF" w14:paraId="50D59E95" w14:textId="77777777" w:rsidTr="00692912">
        <w:tc>
          <w:tcPr>
            <w:tcW w:w="2694" w:type="dxa"/>
            <w:gridSpan w:val="2"/>
          </w:tcPr>
          <w:p w14:paraId="3D87A482" w14:textId="77777777" w:rsidR="004E6DE4" w:rsidRPr="008542CC" w:rsidRDefault="004E6DE4" w:rsidP="004E6DE4">
            <w:r w:rsidRPr="008542CC">
              <w:t>Revaluation of land and buildings</w:t>
            </w:r>
          </w:p>
        </w:tc>
        <w:tc>
          <w:tcPr>
            <w:tcW w:w="567" w:type="dxa"/>
            <w:gridSpan w:val="2"/>
          </w:tcPr>
          <w:p w14:paraId="17BEF641" w14:textId="77777777" w:rsidR="004E6DE4" w:rsidRPr="008542CC" w:rsidRDefault="004E6DE4" w:rsidP="004E6DE4">
            <w:pPr>
              <w:jc w:val="center"/>
              <w:rPr>
                <w:spacing w:val="-2"/>
              </w:rPr>
            </w:pPr>
          </w:p>
          <w:p w14:paraId="13F9EC17" w14:textId="77777777" w:rsidR="004E6DE4" w:rsidRPr="008542CC" w:rsidRDefault="004E6DE4" w:rsidP="004E6DE4">
            <w:pPr>
              <w:jc w:val="center"/>
            </w:pPr>
            <w:r w:rsidRPr="008542CC">
              <w:rPr>
                <w:spacing w:val="-2"/>
              </w:rPr>
              <w:t>8</w:t>
            </w:r>
          </w:p>
        </w:tc>
        <w:tc>
          <w:tcPr>
            <w:tcW w:w="850" w:type="dxa"/>
          </w:tcPr>
          <w:p w14:paraId="75E2E4FA" w14:textId="77777777" w:rsidR="004E6DE4" w:rsidRPr="008542CC" w:rsidRDefault="004E6DE4" w:rsidP="004E6DE4">
            <w:pPr>
              <w:tabs>
                <w:tab w:val="decimal" w:pos="885"/>
              </w:tabs>
              <w:ind w:left="-108"/>
            </w:pPr>
          </w:p>
          <w:p w14:paraId="1C77349F" w14:textId="77777777" w:rsidR="004E6DE4" w:rsidRPr="008542CC" w:rsidRDefault="004E6DE4" w:rsidP="004E6DE4">
            <w:pPr>
              <w:tabs>
                <w:tab w:val="decimal" w:pos="885"/>
              </w:tabs>
              <w:ind w:left="-108"/>
            </w:pPr>
            <w:r w:rsidRPr="008542CC">
              <w:t>-</w:t>
            </w:r>
          </w:p>
        </w:tc>
        <w:tc>
          <w:tcPr>
            <w:tcW w:w="1276" w:type="dxa"/>
            <w:gridSpan w:val="2"/>
          </w:tcPr>
          <w:p w14:paraId="242A7D86" w14:textId="77777777" w:rsidR="004E6DE4" w:rsidRPr="00B65C0A" w:rsidRDefault="004E6DE4" w:rsidP="004E6DE4">
            <w:pPr>
              <w:tabs>
                <w:tab w:val="decimal" w:pos="885"/>
              </w:tabs>
              <w:ind w:left="-108"/>
            </w:pPr>
          </w:p>
          <w:p w14:paraId="0D1E3548" w14:textId="77777777" w:rsidR="004E6DE4" w:rsidRPr="00B65C0A" w:rsidRDefault="00471249" w:rsidP="004E6DE4">
            <w:pPr>
              <w:tabs>
                <w:tab w:val="decimal" w:pos="885"/>
              </w:tabs>
              <w:ind w:left="-108"/>
            </w:pPr>
            <w:r w:rsidRPr="00B65C0A">
              <w:t>46</w:t>
            </w:r>
          </w:p>
        </w:tc>
        <w:tc>
          <w:tcPr>
            <w:tcW w:w="1134" w:type="dxa"/>
          </w:tcPr>
          <w:p w14:paraId="5AEEB617" w14:textId="77777777" w:rsidR="004E6DE4" w:rsidRPr="00B65C0A" w:rsidRDefault="004E6DE4" w:rsidP="004E6DE4">
            <w:pPr>
              <w:tabs>
                <w:tab w:val="decimal" w:pos="885"/>
              </w:tabs>
              <w:ind w:left="-108"/>
            </w:pPr>
          </w:p>
          <w:p w14:paraId="12CC6D45" w14:textId="77777777" w:rsidR="004E6DE4" w:rsidRPr="00B65C0A" w:rsidRDefault="004E6DE4" w:rsidP="004E6DE4">
            <w:pPr>
              <w:tabs>
                <w:tab w:val="decimal" w:pos="885"/>
              </w:tabs>
              <w:ind w:left="-108"/>
            </w:pPr>
            <w:r w:rsidRPr="00B65C0A">
              <w:t>-</w:t>
            </w:r>
          </w:p>
        </w:tc>
        <w:tc>
          <w:tcPr>
            <w:tcW w:w="1134" w:type="dxa"/>
          </w:tcPr>
          <w:p w14:paraId="4788AC89" w14:textId="77777777" w:rsidR="004E6DE4" w:rsidRPr="00B65C0A" w:rsidRDefault="004E6DE4" w:rsidP="004E6DE4">
            <w:pPr>
              <w:tabs>
                <w:tab w:val="decimal" w:pos="885"/>
              </w:tabs>
              <w:ind w:left="-108"/>
            </w:pPr>
          </w:p>
          <w:p w14:paraId="614FCDA6" w14:textId="77777777" w:rsidR="004E6DE4" w:rsidRPr="00B65C0A" w:rsidRDefault="004E6DE4" w:rsidP="004E6DE4">
            <w:pPr>
              <w:tabs>
                <w:tab w:val="decimal" w:pos="885"/>
              </w:tabs>
              <w:ind w:left="-108"/>
            </w:pPr>
            <w:r w:rsidRPr="00B65C0A">
              <w:t>-</w:t>
            </w:r>
          </w:p>
        </w:tc>
        <w:tc>
          <w:tcPr>
            <w:tcW w:w="1134" w:type="dxa"/>
          </w:tcPr>
          <w:p w14:paraId="4D9136E4" w14:textId="77777777" w:rsidR="004E6DE4" w:rsidRPr="00B65C0A" w:rsidRDefault="004E6DE4" w:rsidP="004E6DE4">
            <w:pPr>
              <w:tabs>
                <w:tab w:val="decimal" w:pos="885"/>
              </w:tabs>
              <w:ind w:left="-108"/>
            </w:pPr>
          </w:p>
          <w:p w14:paraId="56F39DA5" w14:textId="77777777" w:rsidR="004E6DE4" w:rsidRPr="00B65C0A" w:rsidRDefault="004E6DE4" w:rsidP="004E6DE4">
            <w:pPr>
              <w:tabs>
                <w:tab w:val="decimal" w:pos="885"/>
              </w:tabs>
              <w:ind w:left="-108"/>
            </w:pPr>
            <w:r w:rsidRPr="00B65C0A">
              <w:t>-</w:t>
            </w:r>
          </w:p>
        </w:tc>
        <w:tc>
          <w:tcPr>
            <w:tcW w:w="1276" w:type="dxa"/>
          </w:tcPr>
          <w:p w14:paraId="5AF3B475" w14:textId="77777777" w:rsidR="004E6DE4" w:rsidRPr="00B65C0A" w:rsidRDefault="004E6DE4" w:rsidP="004E6DE4">
            <w:pPr>
              <w:tabs>
                <w:tab w:val="decimal" w:pos="885"/>
              </w:tabs>
              <w:ind w:left="-108"/>
            </w:pPr>
          </w:p>
          <w:p w14:paraId="525ECD76" w14:textId="77777777" w:rsidR="004E6DE4" w:rsidRPr="00B65C0A" w:rsidRDefault="00471249" w:rsidP="004E6DE4">
            <w:pPr>
              <w:tabs>
                <w:tab w:val="decimal" w:pos="885"/>
              </w:tabs>
              <w:ind w:left="-108"/>
            </w:pPr>
            <w:r w:rsidRPr="00B65C0A">
              <w:t>4</w:t>
            </w:r>
          </w:p>
        </w:tc>
        <w:tc>
          <w:tcPr>
            <w:tcW w:w="1134" w:type="dxa"/>
          </w:tcPr>
          <w:p w14:paraId="19FD035B" w14:textId="77777777" w:rsidR="004E6DE4" w:rsidRPr="00B65C0A" w:rsidRDefault="004E6DE4" w:rsidP="004E6DE4">
            <w:pPr>
              <w:tabs>
                <w:tab w:val="decimal" w:pos="885"/>
              </w:tabs>
              <w:ind w:left="-108"/>
            </w:pPr>
          </w:p>
          <w:p w14:paraId="1A768B95" w14:textId="77777777" w:rsidR="004E6DE4" w:rsidRPr="00B65C0A" w:rsidRDefault="00471249" w:rsidP="004E6DE4">
            <w:pPr>
              <w:tabs>
                <w:tab w:val="decimal" w:pos="885"/>
              </w:tabs>
              <w:ind w:left="-108"/>
            </w:pPr>
            <w:r w:rsidRPr="00B65C0A">
              <w:t>50</w:t>
            </w:r>
          </w:p>
        </w:tc>
      </w:tr>
      <w:tr w:rsidR="004E6DE4" w:rsidRPr="00C328EF" w14:paraId="727DD4AB" w14:textId="77777777" w:rsidTr="00692912">
        <w:tc>
          <w:tcPr>
            <w:tcW w:w="2694" w:type="dxa"/>
            <w:gridSpan w:val="2"/>
          </w:tcPr>
          <w:p w14:paraId="2E319099" w14:textId="77777777" w:rsidR="004E6DE4" w:rsidRPr="00B65C0A" w:rsidRDefault="004E6DE4" w:rsidP="004E6DE4">
            <w:r w:rsidRPr="00B65C0A">
              <w:t xml:space="preserve">Actuarial </w:t>
            </w:r>
            <w:r w:rsidR="00B65C0A" w:rsidRPr="00B65C0A">
              <w:t>loss</w:t>
            </w:r>
            <w:r w:rsidRPr="00B65C0A">
              <w:t xml:space="preserve"> on pension plan</w:t>
            </w:r>
          </w:p>
        </w:tc>
        <w:tc>
          <w:tcPr>
            <w:tcW w:w="567" w:type="dxa"/>
            <w:gridSpan w:val="2"/>
          </w:tcPr>
          <w:p w14:paraId="3E850896" w14:textId="77777777" w:rsidR="004E6DE4" w:rsidRPr="00F80503" w:rsidRDefault="004E6DE4" w:rsidP="004E6DE4">
            <w:pPr>
              <w:jc w:val="center"/>
            </w:pPr>
          </w:p>
          <w:p w14:paraId="10A73584" w14:textId="77777777" w:rsidR="004E6DE4" w:rsidRPr="00F80503" w:rsidRDefault="004E6DE4" w:rsidP="004E6DE4">
            <w:pPr>
              <w:jc w:val="center"/>
            </w:pPr>
            <w:r w:rsidRPr="00F80503">
              <w:t>2</w:t>
            </w:r>
            <w:r w:rsidR="00F80503" w:rsidRPr="00F80503">
              <w:t>4</w:t>
            </w:r>
          </w:p>
        </w:tc>
        <w:tc>
          <w:tcPr>
            <w:tcW w:w="850" w:type="dxa"/>
          </w:tcPr>
          <w:p w14:paraId="79BCC651" w14:textId="77777777" w:rsidR="004E6DE4" w:rsidRPr="001505F9" w:rsidRDefault="004E6DE4" w:rsidP="004E6DE4">
            <w:pPr>
              <w:tabs>
                <w:tab w:val="decimal" w:pos="885"/>
              </w:tabs>
              <w:ind w:left="-108"/>
            </w:pPr>
          </w:p>
          <w:p w14:paraId="5A11088F" w14:textId="77777777" w:rsidR="004E6DE4" w:rsidRPr="001505F9" w:rsidRDefault="004E6DE4" w:rsidP="004E6DE4">
            <w:pPr>
              <w:tabs>
                <w:tab w:val="decimal" w:pos="885"/>
              </w:tabs>
              <w:ind w:left="-108"/>
            </w:pPr>
            <w:r w:rsidRPr="001505F9">
              <w:t>-</w:t>
            </w:r>
          </w:p>
        </w:tc>
        <w:tc>
          <w:tcPr>
            <w:tcW w:w="1276" w:type="dxa"/>
            <w:gridSpan w:val="2"/>
          </w:tcPr>
          <w:p w14:paraId="5A824EF5" w14:textId="77777777" w:rsidR="004E6DE4" w:rsidRPr="00B65C0A" w:rsidRDefault="004E6DE4" w:rsidP="004E6DE4">
            <w:pPr>
              <w:tabs>
                <w:tab w:val="decimal" w:pos="885"/>
              </w:tabs>
              <w:ind w:left="-108"/>
            </w:pPr>
          </w:p>
          <w:p w14:paraId="541BF441" w14:textId="77777777" w:rsidR="004E6DE4" w:rsidRPr="00B65C0A" w:rsidRDefault="004E6DE4" w:rsidP="004E6DE4">
            <w:pPr>
              <w:tabs>
                <w:tab w:val="decimal" w:pos="885"/>
              </w:tabs>
              <w:ind w:left="-108"/>
            </w:pPr>
            <w:r w:rsidRPr="00B65C0A">
              <w:t>-</w:t>
            </w:r>
          </w:p>
        </w:tc>
        <w:tc>
          <w:tcPr>
            <w:tcW w:w="1134" w:type="dxa"/>
          </w:tcPr>
          <w:p w14:paraId="4F7646FE" w14:textId="77777777" w:rsidR="004E6DE4" w:rsidRPr="00B65C0A" w:rsidRDefault="004E6DE4" w:rsidP="004E6DE4">
            <w:pPr>
              <w:tabs>
                <w:tab w:val="decimal" w:pos="885"/>
              </w:tabs>
              <w:ind w:left="-108"/>
            </w:pPr>
          </w:p>
          <w:p w14:paraId="078E4EE6" w14:textId="77777777" w:rsidR="004E6DE4" w:rsidRPr="00B65C0A" w:rsidRDefault="004E6DE4" w:rsidP="004E6DE4">
            <w:pPr>
              <w:tabs>
                <w:tab w:val="decimal" w:pos="885"/>
              </w:tabs>
              <w:ind w:left="-108"/>
            </w:pPr>
            <w:r w:rsidRPr="00B65C0A">
              <w:t>-</w:t>
            </w:r>
          </w:p>
        </w:tc>
        <w:tc>
          <w:tcPr>
            <w:tcW w:w="1134" w:type="dxa"/>
          </w:tcPr>
          <w:p w14:paraId="7975921C" w14:textId="77777777" w:rsidR="004E6DE4" w:rsidRPr="00B65C0A" w:rsidRDefault="004E6DE4" w:rsidP="004E6DE4">
            <w:pPr>
              <w:tabs>
                <w:tab w:val="decimal" w:pos="885"/>
              </w:tabs>
              <w:ind w:left="-108"/>
            </w:pPr>
          </w:p>
          <w:p w14:paraId="2E734418" w14:textId="77777777" w:rsidR="004E6DE4" w:rsidRPr="00B65C0A" w:rsidRDefault="00B65C0A" w:rsidP="004E6DE4">
            <w:pPr>
              <w:tabs>
                <w:tab w:val="decimal" w:pos="885"/>
              </w:tabs>
              <w:ind w:left="-108"/>
            </w:pPr>
            <w:r w:rsidRPr="00B65C0A">
              <w:t>(17,074)</w:t>
            </w:r>
          </w:p>
        </w:tc>
        <w:tc>
          <w:tcPr>
            <w:tcW w:w="1134" w:type="dxa"/>
          </w:tcPr>
          <w:p w14:paraId="17081361" w14:textId="77777777" w:rsidR="004E6DE4" w:rsidRPr="00B65C0A" w:rsidRDefault="004E6DE4" w:rsidP="004E6DE4">
            <w:pPr>
              <w:tabs>
                <w:tab w:val="decimal" w:pos="885"/>
              </w:tabs>
              <w:ind w:left="-108"/>
            </w:pPr>
          </w:p>
          <w:p w14:paraId="2BDC2EBB" w14:textId="77777777" w:rsidR="004E6DE4" w:rsidRPr="00B65C0A" w:rsidRDefault="004E6DE4" w:rsidP="004E6DE4">
            <w:pPr>
              <w:tabs>
                <w:tab w:val="decimal" w:pos="885"/>
              </w:tabs>
              <w:ind w:left="-108"/>
            </w:pPr>
            <w:r w:rsidRPr="00B65C0A">
              <w:t>-</w:t>
            </w:r>
          </w:p>
        </w:tc>
        <w:tc>
          <w:tcPr>
            <w:tcW w:w="1276" w:type="dxa"/>
          </w:tcPr>
          <w:p w14:paraId="38F98224" w14:textId="77777777" w:rsidR="004E6DE4" w:rsidRPr="00B65C0A" w:rsidRDefault="004E6DE4" w:rsidP="004E6DE4">
            <w:pPr>
              <w:tabs>
                <w:tab w:val="decimal" w:pos="885"/>
              </w:tabs>
              <w:ind w:left="-108"/>
            </w:pPr>
          </w:p>
          <w:p w14:paraId="5702807C" w14:textId="77777777" w:rsidR="004E6DE4" w:rsidRPr="00B65C0A" w:rsidRDefault="00B65C0A" w:rsidP="004E6DE4">
            <w:pPr>
              <w:tabs>
                <w:tab w:val="decimal" w:pos="885"/>
              </w:tabs>
              <w:ind w:left="-108"/>
            </w:pPr>
            <w:r w:rsidRPr="00B65C0A">
              <w:t>(</w:t>
            </w:r>
            <w:r w:rsidR="004E6DE4" w:rsidRPr="00B65C0A">
              <w:t>1,</w:t>
            </w:r>
            <w:r w:rsidRPr="00B65C0A">
              <w:t>686)</w:t>
            </w:r>
          </w:p>
        </w:tc>
        <w:tc>
          <w:tcPr>
            <w:tcW w:w="1134" w:type="dxa"/>
          </w:tcPr>
          <w:p w14:paraId="1607F3FC" w14:textId="77777777" w:rsidR="004E6DE4" w:rsidRPr="00B65C0A" w:rsidRDefault="004E6DE4" w:rsidP="004E6DE4">
            <w:pPr>
              <w:tabs>
                <w:tab w:val="decimal" w:pos="885"/>
              </w:tabs>
              <w:ind w:left="-108"/>
            </w:pPr>
          </w:p>
          <w:p w14:paraId="4A27C358" w14:textId="77777777" w:rsidR="004E6DE4" w:rsidRPr="00B65C0A" w:rsidRDefault="00B65C0A" w:rsidP="004E6DE4">
            <w:pPr>
              <w:tabs>
                <w:tab w:val="decimal" w:pos="885"/>
              </w:tabs>
              <w:ind w:left="-108"/>
            </w:pPr>
            <w:r w:rsidRPr="00B65C0A">
              <w:t>(18</w:t>
            </w:r>
            <w:r w:rsidR="004E6DE4" w:rsidRPr="00B65C0A">
              <w:t>,7</w:t>
            </w:r>
            <w:r w:rsidRPr="00B65C0A">
              <w:t>60)</w:t>
            </w:r>
          </w:p>
        </w:tc>
      </w:tr>
      <w:tr w:rsidR="004E6DE4" w:rsidRPr="00C328EF" w14:paraId="509F7DAD" w14:textId="77777777" w:rsidTr="00692912">
        <w:tc>
          <w:tcPr>
            <w:tcW w:w="2694" w:type="dxa"/>
            <w:gridSpan w:val="2"/>
          </w:tcPr>
          <w:p w14:paraId="60548BD2" w14:textId="77777777" w:rsidR="004E6DE4" w:rsidRPr="00B65C0A" w:rsidRDefault="004E6DE4" w:rsidP="004E6DE4">
            <w:r w:rsidRPr="00B65C0A">
              <w:t>Deferred tax thereon</w:t>
            </w:r>
          </w:p>
        </w:tc>
        <w:tc>
          <w:tcPr>
            <w:tcW w:w="567" w:type="dxa"/>
            <w:gridSpan w:val="2"/>
          </w:tcPr>
          <w:p w14:paraId="2684E01E" w14:textId="77777777" w:rsidR="004E6DE4" w:rsidRPr="00F80503" w:rsidRDefault="004E6DE4" w:rsidP="004E6DE4">
            <w:pPr>
              <w:jc w:val="center"/>
            </w:pPr>
            <w:r w:rsidRPr="00F80503">
              <w:t>1</w:t>
            </w:r>
            <w:r w:rsidR="00F80503" w:rsidRPr="00F80503">
              <w:t>7</w:t>
            </w:r>
          </w:p>
        </w:tc>
        <w:tc>
          <w:tcPr>
            <w:tcW w:w="850" w:type="dxa"/>
          </w:tcPr>
          <w:p w14:paraId="529696CB" w14:textId="77777777" w:rsidR="004E6DE4" w:rsidRPr="001505F9" w:rsidRDefault="004E6DE4" w:rsidP="004E6DE4">
            <w:pPr>
              <w:tabs>
                <w:tab w:val="decimal" w:pos="885"/>
              </w:tabs>
              <w:ind w:left="-108"/>
            </w:pPr>
            <w:r w:rsidRPr="001505F9">
              <w:t>-</w:t>
            </w:r>
          </w:p>
        </w:tc>
        <w:tc>
          <w:tcPr>
            <w:tcW w:w="1276" w:type="dxa"/>
            <w:gridSpan w:val="2"/>
          </w:tcPr>
          <w:p w14:paraId="7623D6EA" w14:textId="77777777" w:rsidR="004E6DE4" w:rsidRPr="00B65C0A" w:rsidRDefault="004E6DE4" w:rsidP="004E6DE4">
            <w:pPr>
              <w:tabs>
                <w:tab w:val="decimal" w:pos="885"/>
              </w:tabs>
              <w:ind w:left="-108"/>
            </w:pPr>
            <w:r w:rsidRPr="00B65C0A">
              <w:t>-</w:t>
            </w:r>
          </w:p>
        </w:tc>
        <w:tc>
          <w:tcPr>
            <w:tcW w:w="1134" w:type="dxa"/>
          </w:tcPr>
          <w:p w14:paraId="57F8C1CC" w14:textId="77777777" w:rsidR="004E6DE4" w:rsidRPr="00B65C0A" w:rsidRDefault="004E6DE4" w:rsidP="004E6DE4">
            <w:pPr>
              <w:tabs>
                <w:tab w:val="decimal" w:pos="885"/>
              </w:tabs>
              <w:ind w:left="-108"/>
            </w:pPr>
            <w:r w:rsidRPr="00B65C0A">
              <w:t>-</w:t>
            </w:r>
          </w:p>
        </w:tc>
        <w:tc>
          <w:tcPr>
            <w:tcW w:w="1134" w:type="dxa"/>
          </w:tcPr>
          <w:p w14:paraId="7D2F936F" w14:textId="77777777" w:rsidR="004E6DE4" w:rsidRPr="00B65C0A" w:rsidRDefault="00B65C0A" w:rsidP="004E6DE4">
            <w:pPr>
              <w:tabs>
                <w:tab w:val="decimal" w:pos="885"/>
              </w:tabs>
              <w:ind w:left="-108"/>
            </w:pPr>
            <w:r w:rsidRPr="00B65C0A">
              <w:t>4,266</w:t>
            </w:r>
          </w:p>
        </w:tc>
        <w:tc>
          <w:tcPr>
            <w:tcW w:w="1134" w:type="dxa"/>
          </w:tcPr>
          <w:p w14:paraId="253811D8" w14:textId="77777777" w:rsidR="004E6DE4" w:rsidRPr="001505F9" w:rsidRDefault="004E6DE4" w:rsidP="004E6DE4">
            <w:pPr>
              <w:tabs>
                <w:tab w:val="decimal" w:pos="885"/>
              </w:tabs>
              <w:ind w:left="-108"/>
            </w:pPr>
            <w:r w:rsidRPr="001505F9">
              <w:t>-</w:t>
            </w:r>
          </w:p>
        </w:tc>
        <w:tc>
          <w:tcPr>
            <w:tcW w:w="1276" w:type="dxa"/>
          </w:tcPr>
          <w:p w14:paraId="73116382" w14:textId="77777777" w:rsidR="004E6DE4" w:rsidRPr="00B65C0A" w:rsidRDefault="00B65C0A" w:rsidP="004E6DE4">
            <w:pPr>
              <w:tabs>
                <w:tab w:val="decimal" w:pos="885"/>
              </w:tabs>
              <w:ind w:left="-108"/>
            </w:pPr>
            <w:r w:rsidRPr="00B65C0A">
              <w:t>421</w:t>
            </w:r>
          </w:p>
        </w:tc>
        <w:tc>
          <w:tcPr>
            <w:tcW w:w="1134" w:type="dxa"/>
          </w:tcPr>
          <w:p w14:paraId="7D235C79" w14:textId="77777777" w:rsidR="004E6DE4" w:rsidRPr="00B65C0A" w:rsidRDefault="00B65C0A" w:rsidP="004E6DE4">
            <w:pPr>
              <w:tabs>
                <w:tab w:val="decimal" w:pos="885"/>
              </w:tabs>
              <w:ind w:left="-108"/>
            </w:pPr>
            <w:r w:rsidRPr="00B65C0A">
              <w:t>4,687</w:t>
            </w:r>
          </w:p>
        </w:tc>
      </w:tr>
      <w:tr w:rsidR="004E6DE4" w:rsidRPr="00C328EF" w14:paraId="6E91F0CE" w14:textId="77777777" w:rsidTr="00692912">
        <w:tc>
          <w:tcPr>
            <w:tcW w:w="2694" w:type="dxa"/>
            <w:gridSpan w:val="2"/>
          </w:tcPr>
          <w:p w14:paraId="11A52919" w14:textId="77777777" w:rsidR="004E6DE4" w:rsidRPr="00B65C0A" w:rsidRDefault="004E6DE4" w:rsidP="004E6DE4">
            <w:r w:rsidRPr="00B65C0A">
              <w:t>Net fair value movements on cash flow hedges</w:t>
            </w:r>
          </w:p>
        </w:tc>
        <w:tc>
          <w:tcPr>
            <w:tcW w:w="567" w:type="dxa"/>
            <w:gridSpan w:val="2"/>
          </w:tcPr>
          <w:p w14:paraId="08264FFE" w14:textId="77777777" w:rsidR="004E6DE4" w:rsidRPr="0047306F" w:rsidRDefault="004E6DE4" w:rsidP="004E6DE4">
            <w:pPr>
              <w:jc w:val="center"/>
            </w:pPr>
          </w:p>
          <w:p w14:paraId="40D787AF" w14:textId="77777777" w:rsidR="004E6DE4" w:rsidRPr="0047306F" w:rsidRDefault="004E6DE4" w:rsidP="004E6DE4">
            <w:pPr>
              <w:jc w:val="center"/>
            </w:pPr>
            <w:r w:rsidRPr="0047306F">
              <w:t>2</w:t>
            </w:r>
            <w:r w:rsidR="000257CA">
              <w:t>7</w:t>
            </w:r>
          </w:p>
        </w:tc>
        <w:tc>
          <w:tcPr>
            <w:tcW w:w="850" w:type="dxa"/>
          </w:tcPr>
          <w:p w14:paraId="277D1832" w14:textId="77777777" w:rsidR="004E6DE4" w:rsidRPr="001505F9" w:rsidRDefault="004E6DE4" w:rsidP="004E6DE4">
            <w:pPr>
              <w:tabs>
                <w:tab w:val="decimal" w:pos="885"/>
              </w:tabs>
              <w:ind w:left="-108"/>
            </w:pPr>
          </w:p>
          <w:p w14:paraId="051604EB" w14:textId="77777777" w:rsidR="004E6DE4" w:rsidRPr="001505F9" w:rsidRDefault="004E6DE4" w:rsidP="004E6DE4">
            <w:pPr>
              <w:tabs>
                <w:tab w:val="decimal" w:pos="885"/>
              </w:tabs>
              <w:ind w:left="-108"/>
            </w:pPr>
            <w:r w:rsidRPr="001505F9">
              <w:t>-</w:t>
            </w:r>
          </w:p>
        </w:tc>
        <w:tc>
          <w:tcPr>
            <w:tcW w:w="1276" w:type="dxa"/>
            <w:gridSpan w:val="2"/>
          </w:tcPr>
          <w:p w14:paraId="38C75B2D" w14:textId="77777777" w:rsidR="004E6DE4" w:rsidRPr="00B65C0A" w:rsidRDefault="004E6DE4" w:rsidP="004E6DE4">
            <w:pPr>
              <w:tabs>
                <w:tab w:val="decimal" w:pos="885"/>
              </w:tabs>
              <w:ind w:left="-108"/>
            </w:pPr>
          </w:p>
          <w:p w14:paraId="5301A2D7" w14:textId="77777777" w:rsidR="004E6DE4" w:rsidRPr="00B65C0A" w:rsidRDefault="004E6DE4" w:rsidP="004E6DE4">
            <w:pPr>
              <w:tabs>
                <w:tab w:val="decimal" w:pos="885"/>
              </w:tabs>
              <w:ind w:left="-108"/>
            </w:pPr>
            <w:r w:rsidRPr="00B65C0A">
              <w:t>-</w:t>
            </w:r>
          </w:p>
        </w:tc>
        <w:tc>
          <w:tcPr>
            <w:tcW w:w="1134" w:type="dxa"/>
          </w:tcPr>
          <w:p w14:paraId="00D0F59D" w14:textId="77777777" w:rsidR="004E6DE4" w:rsidRPr="00B65C0A" w:rsidRDefault="004E6DE4" w:rsidP="004E6DE4">
            <w:pPr>
              <w:tabs>
                <w:tab w:val="decimal" w:pos="885"/>
              </w:tabs>
              <w:ind w:left="-108"/>
            </w:pPr>
          </w:p>
          <w:p w14:paraId="6B6B43E7" w14:textId="77777777" w:rsidR="004E6DE4" w:rsidRPr="00B65C0A" w:rsidRDefault="004E6DE4" w:rsidP="004E6DE4">
            <w:pPr>
              <w:tabs>
                <w:tab w:val="decimal" w:pos="885"/>
              </w:tabs>
              <w:ind w:left="-108"/>
            </w:pPr>
            <w:r w:rsidRPr="00B65C0A">
              <w:t>-</w:t>
            </w:r>
          </w:p>
        </w:tc>
        <w:tc>
          <w:tcPr>
            <w:tcW w:w="1134" w:type="dxa"/>
          </w:tcPr>
          <w:p w14:paraId="0D18D3C8" w14:textId="77777777" w:rsidR="004E6DE4" w:rsidRPr="00B65C0A" w:rsidRDefault="004E6DE4" w:rsidP="004E6DE4">
            <w:pPr>
              <w:tabs>
                <w:tab w:val="decimal" w:pos="885"/>
              </w:tabs>
              <w:ind w:left="-108"/>
            </w:pPr>
          </w:p>
          <w:p w14:paraId="0C815D07" w14:textId="77777777" w:rsidR="004E6DE4" w:rsidRPr="00B65C0A" w:rsidRDefault="004E6DE4" w:rsidP="004E6DE4">
            <w:pPr>
              <w:tabs>
                <w:tab w:val="decimal" w:pos="885"/>
              </w:tabs>
              <w:ind w:left="-108"/>
            </w:pPr>
            <w:r w:rsidRPr="00B65C0A">
              <w:t>-</w:t>
            </w:r>
          </w:p>
        </w:tc>
        <w:tc>
          <w:tcPr>
            <w:tcW w:w="1134" w:type="dxa"/>
          </w:tcPr>
          <w:p w14:paraId="59DA7FF3" w14:textId="77777777" w:rsidR="004E6DE4" w:rsidRPr="00B65C0A" w:rsidRDefault="004E6DE4" w:rsidP="004E6DE4">
            <w:pPr>
              <w:tabs>
                <w:tab w:val="decimal" w:pos="885"/>
              </w:tabs>
              <w:ind w:left="-108"/>
            </w:pPr>
          </w:p>
          <w:p w14:paraId="2E6B8623" w14:textId="77777777" w:rsidR="004E6DE4" w:rsidRPr="00B65C0A" w:rsidRDefault="00B65C0A" w:rsidP="004E6DE4">
            <w:pPr>
              <w:tabs>
                <w:tab w:val="decimal" w:pos="885"/>
              </w:tabs>
            </w:pPr>
            <w:r w:rsidRPr="00B65C0A">
              <w:t>1,092</w:t>
            </w:r>
          </w:p>
        </w:tc>
        <w:tc>
          <w:tcPr>
            <w:tcW w:w="1276" w:type="dxa"/>
          </w:tcPr>
          <w:p w14:paraId="6E05C607" w14:textId="77777777" w:rsidR="004E6DE4" w:rsidRPr="00B65C0A" w:rsidRDefault="004E6DE4" w:rsidP="004E6DE4">
            <w:pPr>
              <w:tabs>
                <w:tab w:val="decimal" w:pos="885"/>
              </w:tabs>
              <w:ind w:left="-108"/>
            </w:pPr>
          </w:p>
          <w:p w14:paraId="6E8AE829" w14:textId="77777777" w:rsidR="004E6DE4" w:rsidRPr="00B65C0A" w:rsidRDefault="00B65C0A" w:rsidP="004E6DE4">
            <w:pPr>
              <w:tabs>
                <w:tab w:val="decimal" w:pos="885"/>
              </w:tabs>
              <w:ind w:left="-108"/>
            </w:pPr>
            <w:r w:rsidRPr="00B65C0A">
              <w:t>108</w:t>
            </w:r>
          </w:p>
        </w:tc>
        <w:tc>
          <w:tcPr>
            <w:tcW w:w="1134" w:type="dxa"/>
          </w:tcPr>
          <w:p w14:paraId="61F96334" w14:textId="77777777" w:rsidR="004E6DE4" w:rsidRPr="00B65C0A" w:rsidRDefault="004E6DE4" w:rsidP="004E6DE4">
            <w:pPr>
              <w:tabs>
                <w:tab w:val="decimal" w:pos="885"/>
              </w:tabs>
              <w:ind w:left="-108"/>
            </w:pPr>
          </w:p>
          <w:p w14:paraId="375FBAE7" w14:textId="77777777" w:rsidR="004E6DE4" w:rsidRPr="00B65C0A" w:rsidRDefault="00B65C0A" w:rsidP="004E6DE4">
            <w:pPr>
              <w:tabs>
                <w:tab w:val="decimal" w:pos="885"/>
              </w:tabs>
              <w:ind w:left="-108"/>
            </w:pPr>
            <w:r w:rsidRPr="00B65C0A">
              <w:t>1,200</w:t>
            </w:r>
          </w:p>
        </w:tc>
      </w:tr>
      <w:tr w:rsidR="004E6DE4" w:rsidRPr="00C328EF" w14:paraId="349E3D15" w14:textId="77777777" w:rsidTr="00692912">
        <w:tc>
          <w:tcPr>
            <w:tcW w:w="2694" w:type="dxa"/>
            <w:gridSpan w:val="2"/>
          </w:tcPr>
          <w:p w14:paraId="6FCFF436" w14:textId="77777777" w:rsidR="004E6DE4" w:rsidRPr="00B65C0A" w:rsidRDefault="004E6DE4" w:rsidP="004E6DE4">
            <w:r w:rsidRPr="00B65C0A">
              <w:t>Deferred tax thereon</w:t>
            </w:r>
          </w:p>
        </w:tc>
        <w:tc>
          <w:tcPr>
            <w:tcW w:w="567" w:type="dxa"/>
            <w:gridSpan w:val="2"/>
          </w:tcPr>
          <w:p w14:paraId="17D8B2AE" w14:textId="77777777" w:rsidR="004E6DE4" w:rsidRPr="00C328EF" w:rsidRDefault="004E6DE4" w:rsidP="004E6DE4">
            <w:pPr>
              <w:jc w:val="center"/>
              <w:rPr>
                <w:highlight w:val="yellow"/>
              </w:rPr>
            </w:pPr>
            <w:r w:rsidRPr="00F80503">
              <w:t>1</w:t>
            </w:r>
            <w:r w:rsidR="00F80503" w:rsidRPr="00F80503">
              <w:t>7</w:t>
            </w:r>
          </w:p>
        </w:tc>
        <w:tc>
          <w:tcPr>
            <w:tcW w:w="850" w:type="dxa"/>
          </w:tcPr>
          <w:p w14:paraId="6F4B88D0" w14:textId="77777777" w:rsidR="004E6DE4" w:rsidRPr="001505F9" w:rsidRDefault="004E6DE4" w:rsidP="004E6DE4">
            <w:pPr>
              <w:tabs>
                <w:tab w:val="decimal" w:pos="885"/>
              </w:tabs>
              <w:ind w:left="-108"/>
            </w:pPr>
            <w:r w:rsidRPr="001505F9">
              <w:t>-</w:t>
            </w:r>
          </w:p>
        </w:tc>
        <w:tc>
          <w:tcPr>
            <w:tcW w:w="1276" w:type="dxa"/>
            <w:gridSpan w:val="2"/>
          </w:tcPr>
          <w:p w14:paraId="3FCC77F7" w14:textId="77777777" w:rsidR="004E6DE4" w:rsidRPr="00B65C0A" w:rsidRDefault="004E6DE4" w:rsidP="004E6DE4">
            <w:pPr>
              <w:tabs>
                <w:tab w:val="decimal" w:pos="885"/>
              </w:tabs>
              <w:ind w:left="-108"/>
            </w:pPr>
            <w:r w:rsidRPr="00B65C0A">
              <w:t>-</w:t>
            </w:r>
          </w:p>
        </w:tc>
        <w:tc>
          <w:tcPr>
            <w:tcW w:w="1134" w:type="dxa"/>
          </w:tcPr>
          <w:p w14:paraId="222327DB" w14:textId="77777777" w:rsidR="004E6DE4" w:rsidRPr="00B65C0A" w:rsidRDefault="004E6DE4" w:rsidP="004E6DE4">
            <w:pPr>
              <w:tabs>
                <w:tab w:val="decimal" w:pos="885"/>
              </w:tabs>
              <w:ind w:left="-108"/>
            </w:pPr>
            <w:r w:rsidRPr="00B65C0A">
              <w:t>-</w:t>
            </w:r>
          </w:p>
        </w:tc>
        <w:tc>
          <w:tcPr>
            <w:tcW w:w="1134" w:type="dxa"/>
          </w:tcPr>
          <w:p w14:paraId="39BCD054" w14:textId="77777777" w:rsidR="004E6DE4" w:rsidRPr="00B65C0A" w:rsidRDefault="004E6DE4" w:rsidP="004E6DE4">
            <w:pPr>
              <w:tabs>
                <w:tab w:val="decimal" w:pos="885"/>
              </w:tabs>
              <w:ind w:left="-108"/>
            </w:pPr>
            <w:r w:rsidRPr="00B65C0A">
              <w:t>-</w:t>
            </w:r>
          </w:p>
        </w:tc>
        <w:tc>
          <w:tcPr>
            <w:tcW w:w="1134" w:type="dxa"/>
          </w:tcPr>
          <w:p w14:paraId="1B910334" w14:textId="77777777" w:rsidR="004E6DE4" w:rsidRPr="00B65C0A" w:rsidRDefault="00B65C0A" w:rsidP="004E6DE4">
            <w:pPr>
              <w:tabs>
                <w:tab w:val="decimal" w:pos="885"/>
              </w:tabs>
              <w:ind w:left="-108"/>
            </w:pPr>
            <w:r w:rsidRPr="00B65C0A">
              <w:t>(273)</w:t>
            </w:r>
          </w:p>
        </w:tc>
        <w:tc>
          <w:tcPr>
            <w:tcW w:w="1276" w:type="dxa"/>
          </w:tcPr>
          <w:p w14:paraId="2534AFD1" w14:textId="77777777" w:rsidR="004E6DE4" w:rsidRPr="00B65C0A" w:rsidRDefault="00B65C0A" w:rsidP="004E6DE4">
            <w:pPr>
              <w:tabs>
                <w:tab w:val="decimal" w:pos="885"/>
              </w:tabs>
              <w:ind w:left="-108"/>
            </w:pPr>
            <w:r w:rsidRPr="00B65C0A">
              <w:t>(27)</w:t>
            </w:r>
          </w:p>
        </w:tc>
        <w:tc>
          <w:tcPr>
            <w:tcW w:w="1134" w:type="dxa"/>
          </w:tcPr>
          <w:p w14:paraId="7149BB2A" w14:textId="77777777" w:rsidR="004E6DE4" w:rsidRPr="00B65C0A" w:rsidRDefault="00B65C0A" w:rsidP="004E6DE4">
            <w:pPr>
              <w:tabs>
                <w:tab w:val="decimal" w:pos="885"/>
              </w:tabs>
              <w:ind w:left="-108"/>
            </w:pPr>
            <w:r w:rsidRPr="00B65C0A">
              <w:t>(300)</w:t>
            </w:r>
          </w:p>
        </w:tc>
      </w:tr>
      <w:tr w:rsidR="004E6DE4" w:rsidRPr="00C328EF" w14:paraId="4B63B23E" w14:textId="77777777" w:rsidTr="00692912">
        <w:tc>
          <w:tcPr>
            <w:tcW w:w="2694" w:type="dxa"/>
            <w:gridSpan w:val="2"/>
          </w:tcPr>
          <w:p w14:paraId="359A2E2A" w14:textId="77777777" w:rsidR="004E6DE4" w:rsidRPr="0047306F" w:rsidRDefault="004E6DE4" w:rsidP="004E6DE4">
            <w:bookmarkStart w:id="23" w:name="_Hlk35616640"/>
            <w:r w:rsidRPr="0047306F">
              <w:t xml:space="preserve">Shares issued in </w:t>
            </w:r>
            <w:r w:rsidR="00002C01" w:rsidRPr="0047306F">
              <w:t>period</w:t>
            </w:r>
          </w:p>
        </w:tc>
        <w:tc>
          <w:tcPr>
            <w:tcW w:w="567" w:type="dxa"/>
            <w:gridSpan w:val="2"/>
          </w:tcPr>
          <w:p w14:paraId="76E9CB6F" w14:textId="77777777" w:rsidR="004E6DE4" w:rsidRPr="0047306F" w:rsidRDefault="004E6DE4" w:rsidP="004E6DE4">
            <w:pPr>
              <w:jc w:val="center"/>
              <w:rPr>
                <w:spacing w:val="-2"/>
              </w:rPr>
            </w:pPr>
            <w:r w:rsidRPr="0047306F">
              <w:t>1</w:t>
            </w:r>
            <w:r w:rsidR="0047306F" w:rsidRPr="0047306F">
              <w:t>8</w:t>
            </w:r>
          </w:p>
        </w:tc>
        <w:tc>
          <w:tcPr>
            <w:tcW w:w="850" w:type="dxa"/>
          </w:tcPr>
          <w:p w14:paraId="022E5AC9" w14:textId="77777777" w:rsidR="004E6DE4" w:rsidRPr="001505F9" w:rsidRDefault="001505F9" w:rsidP="004E6DE4">
            <w:pPr>
              <w:tabs>
                <w:tab w:val="decimal" w:pos="885"/>
              </w:tabs>
              <w:ind w:left="-108"/>
            </w:pPr>
            <w:r w:rsidRPr="001505F9">
              <w:t>8</w:t>
            </w:r>
            <w:r w:rsidR="004E6DE4" w:rsidRPr="001505F9">
              <w:t>,000</w:t>
            </w:r>
          </w:p>
        </w:tc>
        <w:tc>
          <w:tcPr>
            <w:tcW w:w="1276" w:type="dxa"/>
            <w:gridSpan w:val="2"/>
          </w:tcPr>
          <w:p w14:paraId="475D956E" w14:textId="77777777" w:rsidR="004E6DE4" w:rsidRPr="00B65C0A" w:rsidRDefault="004E6DE4" w:rsidP="004E6DE4">
            <w:pPr>
              <w:tabs>
                <w:tab w:val="decimal" w:pos="885"/>
              </w:tabs>
              <w:ind w:left="-108"/>
            </w:pPr>
            <w:r w:rsidRPr="00B65C0A">
              <w:t>-</w:t>
            </w:r>
          </w:p>
        </w:tc>
        <w:tc>
          <w:tcPr>
            <w:tcW w:w="1134" w:type="dxa"/>
          </w:tcPr>
          <w:p w14:paraId="6C3A7095" w14:textId="77777777" w:rsidR="004E6DE4" w:rsidRPr="00B65C0A" w:rsidRDefault="004E6DE4" w:rsidP="004E6DE4">
            <w:pPr>
              <w:tabs>
                <w:tab w:val="decimal" w:pos="885"/>
              </w:tabs>
              <w:ind w:left="-108"/>
            </w:pPr>
            <w:r w:rsidRPr="00B65C0A">
              <w:t>-</w:t>
            </w:r>
          </w:p>
        </w:tc>
        <w:tc>
          <w:tcPr>
            <w:tcW w:w="1134" w:type="dxa"/>
          </w:tcPr>
          <w:p w14:paraId="18FDE9E2" w14:textId="77777777" w:rsidR="004E6DE4" w:rsidRPr="00B65C0A" w:rsidRDefault="004E6DE4" w:rsidP="004E6DE4">
            <w:pPr>
              <w:tabs>
                <w:tab w:val="decimal" w:pos="885"/>
              </w:tabs>
              <w:ind w:left="-108"/>
            </w:pPr>
            <w:r w:rsidRPr="00B65C0A">
              <w:t>-</w:t>
            </w:r>
          </w:p>
        </w:tc>
        <w:tc>
          <w:tcPr>
            <w:tcW w:w="1134" w:type="dxa"/>
          </w:tcPr>
          <w:p w14:paraId="6002505A" w14:textId="77777777" w:rsidR="004E6DE4" w:rsidRPr="00B65C0A" w:rsidRDefault="004E6DE4" w:rsidP="004E6DE4">
            <w:pPr>
              <w:tabs>
                <w:tab w:val="decimal" w:pos="885"/>
              </w:tabs>
              <w:ind w:left="-108"/>
            </w:pPr>
            <w:r w:rsidRPr="00B65C0A">
              <w:t>-</w:t>
            </w:r>
          </w:p>
        </w:tc>
        <w:tc>
          <w:tcPr>
            <w:tcW w:w="1276" w:type="dxa"/>
          </w:tcPr>
          <w:p w14:paraId="53D170F3" w14:textId="77777777" w:rsidR="004E6DE4" w:rsidRPr="00B65C0A" w:rsidRDefault="004E6DE4" w:rsidP="004E6DE4">
            <w:pPr>
              <w:tabs>
                <w:tab w:val="decimal" w:pos="885"/>
              </w:tabs>
              <w:ind w:left="-108"/>
            </w:pPr>
            <w:r w:rsidRPr="00B65C0A">
              <w:t>-</w:t>
            </w:r>
          </w:p>
        </w:tc>
        <w:tc>
          <w:tcPr>
            <w:tcW w:w="1134" w:type="dxa"/>
          </w:tcPr>
          <w:p w14:paraId="24E6F578" w14:textId="77777777" w:rsidR="004E6DE4" w:rsidRPr="001505F9" w:rsidRDefault="001505F9" w:rsidP="004E6DE4">
            <w:pPr>
              <w:tabs>
                <w:tab w:val="decimal" w:pos="885"/>
              </w:tabs>
              <w:ind w:left="-108"/>
            </w:pPr>
            <w:r w:rsidRPr="001505F9">
              <w:t>8</w:t>
            </w:r>
            <w:r w:rsidR="004E6DE4" w:rsidRPr="001505F9">
              <w:t>,000</w:t>
            </w:r>
          </w:p>
        </w:tc>
      </w:tr>
      <w:bookmarkEnd w:id="23"/>
      <w:tr w:rsidR="00565458" w:rsidRPr="00C328EF" w14:paraId="4228AD66" w14:textId="77777777" w:rsidTr="00692912">
        <w:tc>
          <w:tcPr>
            <w:tcW w:w="2694" w:type="dxa"/>
            <w:gridSpan w:val="2"/>
          </w:tcPr>
          <w:p w14:paraId="4AB9D076" w14:textId="77777777" w:rsidR="00565458" w:rsidRPr="00B65C0A" w:rsidRDefault="00565458" w:rsidP="00565458">
            <w:r w:rsidRPr="00B65C0A">
              <w:t>Dividends</w:t>
            </w:r>
          </w:p>
        </w:tc>
        <w:tc>
          <w:tcPr>
            <w:tcW w:w="567" w:type="dxa"/>
            <w:gridSpan w:val="2"/>
          </w:tcPr>
          <w:p w14:paraId="557F13D6" w14:textId="77777777" w:rsidR="00565458" w:rsidRPr="00B65C0A" w:rsidRDefault="00F72DA3" w:rsidP="00565458">
            <w:pPr>
              <w:jc w:val="center"/>
              <w:rPr>
                <w:highlight w:val="yellow"/>
              </w:rPr>
            </w:pPr>
            <w:r>
              <w:t>29</w:t>
            </w:r>
          </w:p>
        </w:tc>
        <w:tc>
          <w:tcPr>
            <w:tcW w:w="850" w:type="dxa"/>
          </w:tcPr>
          <w:p w14:paraId="0728D1D6" w14:textId="77777777" w:rsidR="00565458" w:rsidRPr="001505F9" w:rsidRDefault="00565458" w:rsidP="00565458">
            <w:pPr>
              <w:tabs>
                <w:tab w:val="decimal" w:pos="885"/>
              </w:tabs>
              <w:ind w:left="-108"/>
            </w:pPr>
            <w:r w:rsidRPr="004E6DE4">
              <w:t>-</w:t>
            </w:r>
          </w:p>
        </w:tc>
        <w:tc>
          <w:tcPr>
            <w:tcW w:w="1276" w:type="dxa"/>
            <w:gridSpan w:val="2"/>
          </w:tcPr>
          <w:p w14:paraId="4406B118" w14:textId="77777777" w:rsidR="00565458" w:rsidRPr="00B65C0A" w:rsidRDefault="00565458" w:rsidP="00565458">
            <w:pPr>
              <w:tabs>
                <w:tab w:val="decimal" w:pos="885"/>
              </w:tabs>
              <w:ind w:left="-108"/>
            </w:pPr>
            <w:r w:rsidRPr="00B65C0A">
              <w:t>-</w:t>
            </w:r>
          </w:p>
        </w:tc>
        <w:tc>
          <w:tcPr>
            <w:tcW w:w="1134" w:type="dxa"/>
          </w:tcPr>
          <w:p w14:paraId="4FC4C1F4" w14:textId="77777777" w:rsidR="00565458" w:rsidRPr="00B65C0A" w:rsidRDefault="00565458" w:rsidP="00565458">
            <w:pPr>
              <w:tabs>
                <w:tab w:val="decimal" w:pos="885"/>
              </w:tabs>
              <w:ind w:left="-108"/>
            </w:pPr>
            <w:r w:rsidRPr="00B65C0A">
              <w:t>-</w:t>
            </w:r>
          </w:p>
        </w:tc>
        <w:tc>
          <w:tcPr>
            <w:tcW w:w="1134" w:type="dxa"/>
          </w:tcPr>
          <w:p w14:paraId="4A519E7B" w14:textId="77777777" w:rsidR="00565458" w:rsidRPr="00B65C0A" w:rsidRDefault="00B65C0A" w:rsidP="00565458">
            <w:pPr>
              <w:tabs>
                <w:tab w:val="decimal" w:pos="885"/>
              </w:tabs>
              <w:ind w:left="-108"/>
            </w:pPr>
            <w:r w:rsidRPr="00B65C0A">
              <w:t>(2,912)</w:t>
            </w:r>
          </w:p>
        </w:tc>
        <w:tc>
          <w:tcPr>
            <w:tcW w:w="1134" w:type="dxa"/>
          </w:tcPr>
          <w:p w14:paraId="3839C3A7" w14:textId="77777777" w:rsidR="00565458" w:rsidRPr="00B65C0A" w:rsidRDefault="00565458" w:rsidP="00565458">
            <w:pPr>
              <w:tabs>
                <w:tab w:val="decimal" w:pos="885"/>
              </w:tabs>
              <w:ind w:left="-108"/>
            </w:pPr>
            <w:r w:rsidRPr="00B65C0A">
              <w:t>-</w:t>
            </w:r>
          </w:p>
        </w:tc>
        <w:tc>
          <w:tcPr>
            <w:tcW w:w="1276" w:type="dxa"/>
          </w:tcPr>
          <w:p w14:paraId="1B13B7E2" w14:textId="77777777" w:rsidR="00565458" w:rsidRPr="00B65C0A" w:rsidRDefault="00B65C0A" w:rsidP="00565458">
            <w:pPr>
              <w:tabs>
                <w:tab w:val="decimal" w:pos="885"/>
              </w:tabs>
              <w:ind w:left="-108"/>
            </w:pPr>
            <w:r w:rsidRPr="00B65C0A">
              <w:t>-</w:t>
            </w:r>
          </w:p>
        </w:tc>
        <w:tc>
          <w:tcPr>
            <w:tcW w:w="1134" w:type="dxa"/>
          </w:tcPr>
          <w:p w14:paraId="5E822740" w14:textId="77777777" w:rsidR="00565458" w:rsidRPr="00002C01" w:rsidRDefault="00565458" w:rsidP="00565458">
            <w:pPr>
              <w:tabs>
                <w:tab w:val="decimal" w:pos="885"/>
              </w:tabs>
              <w:ind w:left="-108"/>
            </w:pPr>
            <w:r w:rsidRPr="00002C01">
              <w:t>(2,912)</w:t>
            </w:r>
          </w:p>
        </w:tc>
      </w:tr>
      <w:tr w:rsidR="00565458" w:rsidRPr="00C328EF" w14:paraId="097275B1" w14:textId="77777777" w:rsidTr="00692912">
        <w:tc>
          <w:tcPr>
            <w:tcW w:w="2694" w:type="dxa"/>
            <w:gridSpan w:val="2"/>
          </w:tcPr>
          <w:p w14:paraId="2D90F228" w14:textId="77777777" w:rsidR="00565458" w:rsidRPr="009B18E2" w:rsidRDefault="00565458" w:rsidP="00565458"/>
        </w:tc>
        <w:tc>
          <w:tcPr>
            <w:tcW w:w="425" w:type="dxa"/>
          </w:tcPr>
          <w:p w14:paraId="2CA6A2AD" w14:textId="77777777" w:rsidR="00565458" w:rsidRPr="00C328EF" w:rsidRDefault="00565458" w:rsidP="00565458">
            <w:pPr>
              <w:tabs>
                <w:tab w:val="decimal" w:pos="942"/>
              </w:tabs>
              <w:jc w:val="both"/>
              <w:rPr>
                <w:spacing w:val="-2"/>
                <w:highlight w:val="yellow"/>
              </w:rPr>
            </w:pPr>
          </w:p>
        </w:tc>
        <w:tc>
          <w:tcPr>
            <w:tcW w:w="1134" w:type="dxa"/>
            <w:gridSpan w:val="3"/>
          </w:tcPr>
          <w:p w14:paraId="0FBB9EE4" w14:textId="77777777" w:rsidR="00565458" w:rsidRPr="00B65C0A" w:rsidRDefault="00565458" w:rsidP="00565458">
            <w:pPr>
              <w:tabs>
                <w:tab w:val="decimal" w:pos="885"/>
              </w:tabs>
              <w:ind w:left="-108"/>
            </w:pPr>
            <w:r w:rsidRPr="00B65C0A">
              <w:t>───────</w:t>
            </w:r>
          </w:p>
        </w:tc>
        <w:tc>
          <w:tcPr>
            <w:tcW w:w="1134" w:type="dxa"/>
          </w:tcPr>
          <w:p w14:paraId="2BCB54B7" w14:textId="77777777" w:rsidR="00565458" w:rsidRPr="00B65C0A" w:rsidRDefault="00565458" w:rsidP="00565458">
            <w:pPr>
              <w:tabs>
                <w:tab w:val="decimal" w:pos="885"/>
              </w:tabs>
              <w:ind w:left="-108"/>
            </w:pPr>
            <w:r w:rsidRPr="00B65C0A">
              <w:t>───────</w:t>
            </w:r>
          </w:p>
        </w:tc>
        <w:tc>
          <w:tcPr>
            <w:tcW w:w="1134" w:type="dxa"/>
          </w:tcPr>
          <w:p w14:paraId="327DB9B0" w14:textId="77777777" w:rsidR="00565458" w:rsidRPr="00B65C0A" w:rsidRDefault="00565458" w:rsidP="00565458">
            <w:pPr>
              <w:tabs>
                <w:tab w:val="decimal" w:pos="885"/>
              </w:tabs>
              <w:ind w:left="-108"/>
            </w:pPr>
            <w:r w:rsidRPr="00B65C0A">
              <w:t>───────</w:t>
            </w:r>
          </w:p>
        </w:tc>
        <w:tc>
          <w:tcPr>
            <w:tcW w:w="1134" w:type="dxa"/>
          </w:tcPr>
          <w:p w14:paraId="1C495A2C" w14:textId="77777777" w:rsidR="00565458" w:rsidRPr="00B65C0A" w:rsidRDefault="00565458" w:rsidP="00565458">
            <w:pPr>
              <w:tabs>
                <w:tab w:val="decimal" w:pos="885"/>
              </w:tabs>
              <w:ind w:left="-108"/>
            </w:pPr>
            <w:r w:rsidRPr="00B65C0A">
              <w:t>───────</w:t>
            </w:r>
          </w:p>
        </w:tc>
        <w:tc>
          <w:tcPr>
            <w:tcW w:w="1134" w:type="dxa"/>
          </w:tcPr>
          <w:p w14:paraId="45151D88" w14:textId="77777777" w:rsidR="00565458" w:rsidRPr="00B65C0A" w:rsidRDefault="00565458" w:rsidP="00565458">
            <w:pPr>
              <w:tabs>
                <w:tab w:val="decimal" w:pos="885"/>
              </w:tabs>
              <w:ind w:left="-108"/>
            </w:pPr>
            <w:r w:rsidRPr="00B65C0A">
              <w:t>───────</w:t>
            </w:r>
          </w:p>
        </w:tc>
        <w:tc>
          <w:tcPr>
            <w:tcW w:w="1276" w:type="dxa"/>
          </w:tcPr>
          <w:p w14:paraId="561AB230" w14:textId="77777777" w:rsidR="00565458" w:rsidRPr="00B65C0A" w:rsidRDefault="00565458" w:rsidP="00565458">
            <w:pPr>
              <w:tabs>
                <w:tab w:val="decimal" w:pos="885"/>
              </w:tabs>
              <w:ind w:left="-108"/>
            </w:pPr>
            <w:r w:rsidRPr="00B65C0A">
              <w:t>───────</w:t>
            </w:r>
          </w:p>
        </w:tc>
        <w:tc>
          <w:tcPr>
            <w:tcW w:w="1134" w:type="dxa"/>
          </w:tcPr>
          <w:p w14:paraId="5932B5BA" w14:textId="77777777" w:rsidR="00565458" w:rsidRPr="00002C01" w:rsidRDefault="00565458" w:rsidP="00565458">
            <w:pPr>
              <w:tabs>
                <w:tab w:val="decimal" w:pos="885"/>
              </w:tabs>
              <w:ind w:left="-108"/>
            </w:pPr>
            <w:r w:rsidRPr="00002C01">
              <w:t>───────</w:t>
            </w:r>
          </w:p>
        </w:tc>
      </w:tr>
      <w:tr w:rsidR="00565458" w:rsidRPr="00C328EF" w14:paraId="1C189E9C" w14:textId="77777777" w:rsidTr="00692912">
        <w:tc>
          <w:tcPr>
            <w:tcW w:w="2694" w:type="dxa"/>
            <w:gridSpan w:val="2"/>
          </w:tcPr>
          <w:p w14:paraId="0719C7F8" w14:textId="77777777" w:rsidR="00565458" w:rsidRPr="009B18E2" w:rsidRDefault="00565458" w:rsidP="00565458">
            <w:pPr>
              <w:rPr>
                <w:b/>
              </w:rPr>
            </w:pPr>
            <w:r w:rsidRPr="009B18E2">
              <w:rPr>
                <w:b/>
              </w:rPr>
              <w:t xml:space="preserve">Balance at </w:t>
            </w:r>
            <w:r w:rsidR="00B65C0A" w:rsidRPr="009B18E2">
              <w:rPr>
                <w:b/>
              </w:rPr>
              <w:t>28</w:t>
            </w:r>
            <w:r w:rsidRPr="009B18E2">
              <w:rPr>
                <w:b/>
              </w:rPr>
              <w:t xml:space="preserve"> December 2024</w:t>
            </w:r>
          </w:p>
        </w:tc>
        <w:tc>
          <w:tcPr>
            <w:tcW w:w="425" w:type="dxa"/>
          </w:tcPr>
          <w:p w14:paraId="03191F35" w14:textId="77777777" w:rsidR="00565458" w:rsidRPr="00C328EF" w:rsidRDefault="00565458" w:rsidP="00565458">
            <w:pPr>
              <w:tabs>
                <w:tab w:val="decimal" w:pos="942"/>
              </w:tabs>
              <w:jc w:val="both"/>
              <w:rPr>
                <w:highlight w:val="yellow"/>
              </w:rPr>
            </w:pPr>
          </w:p>
        </w:tc>
        <w:tc>
          <w:tcPr>
            <w:tcW w:w="1134" w:type="dxa"/>
            <w:gridSpan w:val="3"/>
          </w:tcPr>
          <w:p w14:paraId="75CEEAE0" w14:textId="77777777" w:rsidR="00565458" w:rsidRPr="00B65C0A" w:rsidRDefault="00565458" w:rsidP="00565458">
            <w:pPr>
              <w:tabs>
                <w:tab w:val="decimal" w:pos="885"/>
              </w:tabs>
              <w:ind w:left="-108"/>
            </w:pPr>
          </w:p>
          <w:p w14:paraId="1E157D2E" w14:textId="77777777" w:rsidR="00565458" w:rsidRPr="00B65C0A" w:rsidRDefault="00565458" w:rsidP="00565458">
            <w:pPr>
              <w:tabs>
                <w:tab w:val="decimal" w:pos="885"/>
              </w:tabs>
              <w:ind w:left="-108"/>
            </w:pPr>
            <w:r w:rsidRPr="00B65C0A">
              <w:t>61,878</w:t>
            </w:r>
          </w:p>
        </w:tc>
        <w:tc>
          <w:tcPr>
            <w:tcW w:w="1134" w:type="dxa"/>
          </w:tcPr>
          <w:p w14:paraId="3970042F" w14:textId="77777777" w:rsidR="00565458" w:rsidRPr="00B65C0A" w:rsidRDefault="00565458" w:rsidP="00565458">
            <w:pPr>
              <w:tabs>
                <w:tab w:val="decimal" w:pos="885"/>
              </w:tabs>
              <w:ind w:left="-108"/>
            </w:pPr>
          </w:p>
          <w:p w14:paraId="195D5AF0" w14:textId="77777777" w:rsidR="00565458" w:rsidRPr="00B65C0A" w:rsidRDefault="00565458" w:rsidP="00565458">
            <w:pPr>
              <w:tabs>
                <w:tab w:val="decimal" w:pos="885"/>
              </w:tabs>
              <w:ind w:left="-108"/>
            </w:pPr>
            <w:r w:rsidRPr="00B65C0A">
              <w:t>20,8</w:t>
            </w:r>
            <w:r w:rsidR="00B65C0A" w:rsidRPr="00B65C0A">
              <w:t>62</w:t>
            </w:r>
          </w:p>
        </w:tc>
        <w:tc>
          <w:tcPr>
            <w:tcW w:w="1134" w:type="dxa"/>
          </w:tcPr>
          <w:p w14:paraId="2D767730" w14:textId="77777777" w:rsidR="00565458" w:rsidRPr="00B65C0A" w:rsidRDefault="00565458" w:rsidP="00565458">
            <w:pPr>
              <w:tabs>
                <w:tab w:val="decimal" w:pos="885"/>
              </w:tabs>
              <w:ind w:left="-108"/>
            </w:pPr>
          </w:p>
          <w:p w14:paraId="34C749A6" w14:textId="77777777" w:rsidR="00565458" w:rsidRPr="00B65C0A" w:rsidRDefault="00565458" w:rsidP="00565458">
            <w:pPr>
              <w:tabs>
                <w:tab w:val="decimal" w:pos="885"/>
              </w:tabs>
              <w:ind w:left="-108"/>
            </w:pPr>
            <w:r w:rsidRPr="00B65C0A">
              <w:t>59,929</w:t>
            </w:r>
          </w:p>
        </w:tc>
        <w:tc>
          <w:tcPr>
            <w:tcW w:w="1134" w:type="dxa"/>
          </w:tcPr>
          <w:p w14:paraId="5C613DA5" w14:textId="77777777" w:rsidR="00565458" w:rsidRPr="00B65C0A" w:rsidRDefault="00565458" w:rsidP="00565458">
            <w:pPr>
              <w:tabs>
                <w:tab w:val="decimal" w:pos="885"/>
              </w:tabs>
              <w:ind w:left="-108"/>
            </w:pPr>
          </w:p>
          <w:p w14:paraId="1986C2B4" w14:textId="77777777" w:rsidR="00565458" w:rsidRPr="00B65C0A" w:rsidRDefault="00B65C0A" w:rsidP="00565458">
            <w:pPr>
              <w:tabs>
                <w:tab w:val="decimal" w:pos="885"/>
              </w:tabs>
              <w:ind w:left="-108"/>
            </w:pPr>
            <w:r w:rsidRPr="00B65C0A">
              <w:t>(19,042)</w:t>
            </w:r>
          </w:p>
        </w:tc>
        <w:tc>
          <w:tcPr>
            <w:tcW w:w="1134" w:type="dxa"/>
          </w:tcPr>
          <w:p w14:paraId="61E82C1C" w14:textId="77777777" w:rsidR="00565458" w:rsidRPr="00B65C0A" w:rsidRDefault="00565458" w:rsidP="00565458">
            <w:pPr>
              <w:tabs>
                <w:tab w:val="decimal" w:pos="885"/>
              </w:tabs>
              <w:ind w:left="-108"/>
            </w:pPr>
          </w:p>
          <w:p w14:paraId="22F11B45" w14:textId="77777777" w:rsidR="00565458" w:rsidRPr="00B65C0A" w:rsidRDefault="00565458" w:rsidP="00565458">
            <w:pPr>
              <w:tabs>
                <w:tab w:val="decimal" w:pos="885"/>
              </w:tabs>
              <w:ind w:left="-108"/>
            </w:pPr>
            <w:r w:rsidRPr="00B65C0A">
              <w:t>(</w:t>
            </w:r>
            <w:r w:rsidR="00B65C0A" w:rsidRPr="00B65C0A">
              <w:t>346</w:t>
            </w:r>
            <w:r w:rsidRPr="00B65C0A">
              <w:t>)</w:t>
            </w:r>
          </w:p>
        </w:tc>
        <w:tc>
          <w:tcPr>
            <w:tcW w:w="1276" w:type="dxa"/>
          </w:tcPr>
          <w:p w14:paraId="16AFEB87" w14:textId="77777777" w:rsidR="00565458" w:rsidRPr="00B65C0A" w:rsidRDefault="00565458" w:rsidP="00565458">
            <w:pPr>
              <w:tabs>
                <w:tab w:val="decimal" w:pos="885"/>
              </w:tabs>
              <w:ind w:left="-108"/>
            </w:pPr>
          </w:p>
          <w:p w14:paraId="75EB5C20" w14:textId="77777777" w:rsidR="00565458" w:rsidRPr="00B65C0A" w:rsidRDefault="00565458" w:rsidP="00565458">
            <w:pPr>
              <w:tabs>
                <w:tab w:val="decimal" w:pos="885"/>
              </w:tabs>
              <w:ind w:left="-108"/>
            </w:pPr>
            <w:r w:rsidRPr="00B65C0A">
              <w:t>1</w:t>
            </w:r>
            <w:r w:rsidR="00B65C0A" w:rsidRPr="00B65C0A">
              <w:t>2</w:t>
            </w:r>
            <w:r w:rsidRPr="00B65C0A">
              <w:t>,</w:t>
            </w:r>
            <w:r w:rsidR="00B65C0A" w:rsidRPr="00B65C0A">
              <w:t>966</w:t>
            </w:r>
          </w:p>
        </w:tc>
        <w:tc>
          <w:tcPr>
            <w:tcW w:w="1134" w:type="dxa"/>
          </w:tcPr>
          <w:p w14:paraId="613A3FC5" w14:textId="77777777" w:rsidR="00565458" w:rsidRPr="00002C01" w:rsidRDefault="00565458" w:rsidP="00565458">
            <w:pPr>
              <w:tabs>
                <w:tab w:val="decimal" w:pos="885"/>
              </w:tabs>
              <w:ind w:left="-108"/>
            </w:pPr>
          </w:p>
          <w:p w14:paraId="12AD440F" w14:textId="77777777" w:rsidR="00565458" w:rsidRPr="00002C01" w:rsidRDefault="00565458" w:rsidP="00565458">
            <w:pPr>
              <w:tabs>
                <w:tab w:val="decimal" w:pos="885"/>
              </w:tabs>
              <w:ind w:left="-108"/>
            </w:pPr>
            <w:r w:rsidRPr="00002C01">
              <w:t>1</w:t>
            </w:r>
            <w:r w:rsidR="00002C01" w:rsidRPr="00002C01">
              <w:t>36</w:t>
            </w:r>
            <w:r w:rsidRPr="00002C01">
              <w:t>,</w:t>
            </w:r>
            <w:r w:rsidR="00002C01" w:rsidRPr="00002C01">
              <w:t>247</w:t>
            </w:r>
          </w:p>
        </w:tc>
      </w:tr>
      <w:tr w:rsidR="00565458" w:rsidRPr="00C328EF" w14:paraId="62DB3B5C" w14:textId="77777777" w:rsidTr="00381C19">
        <w:tc>
          <w:tcPr>
            <w:tcW w:w="2552" w:type="dxa"/>
          </w:tcPr>
          <w:p w14:paraId="7789921F" w14:textId="77777777" w:rsidR="00565458" w:rsidRPr="00C328EF" w:rsidRDefault="00565458" w:rsidP="00565458">
            <w:pPr>
              <w:jc w:val="both"/>
              <w:rPr>
                <w:highlight w:val="yellow"/>
              </w:rPr>
            </w:pPr>
          </w:p>
        </w:tc>
        <w:tc>
          <w:tcPr>
            <w:tcW w:w="567" w:type="dxa"/>
            <w:gridSpan w:val="2"/>
          </w:tcPr>
          <w:p w14:paraId="73B7AC17" w14:textId="77777777" w:rsidR="00565458" w:rsidRPr="00C328EF" w:rsidRDefault="00565458" w:rsidP="00565458">
            <w:pPr>
              <w:tabs>
                <w:tab w:val="decimal" w:pos="942"/>
              </w:tabs>
              <w:jc w:val="both"/>
              <w:rPr>
                <w:highlight w:val="yellow"/>
              </w:rPr>
            </w:pPr>
          </w:p>
        </w:tc>
        <w:tc>
          <w:tcPr>
            <w:tcW w:w="1134" w:type="dxa"/>
            <w:gridSpan w:val="3"/>
          </w:tcPr>
          <w:p w14:paraId="6851DFDF" w14:textId="77777777" w:rsidR="00565458" w:rsidRPr="00B65C0A" w:rsidRDefault="00565458" w:rsidP="00565458">
            <w:pPr>
              <w:tabs>
                <w:tab w:val="decimal" w:pos="885"/>
              </w:tabs>
              <w:ind w:left="-108"/>
            </w:pPr>
            <w:r w:rsidRPr="00B65C0A">
              <w:t>═══════</w:t>
            </w:r>
          </w:p>
        </w:tc>
        <w:tc>
          <w:tcPr>
            <w:tcW w:w="1134" w:type="dxa"/>
          </w:tcPr>
          <w:p w14:paraId="28064F0C" w14:textId="77777777" w:rsidR="00565458" w:rsidRPr="00B65C0A" w:rsidRDefault="00565458" w:rsidP="00565458">
            <w:pPr>
              <w:tabs>
                <w:tab w:val="decimal" w:pos="885"/>
              </w:tabs>
              <w:ind w:left="-108"/>
            </w:pPr>
            <w:r w:rsidRPr="00B65C0A">
              <w:t>═══════</w:t>
            </w:r>
          </w:p>
        </w:tc>
        <w:tc>
          <w:tcPr>
            <w:tcW w:w="1134" w:type="dxa"/>
          </w:tcPr>
          <w:p w14:paraId="15133B74" w14:textId="77777777" w:rsidR="00565458" w:rsidRPr="00B65C0A" w:rsidRDefault="00565458" w:rsidP="00565458">
            <w:pPr>
              <w:tabs>
                <w:tab w:val="decimal" w:pos="885"/>
              </w:tabs>
              <w:ind w:left="-108"/>
            </w:pPr>
            <w:r w:rsidRPr="00B65C0A">
              <w:t>═══════</w:t>
            </w:r>
          </w:p>
        </w:tc>
        <w:tc>
          <w:tcPr>
            <w:tcW w:w="1134" w:type="dxa"/>
          </w:tcPr>
          <w:p w14:paraId="1DDC9E8B" w14:textId="77777777" w:rsidR="00565458" w:rsidRPr="00B65C0A" w:rsidRDefault="00565458" w:rsidP="00565458">
            <w:pPr>
              <w:tabs>
                <w:tab w:val="decimal" w:pos="885"/>
              </w:tabs>
              <w:ind w:left="-108"/>
            </w:pPr>
            <w:r w:rsidRPr="00B65C0A">
              <w:t>═══════</w:t>
            </w:r>
          </w:p>
        </w:tc>
        <w:tc>
          <w:tcPr>
            <w:tcW w:w="1134" w:type="dxa"/>
          </w:tcPr>
          <w:p w14:paraId="33BB0653" w14:textId="77777777" w:rsidR="00565458" w:rsidRPr="00B65C0A" w:rsidRDefault="00565458" w:rsidP="00565458">
            <w:pPr>
              <w:tabs>
                <w:tab w:val="decimal" w:pos="885"/>
              </w:tabs>
              <w:ind w:left="-108"/>
            </w:pPr>
            <w:r w:rsidRPr="00B65C0A">
              <w:t>═══════</w:t>
            </w:r>
          </w:p>
        </w:tc>
        <w:tc>
          <w:tcPr>
            <w:tcW w:w="1276" w:type="dxa"/>
          </w:tcPr>
          <w:p w14:paraId="28EE711A" w14:textId="77777777" w:rsidR="00565458" w:rsidRPr="00B65C0A" w:rsidRDefault="00565458" w:rsidP="00565458">
            <w:pPr>
              <w:tabs>
                <w:tab w:val="decimal" w:pos="885"/>
              </w:tabs>
              <w:ind w:left="-108"/>
            </w:pPr>
            <w:r w:rsidRPr="00B65C0A">
              <w:t>═══════</w:t>
            </w:r>
          </w:p>
        </w:tc>
        <w:tc>
          <w:tcPr>
            <w:tcW w:w="1134" w:type="dxa"/>
          </w:tcPr>
          <w:p w14:paraId="5E75A8D7" w14:textId="77777777" w:rsidR="00565458" w:rsidRPr="00002C01" w:rsidRDefault="00565458" w:rsidP="00565458">
            <w:pPr>
              <w:tabs>
                <w:tab w:val="decimal" w:pos="885"/>
              </w:tabs>
              <w:ind w:left="-108"/>
            </w:pPr>
            <w:r w:rsidRPr="00002C01">
              <w:t>═══════</w:t>
            </w:r>
          </w:p>
        </w:tc>
      </w:tr>
    </w:tbl>
    <w:p w14:paraId="0F8130E9" w14:textId="77777777" w:rsidR="00E91380" w:rsidRPr="00C328EF" w:rsidRDefault="00E91380" w:rsidP="001D2383">
      <w:pPr>
        <w:spacing w:after="120"/>
        <w:rPr>
          <w:highlight w:val="yellow"/>
        </w:rPr>
      </w:pPr>
    </w:p>
    <w:p w14:paraId="6A3E111D" w14:textId="77777777" w:rsidR="00917454" w:rsidRDefault="00917454" w:rsidP="001D2383">
      <w:pPr>
        <w:spacing w:after="120"/>
        <w:rPr>
          <w:highlight w:val="yellow"/>
        </w:rPr>
      </w:pPr>
    </w:p>
    <w:p w14:paraId="6A2387C2" w14:textId="77777777" w:rsidR="0062231D" w:rsidRPr="008D25F6" w:rsidRDefault="0062231D" w:rsidP="001D2383">
      <w:pPr>
        <w:spacing w:after="120"/>
      </w:pPr>
    </w:p>
    <w:p w14:paraId="701C11D6" w14:textId="08450177" w:rsidR="00D1188F" w:rsidRPr="00C328EF" w:rsidRDefault="00D1188F" w:rsidP="00D1188F">
      <w:pPr>
        <w:spacing w:after="120"/>
        <w:jc w:val="center"/>
        <w:rPr>
          <w:highlight w:val="yellow"/>
        </w:rPr>
      </w:pPr>
      <w:r w:rsidRPr="008D25F6">
        <w:t>The accompanying notes on pages 3</w:t>
      </w:r>
      <w:r w:rsidR="00853FE2">
        <w:t>7</w:t>
      </w:r>
      <w:r w:rsidRPr="008D25F6">
        <w:t xml:space="preserve"> to 7</w:t>
      </w:r>
      <w:r w:rsidR="00853FE2">
        <w:t>2</w:t>
      </w:r>
      <w:r w:rsidRPr="008D25F6">
        <w:t xml:space="preserve"> form part of these financial</w:t>
      </w:r>
      <w:r w:rsidRPr="0025317F">
        <w:t xml:space="preserve"> statements</w:t>
      </w:r>
    </w:p>
    <w:p w14:paraId="7FE54250" w14:textId="77777777" w:rsidR="007F51CA" w:rsidRPr="001073FE" w:rsidRDefault="007F51CA" w:rsidP="007F51CA">
      <w:pPr>
        <w:jc w:val="center"/>
        <w:rPr>
          <w:b/>
        </w:rPr>
      </w:pPr>
      <w:r>
        <w:br w:type="page"/>
      </w:r>
      <w:r w:rsidRPr="001073FE">
        <w:rPr>
          <w:b/>
        </w:rPr>
        <w:lastRenderedPageBreak/>
        <w:t>TRANSPORT FOR EDINBURGH LIMITED</w:t>
      </w:r>
    </w:p>
    <w:p w14:paraId="192DF5C5" w14:textId="77777777" w:rsidR="007F51CA" w:rsidRPr="001073FE" w:rsidRDefault="007F51CA" w:rsidP="007F51CA">
      <w:pPr>
        <w:jc w:val="center"/>
        <w:rPr>
          <w:b/>
        </w:rPr>
      </w:pPr>
    </w:p>
    <w:p w14:paraId="133A400A" w14:textId="77777777" w:rsidR="007F51CA" w:rsidRPr="001073FE" w:rsidRDefault="00CD7F7E" w:rsidP="007F51CA">
      <w:pPr>
        <w:jc w:val="center"/>
        <w:rPr>
          <w:b/>
        </w:rPr>
      </w:pPr>
      <w:r>
        <w:rPr>
          <w:b/>
        </w:rPr>
        <w:t xml:space="preserve">Parent </w:t>
      </w:r>
      <w:r w:rsidR="007F51CA" w:rsidRPr="001073FE">
        <w:rPr>
          <w:b/>
        </w:rPr>
        <w:t>Co</w:t>
      </w:r>
      <w:r w:rsidR="007F51CA">
        <w:rPr>
          <w:b/>
        </w:rPr>
        <w:t>mpany</w:t>
      </w:r>
      <w:r w:rsidR="007F51CA" w:rsidRPr="001073FE">
        <w:rPr>
          <w:b/>
        </w:rPr>
        <w:t xml:space="preserve"> Statement of Changes in Equity</w:t>
      </w:r>
    </w:p>
    <w:p w14:paraId="3CB77F53" w14:textId="77777777" w:rsidR="007F51CA" w:rsidRPr="001073FE" w:rsidRDefault="007F51CA" w:rsidP="007F51CA">
      <w:pPr>
        <w:jc w:val="center"/>
        <w:rPr>
          <w:b/>
        </w:rPr>
      </w:pPr>
    </w:p>
    <w:p w14:paraId="669C55C3" w14:textId="77777777" w:rsidR="007F51CA" w:rsidRPr="001073FE" w:rsidRDefault="007F51CA" w:rsidP="007F51CA">
      <w:pPr>
        <w:jc w:val="center"/>
        <w:rPr>
          <w:b/>
        </w:rPr>
      </w:pPr>
      <w:r>
        <w:rPr>
          <w:b/>
        </w:rPr>
        <w:t>For the period ended</w:t>
      </w:r>
      <w:r w:rsidRPr="001073FE">
        <w:rPr>
          <w:b/>
        </w:rPr>
        <w:t xml:space="preserve"> </w:t>
      </w:r>
      <w:r>
        <w:rPr>
          <w:b/>
        </w:rPr>
        <w:t>28</w:t>
      </w:r>
      <w:r w:rsidRPr="001073FE">
        <w:rPr>
          <w:b/>
        </w:rPr>
        <w:t xml:space="preserve"> December 2024</w:t>
      </w:r>
    </w:p>
    <w:p w14:paraId="1693060A" w14:textId="77777777" w:rsidR="007F51CA" w:rsidRPr="001073FE" w:rsidRDefault="007F51CA" w:rsidP="007F51CA">
      <w:pPr>
        <w:spacing w:after="120"/>
        <w:jc w:val="center"/>
      </w:pPr>
    </w:p>
    <w:tbl>
      <w:tblPr>
        <w:tblW w:w="16303" w:type="dxa"/>
        <w:tblInd w:w="-601" w:type="dxa"/>
        <w:tblLayout w:type="fixed"/>
        <w:tblLook w:val="0000" w:firstRow="0" w:lastRow="0" w:firstColumn="0" w:lastColumn="0" w:noHBand="0" w:noVBand="0"/>
      </w:tblPr>
      <w:tblGrid>
        <w:gridCol w:w="2552"/>
        <w:gridCol w:w="567"/>
        <w:gridCol w:w="1134"/>
        <w:gridCol w:w="1134"/>
        <w:gridCol w:w="1134"/>
        <w:gridCol w:w="1134"/>
        <w:gridCol w:w="1134"/>
        <w:gridCol w:w="1276"/>
        <w:gridCol w:w="1134"/>
        <w:gridCol w:w="1276"/>
        <w:gridCol w:w="1276"/>
        <w:gridCol w:w="1276"/>
        <w:gridCol w:w="1276"/>
      </w:tblGrid>
      <w:tr w:rsidR="007F51CA" w:rsidRPr="001073FE" w14:paraId="08366D6E" w14:textId="77777777" w:rsidTr="00C36B43">
        <w:trPr>
          <w:gridAfter w:val="4"/>
          <w:wAfter w:w="5104" w:type="dxa"/>
        </w:trPr>
        <w:tc>
          <w:tcPr>
            <w:tcW w:w="2552" w:type="dxa"/>
          </w:tcPr>
          <w:p w14:paraId="215B6C33" w14:textId="77777777" w:rsidR="007F51CA" w:rsidRPr="001073FE" w:rsidRDefault="007F51CA" w:rsidP="00C36B43">
            <w:pPr>
              <w:jc w:val="center"/>
              <w:rPr>
                <w:b/>
              </w:rPr>
            </w:pPr>
          </w:p>
        </w:tc>
        <w:tc>
          <w:tcPr>
            <w:tcW w:w="567" w:type="dxa"/>
          </w:tcPr>
          <w:p w14:paraId="4B52ADB4" w14:textId="77777777" w:rsidR="007F51CA" w:rsidRPr="001073FE" w:rsidRDefault="007F51CA" w:rsidP="00C36B43">
            <w:pPr>
              <w:jc w:val="right"/>
              <w:rPr>
                <w:b/>
              </w:rPr>
            </w:pPr>
          </w:p>
        </w:tc>
        <w:tc>
          <w:tcPr>
            <w:tcW w:w="1134" w:type="dxa"/>
          </w:tcPr>
          <w:p w14:paraId="3DDEAFAD" w14:textId="77777777" w:rsidR="007F51CA" w:rsidRPr="001073FE" w:rsidRDefault="007F51CA" w:rsidP="00C36B43">
            <w:pPr>
              <w:suppressAutoHyphens/>
              <w:ind w:right="138"/>
              <w:jc w:val="center"/>
              <w:rPr>
                <w:rFonts w:cs="Arial"/>
                <w:b/>
                <w:spacing w:val="-2"/>
              </w:rPr>
            </w:pPr>
          </w:p>
          <w:p w14:paraId="23065F29" w14:textId="77777777" w:rsidR="007F51CA" w:rsidRPr="001073FE" w:rsidRDefault="007F51CA" w:rsidP="00C36B43">
            <w:pPr>
              <w:suppressAutoHyphens/>
              <w:ind w:right="-108"/>
              <w:jc w:val="center"/>
              <w:rPr>
                <w:rFonts w:cs="Arial"/>
                <w:b/>
                <w:spacing w:val="-2"/>
              </w:rPr>
            </w:pPr>
            <w:r w:rsidRPr="001073FE">
              <w:rPr>
                <w:rFonts w:cs="Arial"/>
                <w:b/>
                <w:spacing w:val="-2"/>
              </w:rPr>
              <w:t>Share</w:t>
            </w:r>
          </w:p>
          <w:p w14:paraId="467D5D2B" w14:textId="77777777" w:rsidR="007F51CA" w:rsidRPr="001073FE" w:rsidRDefault="007F51CA" w:rsidP="00C36B43">
            <w:pPr>
              <w:suppressAutoHyphens/>
              <w:ind w:right="-108"/>
              <w:jc w:val="center"/>
              <w:rPr>
                <w:rFonts w:cs="Arial"/>
                <w:b/>
                <w:spacing w:val="-2"/>
              </w:rPr>
            </w:pPr>
            <w:r w:rsidRPr="001073FE">
              <w:rPr>
                <w:rFonts w:cs="Arial"/>
                <w:b/>
                <w:spacing w:val="-2"/>
              </w:rPr>
              <w:t>Capital</w:t>
            </w:r>
          </w:p>
        </w:tc>
        <w:tc>
          <w:tcPr>
            <w:tcW w:w="1134" w:type="dxa"/>
          </w:tcPr>
          <w:p w14:paraId="526C1A14" w14:textId="77777777" w:rsidR="007F51CA" w:rsidRPr="001073FE" w:rsidRDefault="007F51CA" w:rsidP="00C36B43">
            <w:pPr>
              <w:suppressAutoHyphens/>
              <w:ind w:right="138"/>
              <w:jc w:val="center"/>
              <w:rPr>
                <w:rFonts w:cs="Arial"/>
                <w:b/>
                <w:spacing w:val="-2"/>
              </w:rPr>
            </w:pPr>
          </w:p>
          <w:p w14:paraId="18315AD8" w14:textId="77777777" w:rsidR="007F51CA" w:rsidRPr="001073FE" w:rsidRDefault="007F51CA" w:rsidP="00C36B43">
            <w:pPr>
              <w:suppressAutoHyphens/>
              <w:ind w:left="-108" w:right="-108"/>
              <w:jc w:val="center"/>
              <w:rPr>
                <w:rFonts w:cs="Arial"/>
                <w:b/>
                <w:spacing w:val="-2"/>
              </w:rPr>
            </w:pPr>
            <w:r w:rsidRPr="001073FE">
              <w:rPr>
                <w:rFonts w:cs="Arial"/>
                <w:b/>
                <w:spacing w:val="-2"/>
              </w:rPr>
              <w:t>Revaluation Reserve</w:t>
            </w:r>
          </w:p>
        </w:tc>
        <w:tc>
          <w:tcPr>
            <w:tcW w:w="1134" w:type="dxa"/>
          </w:tcPr>
          <w:p w14:paraId="3876C153" w14:textId="77777777" w:rsidR="007F51CA" w:rsidRPr="001073FE" w:rsidRDefault="007F51CA" w:rsidP="00C36B43">
            <w:pPr>
              <w:suppressAutoHyphens/>
              <w:ind w:right="138"/>
              <w:jc w:val="center"/>
              <w:rPr>
                <w:rFonts w:cs="Arial"/>
                <w:b/>
                <w:spacing w:val="-2"/>
              </w:rPr>
            </w:pPr>
          </w:p>
          <w:p w14:paraId="3EE3511D" w14:textId="77777777" w:rsidR="007F51CA" w:rsidRPr="001073FE" w:rsidRDefault="007F51CA" w:rsidP="00C36B43">
            <w:pPr>
              <w:suppressAutoHyphens/>
              <w:ind w:right="34"/>
              <w:jc w:val="center"/>
              <w:rPr>
                <w:rFonts w:cs="Arial"/>
                <w:b/>
                <w:spacing w:val="-2"/>
              </w:rPr>
            </w:pPr>
            <w:r w:rsidRPr="001073FE">
              <w:rPr>
                <w:rFonts w:cs="Arial"/>
                <w:b/>
                <w:spacing w:val="-2"/>
              </w:rPr>
              <w:t>Other Reserves</w:t>
            </w:r>
          </w:p>
        </w:tc>
        <w:tc>
          <w:tcPr>
            <w:tcW w:w="1134" w:type="dxa"/>
          </w:tcPr>
          <w:p w14:paraId="31AB95B6" w14:textId="77777777" w:rsidR="007F51CA" w:rsidRPr="001073FE" w:rsidRDefault="007F51CA" w:rsidP="00C36B43">
            <w:pPr>
              <w:suppressAutoHyphens/>
              <w:ind w:right="138"/>
              <w:jc w:val="center"/>
              <w:rPr>
                <w:rFonts w:cs="Arial"/>
                <w:b/>
                <w:spacing w:val="-2"/>
              </w:rPr>
            </w:pPr>
          </w:p>
          <w:p w14:paraId="1E9B283B" w14:textId="77777777" w:rsidR="007F51CA" w:rsidRPr="001073FE" w:rsidRDefault="007F51CA" w:rsidP="00C36B43">
            <w:pPr>
              <w:suppressAutoHyphens/>
              <w:jc w:val="center"/>
              <w:rPr>
                <w:rFonts w:cs="Arial"/>
                <w:b/>
                <w:spacing w:val="-2"/>
              </w:rPr>
            </w:pPr>
            <w:r w:rsidRPr="001073FE">
              <w:rPr>
                <w:rFonts w:cs="Arial"/>
                <w:b/>
                <w:spacing w:val="-2"/>
              </w:rPr>
              <w:t>Retained</w:t>
            </w:r>
          </w:p>
          <w:p w14:paraId="4163335B" w14:textId="77777777" w:rsidR="007F51CA" w:rsidRPr="001073FE" w:rsidRDefault="007F51CA" w:rsidP="00C36B43">
            <w:pPr>
              <w:suppressAutoHyphens/>
              <w:jc w:val="center"/>
              <w:rPr>
                <w:rFonts w:cs="Arial"/>
                <w:b/>
                <w:spacing w:val="-2"/>
              </w:rPr>
            </w:pPr>
            <w:r w:rsidRPr="001073FE">
              <w:rPr>
                <w:rFonts w:cs="Arial"/>
                <w:b/>
                <w:spacing w:val="-2"/>
              </w:rPr>
              <w:t>Earnings</w:t>
            </w:r>
          </w:p>
        </w:tc>
        <w:tc>
          <w:tcPr>
            <w:tcW w:w="1134" w:type="dxa"/>
          </w:tcPr>
          <w:p w14:paraId="15B5EE52" w14:textId="77777777" w:rsidR="007F51CA" w:rsidRPr="001073FE" w:rsidRDefault="007F51CA" w:rsidP="00C36B43">
            <w:pPr>
              <w:suppressAutoHyphens/>
              <w:ind w:right="138"/>
              <w:jc w:val="center"/>
              <w:rPr>
                <w:rFonts w:cs="Arial"/>
                <w:b/>
                <w:spacing w:val="-2"/>
              </w:rPr>
            </w:pPr>
          </w:p>
          <w:p w14:paraId="7F848578" w14:textId="77777777" w:rsidR="007F51CA" w:rsidRPr="001073FE" w:rsidRDefault="007F51CA" w:rsidP="00C36B43">
            <w:pPr>
              <w:suppressAutoHyphens/>
              <w:jc w:val="center"/>
              <w:rPr>
                <w:rFonts w:cs="Arial"/>
                <w:b/>
                <w:spacing w:val="-2"/>
              </w:rPr>
            </w:pPr>
            <w:r w:rsidRPr="001073FE">
              <w:rPr>
                <w:rFonts w:cs="Arial"/>
                <w:b/>
                <w:spacing w:val="-2"/>
              </w:rPr>
              <w:t>Hedging Reserve</w:t>
            </w:r>
          </w:p>
        </w:tc>
        <w:tc>
          <w:tcPr>
            <w:tcW w:w="1276" w:type="dxa"/>
          </w:tcPr>
          <w:p w14:paraId="1A0149F4" w14:textId="77777777" w:rsidR="007F51CA" w:rsidRPr="001073FE" w:rsidRDefault="007F51CA" w:rsidP="00C36B43">
            <w:pPr>
              <w:tabs>
                <w:tab w:val="left" w:pos="1026"/>
              </w:tabs>
              <w:suppressAutoHyphens/>
              <w:jc w:val="center"/>
              <w:rPr>
                <w:rFonts w:cs="Arial"/>
                <w:b/>
                <w:spacing w:val="-2"/>
              </w:rPr>
            </w:pPr>
            <w:r w:rsidRPr="001073FE">
              <w:rPr>
                <w:rFonts w:cs="Arial"/>
                <w:b/>
                <w:spacing w:val="-2"/>
              </w:rPr>
              <w:t>Non-controlling Interest</w:t>
            </w:r>
          </w:p>
        </w:tc>
        <w:tc>
          <w:tcPr>
            <w:tcW w:w="1134" w:type="dxa"/>
          </w:tcPr>
          <w:p w14:paraId="3E7EC4C5" w14:textId="77777777" w:rsidR="007F51CA" w:rsidRPr="001073FE" w:rsidRDefault="007F51CA" w:rsidP="00C36B43">
            <w:pPr>
              <w:suppressAutoHyphens/>
              <w:ind w:right="138"/>
              <w:jc w:val="center"/>
              <w:rPr>
                <w:rFonts w:cs="Arial"/>
                <w:b/>
                <w:spacing w:val="-2"/>
              </w:rPr>
            </w:pPr>
          </w:p>
          <w:p w14:paraId="204F9D13" w14:textId="77777777" w:rsidR="007F51CA" w:rsidRPr="001073FE" w:rsidRDefault="007F51CA" w:rsidP="00C36B43">
            <w:pPr>
              <w:suppressAutoHyphens/>
              <w:ind w:right="138"/>
              <w:jc w:val="center"/>
              <w:rPr>
                <w:rFonts w:cs="Arial"/>
                <w:b/>
                <w:spacing w:val="-2"/>
              </w:rPr>
            </w:pPr>
          </w:p>
          <w:p w14:paraId="29499DC6" w14:textId="77777777" w:rsidR="007F51CA" w:rsidRPr="001073FE" w:rsidRDefault="007F51CA" w:rsidP="00C36B43">
            <w:pPr>
              <w:suppressAutoHyphens/>
              <w:ind w:left="113"/>
              <w:jc w:val="center"/>
              <w:rPr>
                <w:rFonts w:cs="Arial"/>
                <w:b/>
                <w:spacing w:val="-2"/>
              </w:rPr>
            </w:pPr>
            <w:r w:rsidRPr="001073FE">
              <w:rPr>
                <w:rFonts w:cs="Arial"/>
                <w:b/>
                <w:spacing w:val="-2"/>
              </w:rPr>
              <w:t>Total</w:t>
            </w:r>
          </w:p>
        </w:tc>
      </w:tr>
      <w:tr w:rsidR="007F51CA" w:rsidRPr="001073FE" w14:paraId="02527093" w14:textId="77777777" w:rsidTr="00C36B43">
        <w:trPr>
          <w:gridAfter w:val="4"/>
          <w:wAfter w:w="5104" w:type="dxa"/>
        </w:trPr>
        <w:tc>
          <w:tcPr>
            <w:tcW w:w="2552" w:type="dxa"/>
          </w:tcPr>
          <w:p w14:paraId="2B10C6CA" w14:textId="77777777" w:rsidR="007F51CA" w:rsidRPr="001073FE" w:rsidRDefault="007F51CA" w:rsidP="00C36B43">
            <w:pPr>
              <w:jc w:val="center"/>
              <w:rPr>
                <w:b/>
              </w:rPr>
            </w:pPr>
          </w:p>
        </w:tc>
        <w:tc>
          <w:tcPr>
            <w:tcW w:w="567" w:type="dxa"/>
          </w:tcPr>
          <w:p w14:paraId="3DA70534" w14:textId="77777777" w:rsidR="007F51CA" w:rsidRPr="001073FE" w:rsidRDefault="007F51CA" w:rsidP="00C36B43">
            <w:pPr>
              <w:ind w:left="-108" w:right="-250"/>
              <w:rPr>
                <w:b/>
              </w:rPr>
            </w:pPr>
            <w:r w:rsidRPr="001073FE">
              <w:rPr>
                <w:b/>
              </w:rPr>
              <w:t>Note</w:t>
            </w:r>
          </w:p>
        </w:tc>
        <w:tc>
          <w:tcPr>
            <w:tcW w:w="1134" w:type="dxa"/>
          </w:tcPr>
          <w:p w14:paraId="4B7F8337" w14:textId="77777777" w:rsidR="007F51CA" w:rsidRPr="001073FE" w:rsidRDefault="007F51CA" w:rsidP="00C36B43">
            <w:pPr>
              <w:suppressAutoHyphens/>
              <w:ind w:right="138"/>
              <w:jc w:val="right"/>
              <w:rPr>
                <w:rFonts w:cs="Arial"/>
                <w:b/>
                <w:spacing w:val="-2"/>
              </w:rPr>
            </w:pPr>
            <w:r w:rsidRPr="001073FE">
              <w:rPr>
                <w:rFonts w:cs="Arial"/>
                <w:b/>
                <w:spacing w:val="-2"/>
              </w:rPr>
              <w:t>£’000</w:t>
            </w:r>
          </w:p>
        </w:tc>
        <w:tc>
          <w:tcPr>
            <w:tcW w:w="1134" w:type="dxa"/>
          </w:tcPr>
          <w:p w14:paraId="75D9C153" w14:textId="77777777" w:rsidR="007F51CA" w:rsidRPr="001073FE" w:rsidRDefault="007F51CA" w:rsidP="00C36B43">
            <w:pPr>
              <w:suppressAutoHyphens/>
              <w:ind w:right="138"/>
              <w:jc w:val="right"/>
              <w:rPr>
                <w:rFonts w:cs="Arial"/>
                <w:b/>
                <w:spacing w:val="-2"/>
              </w:rPr>
            </w:pPr>
            <w:r w:rsidRPr="001073FE">
              <w:rPr>
                <w:rFonts w:cs="Arial"/>
                <w:b/>
                <w:spacing w:val="-2"/>
              </w:rPr>
              <w:t>£’000</w:t>
            </w:r>
          </w:p>
        </w:tc>
        <w:tc>
          <w:tcPr>
            <w:tcW w:w="1134" w:type="dxa"/>
          </w:tcPr>
          <w:p w14:paraId="3DDA8005" w14:textId="77777777" w:rsidR="007F51CA" w:rsidRPr="001073FE" w:rsidRDefault="007F51CA" w:rsidP="00C36B43">
            <w:pPr>
              <w:suppressAutoHyphens/>
              <w:ind w:right="138"/>
              <w:jc w:val="right"/>
              <w:rPr>
                <w:rFonts w:cs="Arial"/>
                <w:b/>
                <w:spacing w:val="-2"/>
              </w:rPr>
            </w:pPr>
            <w:r w:rsidRPr="001073FE">
              <w:rPr>
                <w:rFonts w:cs="Arial"/>
                <w:b/>
                <w:spacing w:val="-2"/>
              </w:rPr>
              <w:t>£’000</w:t>
            </w:r>
          </w:p>
        </w:tc>
        <w:tc>
          <w:tcPr>
            <w:tcW w:w="1134" w:type="dxa"/>
          </w:tcPr>
          <w:p w14:paraId="026E04D4" w14:textId="77777777" w:rsidR="007F51CA" w:rsidRPr="001073FE" w:rsidRDefault="007F51CA" w:rsidP="00C36B43">
            <w:pPr>
              <w:suppressAutoHyphens/>
              <w:ind w:right="138"/>
              <w:jc w:val="right"/>
              <w:rPr>
                <w:rFonts w:cs="Arial"/>
                <w:b/>
                <w:spacing w:val="-2"/>
              </w:rPr>
            </w:pPr>
            <w:r w:rsidRPr="001073FE">
              <w:rPr>
                <w:rFonts w:cs="Arial"/>
                <w:b/>
                <w:spacing w:val="-2"/>
              </w:rPr>
              <w:t>£’000</w:t>
            </w:r>
          </w:p>
        </w:tc>
        <w:tc>
          <w:tcPr>
            <w:tcW w:w="1134" w:type="dxa"/>
          </w:tcPr>
          <w:p w14:paraId="51BBF7A8" w14:textId="77777777" w:rsidR="007F51CA" w:rsidRPr="001073FE" w:rsidRDefault="007F51CA" w:rsidP="00C36B43">
            <w:pPr>
              <w:suppressAutoHyphens/>
              <w:ind w:right="138"/>
              <w:jc w:val="right"/>
              <w:rPr>
                <w:rFonts w:cs="Arial"/>
                <w:b/>
                <w:spacing w:val="-2"/>
              </w:rPr>
            </w:pPr>
            <w:r w:rsidRPr="001073FE">
              <w:rPr>
                <w:rFonts w:cs="Arial"/>
                <w:b/>
                <w:spacing w:val="-2"/>
              </w:rPr>
              <w:t>£’000</w:t>
            </w:r>
          </w:p>
        </w:tc>
        <w:tc>
          <w:tcPr>
            <w:tcW w:w="1276" w:type="dxa"/>
          </w:tcPr>
          <w:p w14:paraId="3318BC2E" w14:textId="77777777" w:rsidR="007F51CA" w:rsidRPr="001073FE" w:rsidRDefault="007F51CA" w:rsidP="00C36B43">
            <w:pPr>
              <w:suppressAutoHyphens/>
              <w:ind w:right="138"/>
              <w:jc w:val="right"/>
              <w:rPr>
                <w:rFonts w:cs="Arial"/>
                <w:b/>
                <w:spacing w:val="-2"/>
              </w:rPr>
            </w:pPr>
            <w:r w:rsidRPr="001073FE">
              <w:rPr>
                <w:rFonts w:cs="Arial"/>
                <w:b/>
                <w:spacing w:val="-2"/>
              </w:rPr>
              <w:t>£’000</w:t>
            </w:r>
          </w:p>
        </w:tc>
        <w:tc>
          <w:tcPr>
            <w:tcW w:w="1134" w:type="dxa"/>
          </w:tcPr>
          <w:p w14:paraId="56F7FA84" w14:textId="77777777" w:rsidR="007F51CA" w:rsidRPr="001073FE" w:rsidRDefault="007F51CA" w:rsidP="00C36B43">
            <w:pPr>
              <w:suppressAutoHyphens/>
              <w:ind w:right="138"/>
              <w:jc w:val="right"/>
              <w:rPr>
                <w:rFonts w:cs="Arial"/>
                <w:b/>
                <w:spacing w:val="-2"/>
              </w:rPr>
            </w:pPr>
            <w:r w:rsidRPr="001073FE">
              <w:rPr>
                <w:rFonts w:cs="Arial"/>
                <w:b/>
                <w:spacing w:val="-2"/>
              </w:rPr>
              <w:t>£’000</w:t>
            </w:r>
          </w:p>
        </w:tc>
      </w:tr>
      <w:tr w:rsidR="007F51CA" w:rsidRPr="001073FE" w14:paraId="6D5494F6" w14:textId="77777777" w:rsidTr="00C36B43">
        <w:trPr>
          <w:gridAfter w:val="4"/>
          <w:wAfter w:w="5104" w:type="dxa"/>
        </w:trPr>
        <w:tc>
          <w:tcPr>
            <w:tcW w:w="2552" w:type="dxa"/>
          </w:tcPr>
          <w:p w14:paraId="2FB569FB" w14:textId="77777777" w:rsidR="007F51CA" w:rsidRPr="001073FE" w:rsidRDefault="00280580" w:rsidP="00C36B43">
            <w:r>
              <w:rPr>
                <w:b/>
              </w:rPr>
              <w:t>Company</w:t>
            </w:r>
          </w:p>
        </w:tc>
        <w:tc>
          <w:tcPr>
            <w:tcW w:w="567" w:type="dxa"/>
          </w:tcPr>
          <w:p w14:paraId="5DAF8CF6" w14:textId="77777777" w:rsidR="007F51CA" w:rsidRPr="001073FE" w:rsidRDefault="007F51CA" w:rsidP="00C36B43">
            <w:pPr>
              <w:jc w:val="both"/>
            </w:pPr>
          </w:p>
        </w:tc>
        <w:tc>
          <w:tcPr>
            <w:tcW w:w="1134" w:type="dxa"/>
          </w:tcPr>
          <w:p w14:paraId="32BFB4DA" w14:textId="77777777" w:rsidR="007F51CA" w:rsidRPr="001073FE" w:rsidRDefault="007F51CA" w:rsidP="00C36B43">
            <w:pPr>
              <w:ind w:right="204" w:firstLine="86"/>
              <w:jc w:val="both"/>
            </w:pPr>
            <w:r w:rsidRPr="001073FE">
              <w:t xml:space="preserve">    </w:t>
            </w:r>
          </w:p>
        </w:tc>
        <w:tc>
          <w:tcPr>
            <w:tcW w:w="1134" w:type="dxa"/>
          </w:tcPr>
          <w:p w14:paraId="7F89CFDB" w14:textId="77777777" w:rsidR="007F51CA" w:rsidRPr="001073FE" w:rsidRDefault="007F51CA" w:rsidP="00C36B43">
            <w:pPr>
              <w:ind w:right="72" w:firstLine="48"/>
              <w:jc w:val="both"/>
            </w:pPr>
          </w:p>
        </w:tc>
        <w:tc>
          <w:tcPr>
            <w:tcW w:w="1134" w:type="dxa"/>
          </w:tcPr>
          <w:p w14:paraId="64F7FB65" w14:textId="77777777" w:rsidR="007F51CA" w:rsidRPr="001073FE" w:rsidRDefault="007F51CA" w:rsidP="00C36B43">
            <w:pPr>
              <w:ind w:right="72" w:firstLine="48"/>
              <w:jc w:val="both"/>
            </w:pPr>
          </w:p>
        </w:tc>
        <w:tc>
          <w:tcPr>
            <w:tcW w:w="1134" w:type="dxa"/>
          </w:tcPr>
          <w:p w14:paraId="18742ED4" w14:textId="77777777" w:rsidR="007F51CA" w:rsidRPr="001073FE" w:rsidRDefault="007F51CA" w:rsidP="00C36B43">
            <w:pPr>
              <w:ind w:left="140" w:right="204"/>
              <w:jc w:val="both"/>
            </w:pPr>
          </w:p>
        </w:tc>
        <w:tc>
          <w:tcPr>
            <w:tcW w:w="1134" w:type="dxa"/>
          </w:tcPr>
          <w:p w14:paraId="3C354C63" w14:textId="77777777" w:rsidR="007F51CA" w:rsidRPr="001073FE" w:rsidRDefault="007F51CA" w:rsidP="00C36B43">
            <w:pPr>
              <w:jc w:val="both"/>
            </w:pPr>
          </w:p>
        </w:tc>
        <w:tc>
          <w:tcPr>
            <w:tcW w:w="1276" w:type="dxa"/>
          </w:tcPr>
          <w:p w14:paraId="63C055D8" w14:textId="77777777" w:rsidR="007F51CA" w:rsidRPr="001073FE" w:rsidRDefault="007F51CA" w:rsidP="00C36B43">
            <w:pPr>
              <w:jc w:val="both"/>
            </w:pPr>
          </w:p>
        </w:tc>
        <w:tc>
          <w:tcPr>
            <w:tcW w:w="1134" w:type="dxa"/>
          </w:tcPr>
          <w:p w14:paraId="64AA1E2D" w14:textId="77777777" w:rsidR="007F51CA" w:rsidRPr="001073FE" w:rsidRDefault="007F51CA" w:rsidP="00C36B43">
            <w:pPr>
              <w:ind w:right="1799"/>
              <w:jc w:val="both"/>
            </w:pPr>
          </w:p>
        </w:tc>
      </w:tr>
      <w:tr w:rsidR="007F51CA" w:rsidRPr="00C328EF" w14:paraId="53C053F3" w14:textId="77777777" w:rsidTr="00C36B43">
        <w:trPr>
          <w:gridAfter w:val="4"/>
          <w:wAfter w:w="5104" w:type="dxa"/>
        </w:trPr>
        <w:tc>
          <w:tcPr>
            <w:tcW w:w="2552" w:type="dxa"/>
          </w:tcPr>
          <w:p w14:paraId="60E3A1CB" w14:textId="77777777" w:rsidR="007F51CA" w:rsidRPr="00B65C0A" w:rsidRDefault="007F51CA" w:rsidP="00C36B43">
            <w:pPr>
              <w:rPr>
                <w:b/>
              </w:rPr>
            </w:pPr>
            <w:r w:rsidRPr="00B65C0A">
              <w:rPr>
                <w:b/>
              </w:rPr>
              <w:t>Balance at 1 January 2023</w:t>
            </w:r>
          </w:p>
        </w:tc>
        <w:tc>
          <w:tcPr>
            <w:tcW w:w="567" w:type="dxa"/>
          </w:tcPr>
          <w:p w14:paraId="17C2CF7A" w14:textId="77777777" w:rsidR="007F51CA" w:rsidRPr="004E6DE4" w:rsidRDefault="007F51CA" w:rsidP="00C36B43">
            <w:pPr>
              <w:tabs>
                <w:tab w:val="decimal" w:pos="942"/>
              </w:tabs>
              <w:jc w:val="both"/>
            </w:pPr>
          </w:p>
        </w:tc>
        <w:tc>
          <w:tcPr>
            <w:tcW w:w="1134" w:type="dxa"/>
          </w:tcPr>
          <w:p w14:paraId="279E2FEC" w14:textId="77777777" w:rsidR="007F51CA" w:rsidRPr="004E6DE4" w:rsidRDefault="007F51CA" w:rsidP="00C36B43">
            <w:pPr>
              <w:tabs>
                <w:tab w:val="decimal" w:pos="885"/>
              </w:tabs>
              <w:ind w:left="-108"/>
            </w:pPr>
          </w:p>
          <w:p w14:paraId="7AA137D7" w14:textId="77777777" w:rsidR="007F51CA" w:rsidRPr="004E6DE4" w:rsidRDefault="007F51CA" w:rsidP="00C36B43">
            <w:pPr>
              <w:tabs>
                <w:tab w:val="decimal" w:pos="885"/>
              </w:tabs>
              <w:ind w:left="-108"/>
            </w:pPr>
            <w:r>
              <w:t>4</w:t>
            </w:r>
            <w:r w:rsidRPr="004E6DE4">
              <w:t>1,878</w:t>
            </w:r>
          </w:p>
        </w:tc>
        <w:tc>
          <w:tcPr>
            <w:tcW w:w="1134" w:type="dxa"/>
          </w:tcPr>
          <w:p w14:paraId="15E81B69" w14:textId="77777777" w:rsidR="007F51CA" w:rsidRPr="004E6DE4" w:rsidRDefault="007F51CA" w:rsidP="00C36B43">
            <w:pPr>
              <w:tabs>
                <w:tab w:val="decimal" w:pos="885"/>
              </w:tabs>
              <w:ind w:left="-108"/>
            </w:pPr>
          </w:p>
          <w:p w14:paraId="047038A1" w14:textId="77777777" w:rsidR="007F51CA" w:rsidRPr="004E6DE4" w:rsidRDefault="007F51CA" w:rsidP="00C36B43">
            <w:pPr>
              <w:tabs>
                <w:tab w:val="decimal" w:pos="885"/>
              </w:tabs>
              <w:ind w:left="-108"/>
            </w:pPr>
            <w:r w:rsidRPr="004E6DE4">
              <w:t>-</w:t>
            </w:r>
          </w:p>
        </w:tc>
        <w:tc>
          <w:tcPr>
            <w:tcW w:w="1134" w:type="dxa"/>
          </w:tcPr>
          <w:p w14:paraId="603935C7" w14:textId="77777777" w:rsidR="007F51CA" w:rsidRPr="004E6DE4" w:rsidRDefault="007F51CA" w:rsidP="00C36B43">
            <w:pPr>
              <w:tabs>
                <w:tab w:val="decimal" w:pos="885"/>
              </w:tabs>
              <w:ind w:left="-108"/>
            </w:pPr>
          </w:p>
          <w:p w14:paraId="0DD10377" w14:textId="77777777" w:rsidR="007F51CA" w:rsidRPr="004E6DE4" w:rsidRDefault="007F51CA" w:rsidP="00C36B43">
            <w:pPr>
              <w:tabs>
                <w:tab w:val="decimal" w:pos="885"/>
              </w:tabs>
              <w:ind w:left="-108"/>
            </w:pPr>
            <w:r w:rsidRPr="004E6DE4">
              <w:t>-</w:t>
            </w:r>
          </w:p>
        </w:tc>
        <w:tc>
          <w:tcPr>
            <w:tcW w:w="1134" w:type="dxa"/>
          </w:tcPr>
          <w:p w14:paraId="267E9C7C" w14:textId="77777777" w:rsidR="007F51CA" w:rsidRPr="004E6DE4" w:rsidRDefault="007F51CA" w:rsidP="00C36B43">
            <w:pPr>
              <w:tabs>
                <w:tab w:val="decimal" w:pos="885"/>
              </w:tabs>
              <w:ind w:left="-108"/>
            </w:pPr>
          </w:p>
          <w:p w14:paraId="624619FC" w14:textId="77777777" w:rsidR="007F51CA" w:rsidRPr="004E6DE4" w:rsidRDefault="007F51CA" w:rsidP="00C36B43">
            <w:pPr>
              <w:tabs>
                <w:tab w:val="decimal" w:pos="885"/>
              </w:tabs>
              <w:ind w:left="-108"/>
            </w:pPr>
            <w:r>
              <w:t>(35,446)</w:t>
            </w:r>
          </w:p>
        </w:tc>
        <w:tc>
          <w:tcPr>
            <w:tcW w:w="1134" w:type="dxa"/>
          </w:tcPr>
          <w:p w14:paraId="365FC9B1" w14:textId="77777777" w:rsidR="007F51CA" w:rsidRPr="004E6DE4" w:rsidRDefault="007F51CA" w:rsidP="00C36B43">
            <w:pPr>
              <w:tabs>
                <w:tab w:val="decimal" w:pos="885"/>
              </w:tabs>
              <w:ind w:left="-108"/>
            </w:pPr>
          </w:p>
          <w:p w14:paraId="13C9496B" w14:textId="77777777" w:rsidR="007F51CA" w:rsidRPr="004E6DE4" w:rsidRDefault="00280580" w:rsidP="00C36B43">
            <w:pPr>
              <w:tabs>
                <w:tab w:val="decimal" w:pos="885"/>
              </w:tabs>
              <w:ind w:left="-108"/>
            </w:pPr>
            <w:r w:rsidRPr="004E6DE4">
              <w:t>-</w:t>
            </w:r>
          </w:p>
        </w:tc>
        <w:tc>
          <w:tcPr>
            <w:tcW w:w="1276" w:type="dxa"/>
          </w:tcPr>
          <w:p w14:paraId="2C12579A" w14:textId="77777777" w:rsidR="007F51CA" w:rsidRPr="004E6DE4" w:rsidRDefault="007F51CA" w:rsidP="00C36B43">
            <w:pPr>
              <w:tabs>
                <w:tab w:val="decimal" w:pos="885"/>
              </w:tabs>
              <w:ind w:left="-108"/>
            </w:pPr>
          </w:p>
          <w:p w14:paraId="56B77E98" w14:textId="77777777" w:rsidR="007F51CA" w:rsidRPr="004E6DE4" w:rsidRDefault="00280580" w:rsidP="00C36B43">
            <w:pPr>
              <w:tabs>
                <w:tab w:val="decimal" w:pos="885"/>
              </w:tabs>
              <w:ind w:left="-108"/>
            </w:pPr>
            <w:r w:rsidRPr="004E6DE4">
              <w:t>-</w:t>
            </w:r>
          </w:p>
        </w:tc>
        <w:tc>
          <w:tcPr>
            <w:tcW w:w="1134" w:type="dxa"/>
          </w:tcPr>
          <w:p w14:paraId="58806A47" w14:textId="77777777" w:rsidR="007F51CA" w:rsidRPr="004E6DE4" w:rsidRDefault="007F51CA" w:rsidP="00C36B43">
            <w:pPr>
              <w:tabs>
                <w:tab w:val="decimal" w:pos="885"/>
              </w:tabs>
              <w:ind w:left="-108"/>
            </w:pPr>
          </w:p>
          <w:p w14:paraId="517A168F" w14:textId="77777777" w:rsidR="007F51CA" w:rsidRPr="004E6DE4" w:rsidRDefault="00280580" w:rsidP="00C36B43">
            <w:pPr>
              <w:tabs>
                <w:tab w:val="decimal" w:pos="885"/>
              </w:tabs>
              <w:ind w:left="-108"/>
            </w:pPr>
            <w:r>
              <w:t>6,432</w:t>
            </w:r>
          </w:p>
        </w:tc>
      </w:tr>
      <w:tr w:rsidR="007F51CA" w:rsidRPr="00C328EF" w14:paraId="4609DFC9" w14:textId="77777777" w:rsidTr="00C36B43">
        <w:trPr>
          <w:trHeight w:val="249"/>
        </w:trPr>
        <w:tc>
          <w:tcPr>
            <w:tcW w:w="2552" w:type="dxa"/>
          </w:tcPr>
          <w:p w14:paraId="14616F9D" w14:textId="77777777" w:rsidR="007F51CA" w:rsidRPr="00B65C0A" w:rsidRDefault="007F51CA" w:rsidP="00C36B43">
            <w:r w:rsidRPr="00B65C0A">
              <w:rPr>
                <w:b/>
              </w:rPr>
              <w:t>Comprehensive income/(expense)</w:t>
            </w:r>
          </w:p>
        </w:tc>
        <w:tc>
          <w:tcPr>
            <w:tcW w:w="567" w:type="dxa"/>
          </w:tcPr>
          <w:p w14:paraId="7903A7CF" w14:textId="77777777" w:rsidR="007F51CA" w:rsidRPr="00C328EF" w:rsidRDefault="007F51CA" w:rsidP="00C36B43">
            <w:pPr>
              <w:tabs>
                <w:tab w:val="decimal" w:pos="942"/>
              </w:tabs>
              <w:jc w:val="both"/>
              <w:rPr>
                <w:highlight w:val="yellow"/>
              </w:rPr>
            </w:pPr>
          </w:p>
        </w:tc>
        <w:tc>
          <w:tcPr>
            <w:tcW w:w="1134" w:type="dxa"/>
          </w:tcPr>
          <w:p w14:paraId="1C499EDF" w14:textId="77777777" w:rsidR="007F51CA" w:rsidRPr="00C328EF" w:rsidRDefault="007F51CA" w:rsidP="00C36B43">
            <w:pPr>
              <w:tabs>
                <w:tab w:val="decimal" w:pos="885"/>
              </w:tabs>
              <w:ind w:left="-108"/>
              <w:rPr>
                <w:highlight w:val="yellow"/>
              </w:rPr>
            </w:pPr>
          </w:p>
        </w:tc>
        <w:tc>
          <w:tcPr>
            <w:tcW w:w="1134" w:type="dxa"/>
          </w:tcPr>
          <w:p w14:paraId="4F608F6D" w14:textId="77777777" w:rsidR="007F51CA" w:rsidRPr="00C328EF" w:rsidRDefault="007F51CA" w:rsidP="00C36B43">
            <w:pPr>
              <w:tabs>
                <w:tab w:val="decimal" w:pos="885"/>
              </w:tabs>
              <w:ind w:left="-108"/>
              <w:rPr>
                <w:highlight w:val="yellow"/>
              </w:rPr>
            </w:pPr>
          </w:p>
        </w:tc>
        <w:tc>
          <w:tcPr>
            <w:tcW w:w="1134" w:type="dxa"/>
          </w:tcPr>
          <w:p w14:paraId="466B2E33" w14:textId="77777777" w:rsidR="007F51CA" w:rsidRPr="00C328EF" w:rsidRDefault="007F51CA" w:rsidP="00C36B43">
            <w:pPr>
              <w:tabs>
                <w:tab w:val="decimal" w:pos="885"/>
              </w:tabs>
              <w:ind w:left="-108"/>
              <w:rPr>
                <w:highlight w:val="yellow"/>
              </w:rPr>
            </w:pPr>
          </w:p>
        </w:tc>
        <w:tc>
          <w:tcPr>
            <w:tcW w:w="1134" w:type="dxa"/>
          </w:tcPr>
          <w:p w14:paraId="18D8400F" w14:textId="77777777" w:rsidR="007F51CA" w:rsidRPr="00C328EF" w:rsidRDefault="007F51CA" w:rsidP="00C36B43">
            <w:pPr>
              <w:tabs>
                <w:tab w:val="decimal" w:pos="885"/>
              </w:tabs>
              <w:ind w:left="-108"/>
              <w:rPr>
                <w:highlight w:val="yellow"/>
              </w:rPr>
            </w:pPr>
          </w:p>
        </w:tc>
        <w:tc>
          <w:tcPr>
            <w:tcW w:w="1134" w:type="dxa"/>
          </w:tcPr>
          <w:p w14:paraId="3B1E37A5" w14:textId="77777777" w:rsidR="007F51CA" w:rsidRPr="00C328EF" w:rsidRDefault="007F51CA" w:rsidP="00C36B43">
            <w:pPr>
              <w:tabs>
                <w:tab w:val="decimal" w:pos="885"/>
              </w:tabs>
              <w:ind w:left="-108"/>
              <w:rPr>
                <w:highlight w:val="yellow"/>
              </w:rPr>
            </w:pPr>
          </w:p>
        </w:tc>
        <w:tc>
          <w:tcPr>
            <w:tcW w:w="1276" w:type="dxa"/>
          </w:tcPr>
          <w:p w14:paraId="114997A0" w14:textId="77777777" w:rsidR="007F51CA" w:rsidRPr="00C328EF" w:rsidRDefault="007F51CA" w:rsidP="00C36B43">
            <w:pPr>
              <w:tabs>
                <w:tab w:val="decimal" w:pos="885"/>
              </w:tabs>
              <w:ind w:left="-108"/>
              <w:rPr>
                <w:highlight w:val="yellow"/>
              </w:rPr>
            </w:pPr>
          </w:p>
        </w:tc>
        <w:tc>
          <w:tcPr>
            <w:tcW w:w="1134" w:type="dxa"/>
          </w:tcPr>
          <w:p w14:paraId="4F4A9111" w14:textId="77777777" w:rsidR="007F51CA" w:rsidRPr="00C328EF" w:rsidRDefault="007F51CA" w:rsidP="00C36B43">
            <w:pPr>
              <w:tabs>
                <w:tab w:val="decimal" w:pos="885"/>
              </w:tabs>
              <w:ind w:left="-108"/>
              <w:rPr>
                <w:highlight w:val="yellow"/>
              </w:rPr>
            </w:pPr>
          </w:p>
        </w:tc>
        <w:tc>
          <w:tcPr>
            <w:tcW w:w="1276" w:type="dxa"/>
          </w:tcPr>
          <w:p w14:paraId="7AAC1F00" w14:textId="77777777" w:rsidR="007F51CA" w:rsidRPr="00C328EF" w:rsidRDefault="007F51CA" w:rsidP="00C36B43">
            <w:pPr>
              <w:tabs>
                <w:tab w:val="decimal" w:pos="885"/>
              </w:tabs>
              <w:ind w:left="-108"/>
              <w:rPr>
                <w:highlight w:val="yellow"/>
              </w:rPr>
            </w:pPr>
            <w:r w:rsidRPr="00C328EF">
              <w:rPr>
                <w:highlight w:val="yellow"/>
              </w:rPr>
              <w:t>-</w:t>
            </w:r>
          </w:p>
        </w:tc>
        <w:tc>
          <w:tcPr>
            <w:tcW w:w="1276" w:type="dxa"/>
          </w:tcPr>
          <w:p w14:paraId="382E3D6F" w14:textId="77777777" w:rsidR="007F51CA" w:rsidRPr="00C328EF" w:rsidRDefault="007F51CA" w:rsidP="00C36B43">
            <w:pPr>
              <w:tabs>
                <w:tab w:val="decimal" w:pos="885"/>
              </w:tabs>
              <w:ind w:left="-108"/>
              <w:rPr>
                <w:highlight w:val="yellow"/>
              </w:rPr>
            </w:pPr>
            <w:r w:rsidRPr="00C328EF">
              <w:rPr>
                <w:highlight w:val="yellow"/>
              </w:rPr>
              <w:t>-</w:t>
            </w:r>
          </w:p>
        </w:tc>
        <w:tc>
          <w:tcPr>
            <w:tcW w:w="1276" w:type="dxa"/>
          </w:tcPr>
          <w:p w14:paraId="60F79DAB" w14:textId="77777777" w:rsidR="007F51CA" w:rsidRPr="00C328EF" w:rsidRDefault="007F51CA" w:rsidP="00C36B43">
            <w:pPr>
              <w:tabs>
                <w:tab w:val="decimal" w:pos="885"/>
              </w:tabs>
              <w:ind w:left="-108"/>
              <w:rPr>
                <w:highlight w:val="yellow"/>
              </w:rPr>
            </w:pPr>
            <w:r w:rsidRPr="00C328EF">
              <w:rPr>
                <w:highlight w:val="yellow"/>
              </w:rPr>
              <w:t>-</w:t>
            </w:r>
          </w:p>
        </w:tc>
        <w:tc>
          <w:tcPr>
            <w:tcW w:w="1276" w:type="dxa"/>
          </w:tcPr>
          <w:p w14:paraId="16689ADD" w14:textId="77777777" w:rsidR="007F51CA" w:rsidRPr="00C328EF" w:rsidRDefault="007F51CA" w:rsidP="00C36B43">
            <w:pPr>
              <w:tabs>
                <w:tab w:val="decimal" w:pos="884"/>
              </w:tabs>
              <w:ind w:left="-108"/>
              <w:rPr>
                <w:highlight w:val="yellow"/>
              </w:rPr>
            </w:pPr>
            <w:r w:rsidRPr="00C328EF">
              <w:rPr>
                <w:highlight w:val="yellow"/>
              </w:rPr>
              <w:t>-</w:t>
            </w:r>
          </w:p>
        </w:tc>
      </w:tr>
      <w:tr w:rsidR="007F51CA" w:rsidRPr="00C328EF" w14:paraId="6C3A08DA" w14:textId="77777777" w:rsidTr="00C36B43">
        <w:trPr>
          <w:gridAfter w:val="4"/>
          <w:wAfter w:w="5104" w:type="dxa"/>
        </w:trPr>
        <w:tc>
          <w:tcPr>
            <w:tcW w:w="2552" w:type="dxa"/>
          </w:tcPr>
          <w:p w14:paraId="03DAF126" w14:textId="77777777" w:rsidR="007F51CA" w:rsidRPr="00B65C0A" w:rsidRDefault="00280580" w:rsidP="00C36B43">
            <w:r>
              <w:t>Loss</w:t>
            </w:r>
            <w:r w:rsidR="007F51CA" w:rsidRPr="00B65C0A">
              <w:t xml:space="preserve"> for the </w:t>
            </w:r>
            <w:r w:rsidR="007F51CA">
              <w:t>period</w:t>
            </w:r>
          </w:p>
        </w:tc>
        <w:tc>
          <w:tcPr>
            <w:tcW w:w="567" w:type="dxa"/>
          </w:tcPr>
          <w:p w14:paraId="0161EB17" w14:textId="77777777" w:rsidR="007F51CA" w:rsidRPr="004E6DE4" w:rsidRDefault="007F51CA" w:rsidP="00C36B43">
            <w:pPr>
              <w:tabs>
                <w:tab w:val="decimal" w:pos="942"/>
              </w:tabs>
              <w:jc w:val="both"/>
            </w:pPr>
          </w:p>
        </w:tc>
        <w:tc>
          <w:tcPr>
            <w:tcW w:w="1134" w:type="dxa"/>
          </w:tcPr>
          <w:p w14:paraId="2484923F" w14:textId="77777777" w:rsidR="007F51CA" w:rsidRPr="004E6DE4" w:rsidRDefault="007F51CA" w:rsidP="00C36B43">
            <w:pPr>
              <w:tabs>
                <w:tab w:val="decimal" w:pos="885"/>
              </w:tabs>
              <w:ind w:left="-108"/>
            </w:pPr>
            <w:r w:rsidRPr="004E6DE4">
              <w:t>-</w:t>
            </w:r>
          </w:p>
        </w:tc>
        <w:tc>
          <w:tcPr>
            <w:tcW w:w="1134" w:type="dxa"/>
          </w:tcPr>
          <w:p w14:paraId="0CEB39E8" w14:textId="77777777" w:rsidR="007F51CA" w:rsidRPr="004E6DE4" w:rsidRDefault="007F51CA" w:rsidP="00C36B43">
            <w:pPr>
              <w:tabs>
                <w:tab w:val="decimal" w:pos="885"/>
              </w:tabs>
              <w:ind w:left="-108"/>
            </w:pPr>
            <w:r w:rsidRPr="004E6DE4">
              <w:t>-</w:t>
            </w:r>
          </w:p>
        </w:tc>
        <w:tc>
          <w:tcPr>
            <w:tcW w:w="1134" w:type="dxa"/>
          </w:tcPr>
          <w:p w14:paraId="37192F0B" w14:textId="77777777" w:rsidR="007F51CA" w:rsidRPr="004E6DE4" w:rsidRDefault="007F51CA" w:rsidP="00C36B43">
            <w:pPr>
              <w:tabs>
                <w:tab w:val="decimal" w:pos="885"/>
              </w:tabs>
              <w:ind w:left="-108"/>
            </w:pPr>
            <w:r w:rsidRPr="004E6DE4">
              <w:t>-</w:t>
            </w:r>
          </w:p>
        </w:tc>
        <w:tc>
          <w:tcPr>
            <w:tcW w:w="1134" w:type="dxa"/>
          </w:tcPr>
          <w:p w14:paraId="5C2E8C34" w14:textId="77777777" w:rsidR="007F51CA" w:rsidRPr="004E6DE4" w:rsidRDefault="00280580" w:rsidP="00C36B43">
            <w:pPr>
              <w:tabs>
                <w:tab w:val="decimal" w:pos="885"/>
              </w:tabs>
              <w:ind w:left="-108"/>
            </w:pPr>
            <w:r>
              <w:t>(9,219)</w:t>
            </w:r>
          </w:p>
        </w:tc>
        <w:tc>
          <w:tcPr>
            <w:tcW w:w="1134" w:type="dxa"/>
          </w:tcPr>
          <w:p w14:paraId="00C588E7" w14:textId="77777777" w:rsidR="007F51CA" w:rsidRPr="004E6DE4" w:rsidRDefault="007F51CA" w:rsidP="00C36B43">
            <w:pPr>
              <w:tabs>
                <w:tab w:val="decimal" w:pos="885"/>
              </w:tabs>
              <w:ind w:left="-108"/>
            </w:pPr>
            <w:r w:rsidRPr="004E6DE4">
              <w:t>-</w:t>
            </w:r>
          </w:p>
        </w:tc>
        <w:tc>
          <w:tcPr>
            <w:tcW w:w="1276" w:type="dxa"/>
          </w:tcPr>
          <w:p w14:paraId="3521A983" w14:textId="77777777" w:rsidR="007F51CA" w:rsidRPr="004E6DE4" w:rsidRDefault="00280580" w:rsidP="00C36B43">
            <w:pPr>
              <w:tabs>
                <w:tab w:val="decimal" w:pos="885"/>
              </w:tabs>
              <w:ind w:left="-108"/>
            </w:pPr>
            <w:r w:rsidRPr="004E6DE4">
              <w:t>-</w:t>
            </w:r>
          </w:p>
        </w:tc>
        <w:tc>
          <w:tcPr>
            <w:tcW w:w="1134" w:type="dxa"/>
          </w:tcPr>
          <w:p w14:paraId="6770C4C8" w14:textId="77777777" w:rsidR="007F51CA" w:rsidRPr="004E6DE4" w:rsidRDefault="00280580" w:rsidP="00C36B43">
            <w:pPr>
              <w:tabs>
                <w:tab w:val="decimal" w:pos="885"/>
              </w:tabs>
              <w:ind w:left="-108"/>
            </w:pPr>
            <w:r>
              <w:t>(9,219)</w:t>
            </w:r>
          </w:p>
        </w:tc>
      </w:tr>
      <w:tr w:rsidR="007F51CA" w:rsidRPr="00C328EF" w14:paraId="66281ED6" w14:textId="77777777" w:rsidTr="00C36B43">
        <w:trPr>
          <w:gridAfter w:val="4"/>
          <w:wAfter w:w="5104" w:type="dxa"/>
        </w:trPr>
        <w:tc>
          <w:tcPr>
            <w:tcW w:w="2552" w:type="dxa"/>
          </w:tcPr>
          <w:p w14:paraId="097293C7" w14:textId="77777777" w:rsidR="007F51CA" w:rsidRPr="00C328EF" w:rsidRDefault="007F51CA" w:rsidP="00C36B43">
            <w:pPr>
              <w:rPr>
                <w:highlight w:val="yellow"/>
              </w:rPr>
            </w:pPr>
            <w:r w:rsidRPr="004E6DE4">
              <w:rPr>
                <w:b/>
              </w:rPr>
              <w:t>Other comprehensive income/(expense)</w:t>
            </w:r>
          </w:p>
        </w:tc>
        <w:tc>
          <w:tcPr>
            <w:tcW w:w="567" w:type="dxa"/>
          </w:tcPr>
          <w:p w14:paraId="0B9BE115" w14:textId="77777777" w:rsidR="007F51CA" w:rsidRPr="00C328EF" w:rsidRDefault="007F51CA" w:rsidP="00C36B43">
            <w:pPr>
              <w:tabs>
                <w:tab w:val="decimal" w:pos="942"/>
              </w:tabs>
              <w:jc w:val="both"/>
              <w:rPr>
                <w:highlight w:val="yellow"/>
              </w:rPr>
            </w:pPr>
          </w:p>
        </w:tc>
        <w:tc>
          <w:tcPr>
            <w:tcW w:w="1134" w:type="dxa"/>
          </w:tcPr>
          <w:p w14:paraId="7616A769" w14:textId="77777777" w:rsidR="007F51CA" w:rsidRPr="00C328EF" w:rsidRDefault="007F51CA" w:rsidP="00C36B43">
            <w:pPr>
              <w:tabs>
                <w:tab w:val="decimal" w:pos="885"/>
              </w:tabs>
              <w:ind w:left="-108"/>
              <w:rPr>
                <w:highlight w:val="yellow"/>
              </w:rPr>
            </w:pPr>
          </w:p>
        </w:tc>
        <w:tc>
          <w:tcPr>
            <w:tcW w:w="1134" w:type="dxa"/>
          </w:tcPr>
          <w:p w14:paraId="5E215D9B" w14:textId="77777777" w:rsidR="007F51CA" w:rsidRPr="00C328EF" w:rsidRDefault="007F51CA" w:rsidP="00C36B43">
            <w:pPr>
              <w:tabs>
                <w:tab w:val="decimal" w:pos="885"/>
              </w:tabs>
              <w:ind w:left="-108"/>
              <w:rPr>
                <w:highlight w:val="yellow"/>
              </w:rPr>
            </w:pPr>
          </w:p>
        </w:tc>
        <w:tc>
          <w:tcPr>
            <w:tcW w:w="1134" w:type="dxa"/>
          </w:tcPr>
          <w:p w14:paraId="4110E3E4" w14:textId="77777777" w:rsidR="007F51CA" w:rsidRPr="00C328EF" w:rsidRDefault="007F51CA" w:rsidP="00C36B43">
            <w:pPr>
              <w:tabs>
                <w:tab w:val="decimal" w:pos="885"/>
              </w:tabs>
              <w:ind w:left="-108"/>
              <w:rPr>
                <w:highlight w:val="yellow"/>
              </w:rPr>
            </w:pPr>
          </w:p>
        </w:tc>
        <w:tc>
          <w:tcPr>
            <w:tcW w:w="1134" w:type="dxa"/>
          </w:tcPr>
          <w:p w14:paraId="400380D6" w14:textId="77777777" w:rsidR="007F51CA" w:rsidRPr="00C328EF" w:rsidRDefault="007F51CA" w:rsidP="00C36B43">
            <w:pPr>
              <w:tabs>
                <w:tab w:val="decimal" w:pos="885"/>
              </w:tabs>
              <w:ind w:left="-108"/>
              <w:rPr>
                <w:highlight w:val="yellow"/>
              </w:rPr>
            </w:pPr>
          </w:p>
        </w:tc>
        <w:tc>
          <w:tcPr>
            <w:tcW w:w="1134" w:type="dxa"/>
          </w:tcPr>
          <w:p w14:paraId="617277DE" w14:textId="77777777" w:rsidR="007F51CA" w:rsidRPr="00C328EF" w:rsidRDefault="007F51CA" w:rsidP="00C36B43">
            <w:pPr>
              <w:tabs>
                <w:tab w:val="decimal" w:pos="885"/>
              </w:tabs>
              <w:ind w:left="-108"/>
              <w:rPr>
                <w:highlight w:val="yellow"/>
              </w:rPr>
            </w:pPr>
          </w:p>
        </w:tc>
        <w:tc>
          <w:tcPr>
            <w:tcW w:w="1276" w:type="dxa"/>
          </w:tcPr>
          <w:p w14:paraId="7F6D6F96" w14:textId="77777777" w:rsidR="007F51CA" w:rsidRPr="00C328EF" w:rsidRDefault="007F51CA" w:rsidP="00C36B43">
            <w:pPr>
              <w:tabs>
                <w:tab w:val="decimal" w:pos="885"/>
              </w:tabs>
              <w:ind w:left="-108"/>
              <w:rPr>
                <w:highlight w:val="yellow"/>
              </w:rPr>
            </w:pPr>
          </w:p>
        </w:tc>
        <w:tc>
          <w:tcPr>
            <w:tcW w:w="1134" w:type="dxa"/>
          </w:tcPr>
          <w:p w14:paraId="245EDBEF" w14:textId="77777777" w:rsidR="007F51CA" w:rsidRPr="00C328EF" w:rsidRDefault="007F51CA" w:rsidP="00C36B43">
            <w:pPr>
              <w:tabs>
                <w:tab w:val="decimal" w:pos="885"/>
              </w:tabs>
              <w:ind w:left="-108"/>
              <w:rPr>
                <w:highlight w:val="yellow"/>
              </w:rPr>
            </w:pPr>
          </w:p>
        </w:tc>
      </w:tr>
      <w:tr w:rsidR="007F51CA" w:rsidRPr="00C328EF" w14:paraId="6D0BE688" w14:textId="77777777" w:rsidTr="00C36B43">
        <w:trPr>
          <w:gridAfter w:val="4"/>
          <w:wAfter w:w="5104" w:type="dxa"/>
        </w:trPr>
        <w:tc>
          <w:tcPr>
            <w:tcW w:w="2552" w:type="dxa"/>
          </w:tcPr>
          <w:p w14:paraId="2C33EEBB" w14:textId="77777777" w:rsidR="007F51CA" w:rsidRPr="004E6DE4" w:rsidRDefault="007F51CA" w:rsidP="00C36B43">
            <w:r w:rsidRPr="004E6DE4">
              <w:t>Actuarial gain on pension plan</w:t>
            </w:r>
          </w:p>
        </w:tc>
        <w:tc>
          <w:tcPr>
            <w:tcW w:w="567" w:type="dxa"/>
          </w:tcPr>
          <w:p w14:paraId="5F5A407E" w14:textId="77777777" w:rsidR="007F51CA" w:rsidRPr="00F80503" w:rsidRDefault="007F51CA" w:rsidP="00C36B43">
            <w:pPr>
              <w:jc w:val="center"/>
            </w:pPr>
          </w:p>
          <w:p w14:paraId="24690355" w14:textId="77777777" w:rsidR="007F51CA" w:rsidRPr="00F80503" w:rsidRDefault="007F51CA" w:rsidP="00C36B43">
            <w:pPr>
              <w:jc w:val="center"/>
            </w:pPr>
          </w:p>
        </w:tc>
        <w:tc>
          <w:tcPr>
            <w:tcW w:w="1134" w:type="dxa"/>
          </w:tcPr>
          <w:p w14:paraId="6BB19A62" w14:textId="77777777" w:rsidR="007F51CA" w:rsidRPr="00F80503" w:rsidRDefault="007F51CA" w:rsidP="00C36B43">
            <w:pPr>
              <w:tabs>
                <w:tab w:val="decimal" w:pos="885"/>
              </w:tabs>
              <w:ind w:left="-108"/>
            </w:pPr>
          </w:p>
          <w:p w14:paraId="177C9EE2" w14:textId="77777777" w:rsidR="007F51CA" w:rsidRPr="00F80503" w:rsidRDefault="007F51CA" w:rsidP="00C36B43">
            <w:pPr>
              <w:tabs>
                <w:tab w:val="decimal" w:pos="885"/>
              </w:tabs>
              <w:ind w:left="-108"/>
            </w:pPr>
            <w:r w:rsidRPr="00F80503">
              <w:t>-</w:t>
            </w:r>
          </w:p>
        </w:tc>
        <w:tc>
          <w:tcPr>
            <w:tcW w:w="1134" w:type="dxa"/>
          </w:tcPr>
          <w:p w14:paraId="22E8128E" w14:textId="77777777" w:rsidR="007F51CA" w:rsidRPr="004E6DE4" w:rsidRDefault="007F51CA" w:rsidP="00C36B43">
            <w:pPr>
              <w:tabs>
                <w:tab w:val="decimal" w:pos="885"/>
              </w:tabs>
              <w:ind w:left="-108"/>
            </w:pPr>
          </w:p>
          <w:p w14:paraId="3C1C8BE1" w14:textId="77777777" w:rsidR="007F51CA" w:rsidRPr="004E6DE4" w:rsidRDefault="007F51CA" w:rsidP="00C36B43">
            <w:pPr>
              <w:tabs>
                <w:tab w:val="decimal" w:pos="885"/>
              </w:tabs>
              <w:ind w:left="-108"/>
            </w:pPr>
            <w:r w:rsidRPr="004E6DE4">
              <w:t>-</w:t>
            </w:r>
          </w:p>
        </w:tc>
        <w:tc>
          <w:tcPr>
            <w:tcW w:w="1134" w:type="dxa"/>
          </w:tcPr>
          <w:p w14:paraId="2E2F1CB8" w14:textId="77777777" w:rsidR="007F51CA" w:rsidRPr="004E6DE4" w:rsidRDefault="007F51CA" w:rsidP="00C36B43">
            <w:pPr>
              <w:tabs>
                <w:tab w:val="decimal" w:pos="885"/>
              </w:tabs>
              <w:ind w:left="-108"/>
            </w:pPr>
          </w:p>
          <w:p w14:paraId="606D7A7C" w14:textId="77777777" w:rsidR="007F51CA" w:rsidRPr="004E6DE4" w:rsidRDefault="007F51CA" w:rsidP="00C36B43">
            <w:pPr>
              <w:tabs>
                <w:tab w:val="decimal" w:pos="885"/>
              </w:tabs>
              <w:ind w:left="-108"/>
            </w:pPr>
            <w:r w:rsidRPr="004E6DE4">
              <w:t>-</w:t>
            </w:r>
          </w:p>
        </w:tc>
        <w:tc>
          <w:tcPr>
            <w:tcW w:w="1134" w:type="dxa"/>
          </w:tcPr>
          <w:p w14:paraId="6300D75D" w14:textId="77777777" w:rsidR="007F51CA" w:rsidRPr="004E6DE4" w:rsidRDefault="007F51CA" w:rsidP="00C36B43">
            <w:pPr>
              <w:tabs>
                <w:tab w:val="decimal" w:pos="885"/>
              </w:tabs>
              <w:ind w:left="-108"/>
            </w:pPr>
          </w:p>
          <w:p w14:paraId="3252EF57" w14:textId="77777777" w:rsidR="007F51CA" w:rsidRPr="004E6DE4" w:rsidRDefault="00280580" w:rsidP="00C36B43">
            <w:pPr>
              <w:tabs>
                <w:tab w:val="decimal" w:pos="885"/>
              </w:tabs>
              <w:ind w:left="-108"/>
            </w:pPr>
            <w:r w:rsidRPr="004E6DE4">
              <w:t>-</w:t>
            </w:r>
          </w:p>
        </w:tc>
        <w:tc>
          <w:tcPr>
            <w:tcW w:w="1134" w:type="dxa"/>
          </w:tcPr>
          <w:p w14:paraId="32B4AD4E" w14:textId="77777777" w:rsidR="007F51CA" w:rsidRPr="004E6DE4" w:rsidRDefault="007F51CA" w:rsidP="00C36B43">
            <w:pPr>
              <w:tabs>
                <w:tab w:val="decimal" w:pos="885"/>
              </w:tabs>
              <w:ind w:left="-108"/>
            </w:pPr>
          </w:p>
          <w:p w14:paraId="586954DD" w14:textId="77777777" w:rsidR="007F51CA" w:rsidRPr="004E6DE4" w:rsidRDefault="007F51CA" w:rsidP="00C36B43">
            <w:pPr>
              <w:tabs>
                <w:tab w:val="decimal" w:pos="885"/>
              </w:tabs>
              <w:ind w:left="-108"/>
            </w:pPr>
            <w:r w:rsidRPr="004E6DE4">
              <w:t>-</w:t>
            </w:r>
          </w:p>
        </w:tc>
        <w:tc>
          <w:tcPr>
            <w:tcW w:w="1276" w:type="dxa"/>
          </w:tcPr>
          <w:p w14:paraId="5BE97FB8" w14:textId="77777777" w:rsidR="007F51CA" w:rsidRPr="004E6DE4" w:rsidRDefault="007F51CA" w:rsidP="00C36B43">
            <w:pPr>
              <w:tabs>
                <w:tab w:val="decimal" w:pos="885"/>
              </w:tabs>
              <w:ind w:left="-108"/>
            </w:pPr>
          </w:p>
          <w:p w14:paraId="27D5A317" w14:textId="77777777" w:rsidR="007F51CA" w:rsidRPr="004E6DE4" w:rsidRDefault="00280580" w:rsidP="00C36B43">
            <w:pPr>
              <w:tabs>
                <w:tab w:val="decimal" w:pos="885"/>
              </w:tabs>
              <w:ind w:left="-108"/>
            </w:pPr>
            <w:r w:rsidRPr="004E6DE4">
              <w:t>-</w:t>
            </w:r>
          </w:p>
        </w:tc>
        <w:tc>
          <w:tcPr>
            <w:tcW w:w="1134" w:type="dxa"/>
          </w:tcPr>
          <w:p w14:paraId="49DE7CC0" w14:textId="77777777" w:rsidR="007F51CA" w:rsidRPr="004E6DE4" w:rsidRDefault="007F51CA" w:rsidP="00C36B43">
            <w:pPr>
              <w:tabs>
                <w:tab w:val="decimal" w:pos="885"/>
              </w:tabs>
              <w:ind w:left="-108"/>
            </w:pPr>
          </w:p>
          <w:p w14:paraId="7764B1F4" w14:textId="77777777" w:rsidR="007F51CA" w:rsidRPr="004E6DE4" w:rsidRDefault="00280580" w:rsidP="00C36B43">
            <w:pPr>
              <w:tabs>
                <w:tab w:val="decimal" w:pos="885"/>
              </w:tabs>
              <w:ind w:left="-108"/>
            </w:pPr>
            <w:r w:rsidRPr="00280580">
              <w:t>-</w:t>
            </w:r>
          </w:p>
        </w:tc>
      </w:tr>
      <w:tr w:rsidR="007F51CA" w:rsidRPr="00C328EF" w14:paraId="434314C5" w14:textId="77777777" w:rsidTr="00C36B43">
        <w:trPr>
          <w:gridAfter w:val="4"/>
          <w:wAfter w:w="5104" w:type="dxa"/>
        </w:trPr>
        <w:tc>
          <w:tcPr>
            <w:tcW w:w="2552" w:type="dxa"/>
          </w:tcPr>
          <w:p w14:paraId="7C97EA36" w14:textId="77777777" w:rsidR="007F51CA" w:rsidRPr="004E6DE4" w:rsidRDefault="007F51CA" w:rsidP="00C36B43">
            <w:r w:rsidRPr="004E6DE4">
              <w:t>Deferred tax thereon</w:t>
            </w:r>
          </w:p>
        </w:tc>
        <w:tc>
          <w:tcPr>
            <w:tcW w:w="567" w:type="dxa"/>
          </w:tcPr>
          <w:p w14:paraId="6B010EBA" w14:textId="77777777" w:rsidR="007F51CA" w:rsidRPr="00F80503" w:rsidRDefault="007F51CA" w:rsidP="00C36B43">
            <w:pPr>
              <w:jc w:val="center"/>
            </w:pPr>
          </w:p>
        </w:tc>
        <w:tc>
          <w:tcPr>
            <w:tcW w:w="1134" w:type="dxa"/>
          </w:tcPr>
          <w:p w14:paraId="229EF22E" w14:textId="77777777" w:rsidR="007F51CA" w:rsidRPr="004E6DE4" w:rsidRDefault="007F51CA" w:rsidP="00C36B43">
            <w:pPr>
              <w:tabs>
                <w:tab w:val="decimal" w:pos="885"/>
              </w:tabs>
              <w:ind w:left="-108"/>
            </w:pPr>
            <w:r w:rsidRPr="004E6DE4">
              <w:t>-</w:t>
            </w:r>
          </w:p>
        </w:tc>
        <w:tc>
          <w:tcPr>
            <w:tcW w:w="1134" w:type="dxa"/>
          </w:tcPr>
          <w:p w14:paraId="46BD84E2" w14:textId="77777777" w:rsidR="007F51CA" w:rsidRPr="004E6DE4" w:rsidRDefault="007F51CA" w:rsidP="00C36B43">
            <w:pPr>
              <w:tabs>
                <w:tab w:val="decimal" w:pos="885"/>
              </w:tabs>
              <w:ind w:left="-108"/>
            </w:pPr>
            <w:r w:rsidRPr="004E6DE4">
              <w:t>-</w:t>
            </w:r>
          </w:p>
        </w:tc>
        <w:tc>
          <w:tcPr>
            <w:tcW w:w="1134" w:type="dxa"/>
          </w:tcPr>
          <w:p w14:paraId="6F9FB873" w14:textId="77777777" w:rsidR="007F51CA" w:rsidRPr="004E6DE4" w:rsidRDefault="007F51CA" w:rsidP="00C36B43">
            <w:pPr>
              <w:tabs>
                <w:tab w:val="decimal" w:pos="885"/>
              </w:tabs>
              <w:ind w:left="-108"/>
            </w:pPr>
            <w:r w:rsidRPr="004E6DE4">
              <w:t>-</w:t>
            </w:r>
          </w:p>
        </w:tc>
        <w:tc>
          <w:tcPr>
            <w:tcW w:w="1134" w:type="dxa"/>
          </w:tcPr>
          <w:p w14:paraId="5D7418A0" w14:textId="77777777" w:rsidR="007F51CA" w:rsidRPr="004E6DE4" w:rsidRDefault="00280580" w:rsidP="00C36B43">
            <w:pPr>
              <w:tabs>
                <w:tab w:val="decimal" w:pos="885"/>
              </w:tabs>
              <w:ind w:left="-108"/>
            </w:pPr>
            <w:r w:rsidRPr="004E6DE4">
              <w:t>-</w:t>
            </w:r>
          </w:p>
        </w:tc>
        <w:tc>
          <w:tcPr>
            <w:tcW w:w="1134" w:type="dxa"/>
          </w:tcPr>
          <w:p w14:paraId="49E18DE9" w14:textId="77777777" w:rsidR="007F51CA" w:rsidRPr="004E6DE4" w:rsidRDefault="007F51CA" w:rsidP="00C36B43">
            <w:pPr>
              <w:tabs>
                <w:tab w:val="decimal" w:pos="885"/>
              </w:tabs>
              <w:ind w:left="-108"/>
            </w:pPr>
            <w:r w:rsidRPr="004E6DE4">
              <w:t>-</w:t>
            </w:r>
          </w:p>
        </w:tc>
        <w:tc>
          <w:tcPr>
            <w:tcW w:w="1276" w:type="dxa"/>
          </w:tcPr>
          <w:p w14:paraId="6D0E110A" w14:textId="77777777" w:rsidR="007F51CA" w:rsidRPr="004E6DE4" w:rsidRDefault="00280580" w:rsidP="00C36B43">
            <w:pPr>
              <w:tabs>
                <w:tab w:val="decimal" w:pos="885"/>
              </w:tabs>
              <w:ind w:left="-108"/>
            </w:pPr>
            <w:r w:rsidRPr="004E6DE4">
              <w:t>-</w:t>
            </w:r>
          </w:p>
        </w:tc>
        <w:tc>
          <w:tcPr>
            <w:tcW w:w="1134" w:type="dxa"/>
          </w:tcPr>
          <w:p w14:paraId="4FB08DF7" w14:textId="77777777" w:rsidR="007F51CA" w:rsidRPr="004E6DE4" w:rsidRDefault="00280580" w:rsidP="00C36B43">
            <w:pPr>
              <w:tabs>
                <w:tab w:val="decimal" w:pos="885"/>
              </w:tabs>
              <w:ind w:left="-108"/>
            </w:pPr>
            <w:r w:rsidRPr="00280580">
              <w:t>-</w:t>
            </w:r>
          </w:p>
        </w:tc>
      </w:tr>
      <w:tr w:rsidR="007F51CA" w:rsidRPr="00C328EF" w14:paraId="5A1CF754" w14:textId="77777777" w:rsidTr="00C36B43">
        <w:trPr>
          <w:gridAfter w:val="4"/>
          <w:wAfter w:w="5104" w:type="dxa"/>
        </w:trPr>
        <w:tc>
          <w:tcPr>
            <w:tcW w:w="2552" w:type="dxa"/>
          </w:tcPr>
          <w:p w14:paraId="7F80B3D0" w14:textId="77777777" w:rsidR="007F51CA" w:rsidRPr="0047306F" w:rsidRDefault="007F51CA" w:rsidP="00C36B43">
            <w:r w:rsidRPr="0047306F">
              <w:t>Net fair value movements on cash flow hedges</w:t>
            </w:r>
          </w:p>
        </w:tc>
        <w:tc>
          <w:tcPr>
            <w:tcW w:w="567" w:type="dxa"/>
          </w:tcPr>
          <w:p w14:paraId="077F2222" w14:textId="77777777" w:rsidR="007F51CA" w:rsidRPr="0047306F" w:rsidRDefault="007F51CA" w:rsidP="00C36B43">
            <w:pPr>
              <w:jc w:val="center"/>
            </w:pPr>
          </w:p>
          <w:p w14:paraId="334D37A9" w14:textId="77777777" w:rsidR="007F51CA" w:rsidRPr="0047306F" w:rsidRDefault="007F51CA" w:rsidP="00C36B43">
            <w:pPr>
              <w:jc w:val="center"/>
            </w:pPr>
          </w:p>
        </w:tc>
        <w:tc>
          <w:tcPr>
            <w:tcW w:w="1134" w:type="dxa"/>
          </w:tcPr>
          <w:p w14:paraId="345D28E9" w14:textId="77777777" w:rsidR="007F51CA" w:rsidRPr="004E6DE4" w:rsidRDefault="007F51CA" w:rsidP="00C36B43">
            <w:pPr>
              <w:tabs>
                <w:tab w:val="decimal" w:pos="885"/>
              </w:tabs>
              <w:ind w:left="-108"/>
            </w:pPr>
          </w:p>
          <w:p w14:paraId="74F7364D" w14:textId="77777777" w:rsidR="007F51CA" w:rsidRPr="004E6DE4" w:rsidRDefault="007F51CA" w:rsidP="00C36B43">
            <w:pPr>
              <w:tabs>
                <w:tab w:val="decimal" w:pos="885"/>
              </w:tabs>
              <w:ind w:left="-108"/>
            </w:pPr>
            <w:r w:rsidRPr="004E6DE4">
              <w:t>-</w:t>
            </w:r>
          </w:p>
        </w:tc>
        <w:tc>
          <w:tcPr>
            <w:tcW w:w="1134" w:type="dxa"/>
          </w:tcPr>
          <w:p w14:paraId="4AEB2900" w14:textId="77777777" w:rsidR="007F51CA" w:rsidRPr="004E6DE4" w:rsidRDefault="007F51CA" w:rsidP="00C36B43">
            <w:pPr>
              <w:tabs>
                <w:tab w:val="decimal" w:pos="885"/>
              </w:tabs>
              <w:ind w:left="-108"/>
            </w:pPr>
          </w:p>
          <w:p w14:paraId="3A90B6BF" w14:textId="77777777" w:rsidR="007F51CA" w:rsidRPr="004E6DE4" w:rsidRDefault="007F51CA" w:rsidP="00C36B43">
            <w:pPr>
              <w:tabs>
                <w:tab w:val="decimal" w:pos="885"/>
              </w:tabs>
              <w:ind w:left="-108"/>
            </w:pPr>
            <w:r w:rsidRPr="004E6DE4">
              <w:t>-</w:t>
            </w:r>
          </w:p>
        </w:tc>
        <w:tc>
          <w:tcPr>
            <w:tcW w:w="1134" w:type="dxa"/>
          </w:tcPr>
          <w:p w14:paraId="5CBF9DBE" w14:textId="77777777" w:rsidR="007F51CA" w:rsidRPr="004E6DE4" w:rsidRDefault="007F51CA" w:rsidP="00C36B43">
            <w:pPr>
              <w:tabs>
                <w:tab w:val="decimal" w:pos="885"/>
              </w:tabs>
              <w:ind w:left="-108"/>
            </w:pPr>
          </w:p>
          <w:p w14:paraId="3E13727E" w14:textId="77777777" w:rsidR="007F51CA" w:rsidRPr="004E6DE4" w:rsidRDefault="007F51CA" w:rsidP="00C36B43">
            <w:pPr>
              <w:tabs>
                <w:tab w:val="decimal" w:pos="885"/>
              </w:tabs>
              <w:ind w:left="-108"/>
            </w:pPr>
            <w:r w:rsidRPr="004E6DE4">
              <w:t>-</w:t>
            </w:r>
          </w:p>
        </w:tc>
        <w:tc>
          <w:tcPr>
            <w:tcW w:w="1134" w:type="dxa"/>
          </w:tcPr>
          <w:p w14:paraId="0B1C17E7" w14:textId="77777777" w:rsidR="007F51CA" w:rsidRPr="004E6DE4" w:rsidRDefault="007F51CA" w:rsidP="00C36B43">
            <w:pPr>
              <w:tabs>
                <w:tab w:val="decimal" w:pos="885"/>
              </w:tabs>
              <w:ind w:left="-108"/>
            </w:pPr>
          </w:p>
          <w:p w14:paraId="4FCDC15F" w14:textId="77777777" w:rsidR="007F51CA" w:rsidRPr="004E6DE4" w:rsidRDefault="007F51CA" w:rsidP="00C36B43">
            <w:pPr>
              <w:tabs>
                <w:tab w:val="decimal" w:pos="885"/>
              </w:tabs>
              <w:ind w:left="-108"/>
            </w:pPr>
            <w:r w:rsidRPr="004E6DE4">
              <w:t>-</w:t>
            </w:r>
          </w:p>
        </w:tc>
        <w:tc>
          <w:tcPr>
            <w:tcW w:w="1134" w:type="dxa"/>
          </w:tcPr>
          <w:p w14:paraId="23804C27" w14:textId="77777777" w:rsidR="007F51CA" w:rsidRPr="004E6DE4" w:rsidRDefault="007F51CA" w:rsidP="00C36B43">
            <w:pPr>
              <w:tabs>
                <w:tab w:val="decimal" w:pos="885"/>
              </w:tabs>
              <w:ind w:left="-108"/>
            </w:pPr>
          </w:p>
          <w:p w14:paraId="0BF64A90" w14:textId="77777777" w:rsidR="007F51CA" w:rsidRPr="004E6DE4" w:rsidRDefault="00280580" w:rsidP="00C36B43">
            <w:pPr>
              <w:tabs>
                <w:tab w:val="decimal" w:pos="885"/>
              </w:tabs>
              <w:ind w:left="-108"/>
            </w:pPr>
            <w:r w:rsidRPr="004E6DE4">
              <w:t>-</w:t>
            </w:r>
          </w:p>
        </w:tc>
        <w:tc>
          <w:tcPr>
            <w:tcW w:w="1276" w:type="dxa"/>
          </w:tcPr>
          <w:p w14:paraId="02973A5A" w14:textId="77777777" w:rsidR="007F51CA" w:rsidRPr="004E6DE4" w:rsidRDefault="007F51CA" w:rsidP="00C36B43">
            <w:pPr>
              <w:tabs>
                <w:tab w:val="decimal" w:pos="885"/>
              </w:tabs>
              <w:ind w:left="-108"/>
            </w:pPr>
          </w:p>
          <w:p w14:paraId="7EA63F78" w14:textId="77777777" w:rsidR="007F51CA" w:rsidRPr="004E6DE4" w:rsidRDefault="00280580" w:rsidP="00C36B43">
            <w:pPr>
              <w:tabs>
                <w:tab w:val="decimal" w:pos="885"/>
              </w:tabs>
              <w:ind w:left="-108"/>
            </w:pPr>
            <w:r w:rsidRPr="004E6DE4">
              <w:t>-</w:t>
            </w:r>
          </w:p>
        </w:tc>
        <w:tc>
          <w:tcPr>
            <w:tcW w:w="1134" w:type="dxa"/>
          </w:tcPr>
          <w:p w14:paraId="4ADDE850" w14:textId="77777777" w:rsidR="007F51CA" w:rsidRPr="004E6DE4" w:rsidRDefault="007F51CA" w:rsidP="00C36B43">
            <w:pPr>
              <w:tabs>
                <w:tab w:val="decimal" w:pos="885"/>
              </w:tabs>
              <w:ind w:left="-108"/>
            </w:pPr>
          </w:p>
          <w:p w14:paraId="3E26306F" w14:textId="77777777" w:rsidR="007F51CA" w:rsidRPr="004E6DE4" w:rsidRDefault="00280580" w:rsidP="00C36B43">
            <w:pPr>
              <w:tabs>
                <w:tab w:val="decimal" w:pos="885"/>
              </w:tabs>
              <w:ind w:left="-108"/>
            </w:pPr>
            <w:r w:rsidRPr="00280580">
              <w:t>-</w:t>
            </w:r>
          </w:p>
        </w:tc>
      </w:tr>
      <w:tr w:rsidR="007F51CA" w:rsidRPr="00C328EF" w14:paraId="567ED3FA" w14:textId="77777777" w:rsidTr="00C36B43">
        <w:trPr>
          <w:gridAfter w:val="4"/>
          <w:wAfter w:w="5104" w:type="dxa"/>
        </w:trPr>
        <w:tc>
          <w:tcPr>
            <w:tcW w:w="2552" w:type="dxa"/>
          </w:tcPr>
          <w:p w14:paraId="244925AA" w14:textId="77777777" w:rsidR="007F51CA" w:rsidRPr="004E6DE4" w:rsidRDefault="007F51CA" w:rsidP="00C36B43">
            <w:r w:rsidRPr="004E6DE4">
              <w:t>Deferred tax thereon</w:t>
            </w:r>
          </w:p>
        </w:tc>
        <w:tc>
          <w:tcPr>
            <w:tcW w:w="567" w:type="dxa"/>
          </w:tcPr>
          <w:p w14:paraId="25369D90" w14:textId="77777777" w:rsidR="007F51CA" w:rsidRPr="00F80503" w:rsidRDefault="007F51CA" w:rsidP="00C36B43">
            <w:pPr>
              <w:jc w:val="center"/>
            </w:pPr>
          </w:p>
        </w:tc>
        <w:tc>
          <w:tcPr>
            <w:tcW w:w="1134" w:type="dxa"/>
          </w:tcPr>
          <w:p w14:paraId="3B4756A2" w14:textId="77777777" w:rsidR="007F51CA" w:rsidRPr="004E6DE4" w:rsidRDefault="007F51CA" w:rsidP="00C36B43">
            <w:pPr>
              <w:tabs>
                <w:tab w:val="decimal" w:pos="885"/>
              </w:tabs>
              <w:ind w:left="-108"/>
            </w:pPr>
            <w:r w:rsidRPr="004E6DE4">
              <w:t>-</w:t>
            </w:r>
          </w:p>
        </w:tc>
        <w:tc>
          <w:tcPr>
            <w:tcW w:w="1134" w:type="dxa"/>
          </w:tcPr>
          <w:p w14:paraId="3AD35CF8" w14:textId="77777777" w:rsidR="007F51CA" w:rsidRPr="004E6DE4" w:rsidRDefault="007F51CA" w:rsidP="00C36B43">
            <w:pPr>
              <w:tabs>
                <w:tab w:val="decimal" w:pos="885"/>
              </w:tabs>
              <w:ind w:left="-108"/>
            </w:pPr>
            <w:r w:rsidRPr="004E6DE4">
              <w:t>-</w:t>
            </w:r>
          </w:p>
        </w:tc>
        <w:tc>
          <w:tcPr>
            <w:tcW w:w="1134" w:type="dxa"/>
          </w:tcPr>
          <w:p w14:paraId="59A260F2" w14:textId="77777777" w:rsidR="007F51CA" w:rsidRPr="004E6DE4" w:rsidRDefault="007F51CA" w:rsidP="00C36B43">
            <w:pPr>
              <w:tabs>
                <w:tab w:val="decimal" w:pos="885"/>
              </w:tabs>
              <w:ind w:left="-108"/>
            </w:pPr>
            <w:r w:rsidRPr="004E6DE4">
              <w:t>-</w:t>
            </w:r>
          </w:p>
        </w:tc>
        <w:tc>
          <w:tcPr>
            <w:tcW w:w="1134" w:type="dxa"/>
          </w:tcPr>
          <w:p w14:paraId="456E0F5C" w14:textId="77777777" w:rsidR="007F51CA" w:rsidRPr="004E6DE4" w:rsidRDefault="007F51CA" w:rsidP="00C36B43">
            <w:pPr>
              <w:tabs>
                <w:tab w:val="decimal" w:pos="885"/>
              </w:tabs>
              <w:ind w:left="-108"/>
            </w:pPr>
            <w:r w:rsidRPr="004E6DE4">
              <w:t>-</w:t>
            </w:r>
          </w:p>
        </w:tc>
        <w:tc>
          <w:tcPr>
            <w:tcW w:w="1134" w:type="dxa"/>
          </w:tcPr>
          <w:p w14:paraId="2A502865" w14:textId="77777777" w:rsidR="007F51CA" w:rsidRPr="004E6DE4" w:rsidRDefault="00280580" w:rsidP="00C36B43">
            <w:pPr>
              <w:tabs>
                <w:tab w:val="decimal" w:pos="885"/>
              </w:tabs>
              <w:ind w:left="-108"/>
            </w:pPr>
            <w:r w:rsidRPr="00280580">
              <w:t>-</w:t>
            </w:r>
          </w:p>
        </w:tc>
        <w:tc>
          <w:tcPr>
            <w:tcW w:w="1276" w:type="dxa"/>
          </w:tcPr>
          <w:p w14:paraId="602A7AB7" w14:textId="77777777" w:rsidR="007F51CA" w:rsidRPr="004E6DE4" w:rsidRDefault="00280580" w:rsidP="00C36B43">
            <w:pPr>
              <w:tabs>
                <w:tab w:val="decimal" w:pos="885"/>
              </w:tabs>
              <w:ind w:left="-108"/>
            </w:pPr>
            <w:r w:rsidRPr="00280580">
              <w:t>-</w:t>
            </w:r>
          </w:p>
        </w:tc>
        <w:tc>
          <w:tcPr>
            <w:tcW w:w="1134" w:type="dxa"/>
          </w:tcPr>
          <w:p w14:paraId="58B29805" w14:textId="77777777" w:rsidR="007F51CA" w:rsidRPr="004E6DE4" w:rsidRDefault="00280580" w:rsidP="00C36B43">
            <w:pPr>
              <w:tabs>
                <w:tab w:val="decimal" w:pos="885"/>
              </w:tabs>
              <w:ind w:left="-108"/>
            </w:pPr>
            <w:r w:rsidRPr="00280580">
              <w:t>-</w:t>
            </w:r>
          </w:p>
        </w:tc>
      </w:tr>
      <w:tr w:rsidR="007F51CA" w:rsidRPr="00C328EF" w14:paraId="0902984B" w14:textId="77777777" w:rsidTr="00C36B43">
        <w:trPr>
          <w:gridAfter w:val="4"/>
          <w:wAfter w:w="5104" w:type="dxa"/>
        </w:trPr>
        <w:tc>
          <w:tcPr>
            <w:tcW w:w="2552" w:type="dxa"/>
          </w:tcPr>
          <w:p w14:paraId="5A9707B1" w14:textId="77777777" w:rsidR="007F51CA" w:rsidRPr="004E6DE4" w:rsidRDefault="007F51CA" w:rsidP="00C36B43">
            <w:r w:rsidRPr="004E6DE4">
              <w:t xml:space="preserve">Shares issued in </w:t>
            </w:r>
            <w:r>
              <w:t>period</w:t>
            </w:r>
          </w:p>
        </w:tc>
        <w:tc>
          <w:tcPr>
            <w:tcW w:w="567" w:type="dxa"/>
          </w:tcPr>
          <w:p w14:paraId="6F0F0463" w14:textId="77777777" w:rsidR="007F51CA" w:rsidRPr="0047306F" w:rsidRDefault="007F51CA" w:rsidP="00C36B43">
            <w:pPr>
              <w:jc w:val="center"/>
              <w:rPr>
                <w:spacing w:val="-2"/>
              </w:rPr>
            </w:pPr>
            <w:r w:rsidRPr="0047306F">
              <w:t>18</w:t>
            </w:r>
          </w:p>
        </w:tc>
        <w:tc>
          <w:tcPr>
            <w:tcW w:w="1134" w:type="dxa"/>
          </w:tcPr>
          <w:p w14:paraId="2E284A2B" w14:textId="77777777" w:rsidR="007F51CA" w:rsidRPr="004E6DE4" w:rsidRDefault="007F51CA" w:rsidP="00C36B43">
            <w:pPr>
              <w:tabs>
                <w:tab w:val="decimal" w:pos="885"/>
              </w:tabs>
              <w:ind w:left="-108"/>
            </w:pPr>
            <w:r w:rsidRPr="004E6DE4">
              <w:t>12,000</w:t>
            </w:r>
          </w:p>
        </w:tc>
        <w:tc>
          <w:tcPr>
            <w:tcW w:w="1134" w:type="dxa"/>
          </w:tcPr>
          <w:p w14:paraId="5AB2255E" w14:textId="77777777" w:rsidR="007F51CA" w:rsidRPr="004E6DE4" w:rsidRDefault="007F51CA" w:rsidP="00C36B43">
            <w:pPr>
              <w:tabs>
                <w:tab w:val="decimal" w:pos="885"/>
              </w:tabs>
              <w:ind w:left="-108"/>
            </w:pPr>
            <w:r w:rsidRPr="004E6DE4">
              <w:t>-</w:t>
            </w:r>
          </w:p>
        </w:tc>
        <w:tc>
          <w:tcPr>
            <w:tcW w:w="1134" w:type="dxa"/>
          </w:tcPr>
          <w:p w14:paraId="7F506781" w14:textId="77777777" w:rsidR="007F51CA" w:rsidRPr="004E6DE4" w:rsidRDefault="007F51CA" w:rsidP="00C36B43">
            <w:pPr>
              <w:tabs>
                <w:tab w:val="decimal" w:pos="885"/>
              </w:tabs>
              <w:ind w:left="-108"/>
            </w:pPr>
            <w:r w:rsidRPr="004E6DE4">
              <w:t>-</w:t>
            </w:r>
          </w:p>
        </w:tc>
        <w:tc>
          <w:tcPr>
            <w:tcW w:w="1134" w:type="dxa"/>
          </w:tcPr>
          <w:p w14:paraId="4A9FB055" w14:textId="77777777" w:rsidR="007F51CA" w:rsidRPr="004E6DE4" w:rsidRDefault="007F51CA" w:rsidP="00C36B43">
            <w:pPr>
              <w:tabs>
                <w:tab w:val="decimal" w:pos="885"/>
              </w:tabs>
              <w:ind w:left="-108"/>
            </w:pPr>
            <w:r w:rsidRPr="004E6DE4">
              <w:t>-</w:t>
            </w:r>
          </w:p>
        </w:tc>
        <w:tc>
          <w:tcPr>
            <w:tcW w:w="1134" w:type="dxa"/>
          </w:tcPr>
          <w:p w14:paraId="6B3C7914" w14:textId="77777777" w:rsidR="007F51CA" w:rsidRPr="004E6DE4" w:rsidRDefault="007F51CA" w:rsidP="00C36B43">
            <w:pPr>
              <w:tabs>
                <w:tab w:val="decimal" w:pos="885"/>
              </w:tabs>
              <w:ind w:left="-108"/>
            </w:pPr>
            <w:r w:rsidRPr="004E6DE4">
              <w:t>-</w:t>
            </w:r>
          </w:p>
        </w:tc>
        <w:tc>
          <w:tcPr>
            <w:tcW w:w="1276" w:type="dxa"/>
          </w:tcPr>
          <w:p w14:paraId="09FDEA0E" w14:textId="77777777" w:rsidR="007F51CA" w:rsidRPr="004E6DE4" w:rsidRDefault="007F51CA" w:rsidP="00C36B43">
            <w:pPr>
              <w:tabs>
                <w:tab w:val="decimal" w:pos="885"/>
              </w:tabs>
              <w:ind w:left="-108"/>
            </w:pPr>
            <w:r w:rsidRPr="004E6DE4">
              <w:t>-</w:t>
            </w:r>
          </w:p>
        </w:tc>
        <w:tc>
          <w:tcPr>
            <w:tcW w:w="1134" w:type="dxa"/>
          </w:tcPr>
          <w:p w14:paraId="6D08E33D" w14:textId="77777777" w:rsidR="007F51CA" w:rsidRPr="004E6DE4" w:rsidRDefault="007F51CA" w:rsidP="00C36B43">
            <w:pPr>
              <w:tabs>
                <w:tab w:val="decimal" w:pos="885"/>
              </w:tabs>
              <w:ind w:left="-108"/>
            </w:pPr>
            <w:r w:rsidRPr="004E6DE4">
              <w:t>12,000</w:t>
            </w:r>
          </w:p>
        </w:tc>
      </w:tr>
      <w:tr w:rsidR="007F51CA" w:rsidRPr="00C328EF" w14:paraId="42E4A2AE" w14:textId="77777777" w:rsidTr="00C36B43">
        <w:trPr>
          <w:gridAfter w:val="4"/>
          <w:wAfter w:w="5104" w:type="dxa"/>
        </w:trPr>
        <w:tc>
          <w:tcPr>
            <w:tcW w:w="2552" w:type="dxa"/>
          </w:tcPr>
          <w:p w14:paraId="439935E9" w14:textId="77777777" w:rsidR="007F51CA" w:rsidRPr="004E6DE4" w:rsidRDefault="007F51CA" w:rsidP="00C36B43">
            <w:r w:rsidRPr="004E6DE4">
              <w:t>Dividends</w:t>
            </w:r>
          </w:p>
        </w:tc>
        <w:tc>
          <w:tcPr>
            <w:tcW w:w="567" w:type="dxa"/>
          </w:tcPr>
          <w:p w14:paraId="67B5FC1E" w14:textId="77777777" w:rsidR="007F51CA" w:rsidRPr="0047306F" w:rsidRDefault="007F51CA" w:rsidP="00C36B43">
            <w:pPr>
              <w:jc w:val="center"/>
            </w:pPr>
            <w:r>
              <w:t>29</w:t>
            </w:r>
          </w:p>
        </w:tc>
        <w:tc>
          <w:tcPr>
            <w:tcW w:w="1134" w:type="dxa"/>
          </w:tcPr>
          <w:p w14:paraId="4B95E7E2" w14:textId="77777777" w:rsidR="007F51CA" w:rsidRPr="004E6DE4" w:rsidRDefault="007F51CA" w:rsidP="00C36B43">
            <w:pPr>
              <w:tabs>
                <w:tab w:val="decimal" w:pos="885"/>
              </w:tabs>
              <w:ind w:left="-108"/>
            </w:pPr>
            <w:r w:rsidRPr="004E6DE4">
              <w:t>-</w:t>
            </w:r>
          </w:p>
        </w:tc>
        <w:tc>
          <w:tcPr>
            <w:tcW w:w="1134" w:type="dxa"/>
          </w:tcPr>
          <w:p w14:paraId="50EDB2E6" w14:textId="77777777" w:rsidR="007F51CA" w:rsidRPr="004E6DE4" w:rsidRDefault="007F51CA" w:rsidP="00C36B43">
            <w:pPr>
              <w:tabs>
                <w:tab w:val="decimal" w:pos="885"/>
              </w:tabs>
              <w:ind w:left="-108"/>
            </w:pPr>
            <w:r w:rsidRPr="004E6DE4">
              <w:t>-</w:t>
            </w:r>
          </w:p>
        </w:tc>
        <w:tc>
          <w:tcPr>
            <w:tcW w:w="1134" w:type="dxa"/>
          </w:tcPr>
          <w:p w14:paraId="49F50DAD" w14:textId="77777777" w:rsidR="007F51CA" w:rsidRPr="004E6DE4" w:rsidRDefault="007F51CA" w:rsidP="00C36B43">
            <w:pPr>
              <w:tabs>
                <w:tab w:val="decimal" w:pos="885"/>
              </w:tabs>
              <w:ind w:left="-108"/>
            </w:pPr>
            <w:r w:rsidRPr="004E6DE4">
              <w:t>-</w:t>
            </w:r>
          </w:p>
        </w:tc>
        <w:tc>
          <w:tcPr>
            <w:tcW w:w="1134" w:type="dxa"/>
          </w:tcPr>
          <w:p w14:paraId="591A83CE" w14:textId="77777777" w:rsidR="007F51CA" w:rsidRPr="004E6DE4" w:rsidRDefault="007F51CA" w:rsidP="00C36B43">
            <w:pPr>
              <w:tabs>
                <w:tab w:val="decimal" w:pos="885"/>
              </w:tabs>
              <w:ind w:left="-108"/>
            </w:pPr>
            <w:r w:rsidRPr="004E6DE4">
              <w:t>-</w:t>
            </w:r>
          </w:p>
        </w:tc>
        <w:tc>
          <w:tcPr>
            <w:tcW w:w="1134" w:type="dxa"/>
          </w:tcPr>
          <w:p w14:paraId="693F6D7F" w14:textId="77777777" w:rsidR="007F51CA" w:rsidRPr="004E6DE4" w:rsidRDefault="007F51CA" w:rsidP="00C36B43">
            <w:pPr>
              <w:tabs>
                <w:tab w:val="decimal" w:pos="885"/>
              </w:tabs>
              <w:ind w:left="-108"/>
            </w:pPr>
            <w:r w:rsidRPr="004E6DE4">
              <w:t>-</w:t>
            </w:r>
          </w:p>
        </w:tc>
        <w:tc>
          <w:tcPr>
            <w:tcW w:w="1276" w:type="dxa"/>
          </w:tcPr>
          <w:p w14:paraId="41587E0C" w14:textId="77777777" w:rsidR="007F51CA" w:rsidRPr="004E6DE4" w:rsidRDefault="00280580" w:rsidP="00C36B43">
            <w:pPr>
              <w:tabs>
                <w:tab w:val="decimal" w:pos="885"/>
              </w:tabs>
              <w:ind w:left="-108"/>
            </w:pPr>
            <w:r w:rsidRPr="00280580">
              <w:t>-</w:t>
            </w:r>
          </w:p>
        </w:tc>
        <w:tc>
          <w:tcPr>
            <w:tcW w:w="1134" w:type="dxa"/>
          </w:tcPr>
          <w:p w14:paraId="7AE87530" w14:textId="77777777" w:rsidR="007F51CA" w:rsidRPr="004E6DE4" w:rsidRDefault="00280580" w:rsidP="00C36B43">
            <w:pPr>
              <w:tabs>
                <w:tab w:val="decimal" w:pos="885"/>
              </w:tabs>
              <w:ind w:left="-108"/>
            </w:pPr>
            <w:r w:rsidRPr="00280580">
              <w:t>-</w:t>
            </w:r>
          </w:p>
        </w:tc>
      </w:tr>
      <w:tr w:rsidR="007F51CA" w:rsidRPr="00C328EF" w14:paraId="547586E6" w14:textId="77777777" w:rsidTr="00C36B43">
        <w:trPr>
          <w:gridAfter w:val="4"/>
          <w:wAfter w:w="5104" w:type="dxa"/>
        </w:trPr>
        <w:tc>
          <w:tcPr>
            <w:tcW w:w="2552" w:type="dxa"/>
          </w:tcPr>
          <w:p w14:paraId="5841CAF2" w14:textId="77777777" w:rsidR="007F51CA" w:rsidRPr="004E6DE4" w:rsidRDefault="007F51CA" w:rsidP="00C36B43"/>
        </w:tc>
        <w:tc>
          <w:tcPr>
            <w:tcW w:w="567" w:type="dxa"/>
          </w:tcPr>
          <w:p w14:paraId="6F1388AB" w14:textId="77777777" w:rsidR="007F51CA" w:rsidRPr="004E6DE4" w:rsidRDefault="007F51CA" w:rsidP="00C36B43">
            <w:pPr>
              <w:tabs>
                <w:tab w:val="decimal" w:pos="942"/>
              </w:tabs>
              <w:jc w:val="both"/>
              <w:rPr>
                <w:spacing w:val="-2"/>
              </w:rPr>
            </w:pPr>
          </w:p>
        </w:tc>
        <w:tc>
          <w:tcPr>
            <w:tcW w:w="1134" w:type="dxa"/>
          </w:tcPr>
          <w:p w14:paraId="5B6EF165" w14:textId="77777777" w:rsidR="007F51CA" w:rsidRPr="004E6DE4" w:rsidRDefault="007F51CA" w:rsidP="00C36B43">
            <w:pPr>
              <w:tabs>
                <w:tab w:val="decimal" w:pos="885"/>
              </w:tabs>
              <w:ind w:left="-108"/>
            </w:pPr>
            <w:r w:rsidRPr="004E6DE4">
              <w:t>───────</w:t>
            </w:r>
          </w:p>
        </w:tc>
        <w:tc>
          <w:tcPr>
            <w:tcW w:w="1134" w:type="dxa"/>
          </w:tcPr>
          <w:p w14:paraId="4A2F9179" w14:textId="77777777" w:rsidR="007F51CA" w:rsidRPr="004E6DE4" w:rsidRDefault="007F51CA" w:rsidP="00C36B43">
            <w:pPr>
              <w:tabs>
                <w:tab w:val="decimal" w:pos="885"/>
              </w:tabs>
              <w:ind w:left="-108"/>
            </w:pPr>
            <w:r w:rsidRPr="004E6DE4">
              <w:t>───────</w:t>
            </w:r>
          </w:p>
        </w:tc>
        <w:tc>
          <w:tcPr>
            <w:tcW w:w="1134" w:type="dxa"/>
          </w:tcPr>
          <w:p w14:paraId="1DECAA5F" w14:textId="77777777" w:rsidR="007F51CA" w:rsidRPr="004E6DE4" w:rsidRDefault="007F51CA" w:rsidP="00C36B43">
            <w:pPr>
              <w:tabs>
                <w:tab w:val="decimal" w:pos="885"/>
              </w:tabs>
              <w:ind w:left="-108"/>
            </w:pPr>
            <w:r w:rsidRPr="004E6DE4">
              <w:t>───────</w:t>
            </w:r>
          </w:p>
        </w:tc>
        <w:tc>
          <w:tcPr>
            <w:tcW w:w="1134" w:type="dxa"/>
          </w:tcPr>
          <w:p w14:paraId="1B50C911" w14:textId="77777777" w:rsidR="007F51CA" w:rsidRPr="004E6DE4" w:rsidRDefault="007F51CA" w:rsidP="00C36B43">
            <w:pPr>
              <w:tabs>
                <w:tab w:val="decimal" w:pos="885"/>
              </w:tabs>
              <w:ind w:left="-108"/>
            </w:pPr>
            <w:r w:rsidRPr="004E6DE4">
              <w:t>───────</w:t>
            </w:r>
          </w:p>
        </w:tc>
        <w:tc>
          <w:tcPr>
            <w:tcW w:w="1134" w:type="dxa"/>
          </w:tcPr>
          <w:p w14:paraId="053E60C1" w14:textId="77777777" w:rsidR="007F51CA" w:rsidRPr="004E6DE4" w:rsidRDefault="007F51CA" w:rsidP="00C36B43">
            <w:pPr>
              <w:tabs>
                <w:tab w:val="decimal" w:pos="885"/>
              </w:tabs>
              <w:ind w:left="-108"/>
            </w:pPr>
            <w:r w:rsidRPr="004E6DE4">
              <w:t>───────</w:t>
            </w:r>
          </w:p>
        </w:tc>
        <w:tc>
          <w:tcPr>
            <w:tcW w:w="1276" w:type="dxa"/>
          </w:tcPr>
          <w:p w14:paraId="45127BD8" w14:textId="77777777" w:rsidR="007F51CA" w:rsidRPr="004E6DE4" w:rsidRDefault="007F51CA" w:rsidP="00C36B43">
            <w:pPr>
              <w:tabs>
                <w:tab w:val="decimal" w:pos="885"/>
              </w:tabs>
              <w:ind w:left="-108"/>
            </w:pPr>
            <w:r w:rsidRPr="004E6DE4">
              <w:t>───────</w:t>
            </w:r>
          </w:p>
        </w:tc>
        <w:tc>
          <w:tcPr>
            <w:tcW w:w="1134" w:type="dxa"/>
          </w:tcPr>
          <w:p w14:paraId="7125DBFE" w14:textId="77777777" w:rsidR="007F51CA" w:rsidRPr="004E6DE4" w:rsidRDefault="007F51CA" w:rsidP="00C36B43">
            <w:pPr>
              <w:tabs>
                <w:tab w:val="decimal" w:pos="885"/>
              </w:tabs>
              <w:ind w:left="-108"/>
            </w:pPr>
            <w:r w:rsidRPr="004E6DE4">
              <w:t>───────</w:t>
            </w:r>
          </w:p>
        </w:tc>
      </w:tr>
      <w:tr w:rsidR="007F51CA" w:rsidRPr="00C328EF" w14:paraId="5FB4B1FD" w14:textId="77777777" w:rsidTr="00C36B43">
        <w:trPr>
          <w:gridAfter w:val="4"/>
          <w:wAfter w:w="5104" w:type="dxa"/>
        </w:trPr>
        <w:tc>
          <w:tcPr>
            <w:tcW w:w="2552" w:type="dxa"/>
          </w:tcPr>
          <w:p w14:paraId="3BC5077D" w14:textId="77777777" w:rsidR="007F51CA" w:rsidRPr="004E6DE4" w:rsidRDefault="007F51CA" w:rsidP="00C36B43">
            <w:pPr>
              <w:rPr>
                <w:b/>
              </w:rPr>
            </w:pPr>
            <w:r w:rsidRPr="004E6DE4">
              <w:rPr>
                <w:b/>
              </w:rPr>
              <w:t>Balance at 3</w:t>
            </w:r>
            <w:r>
              <w:rPr>
                <w:b/>
              </w:rPr>
              <w:t>0</w:t>
            </w:r>
            <w:r w:rsidRPr="004E6DE4">
              <w:rPr>
                <w:b/>
              </w:rPr>
              <w:t xml:space="preserve"> December 2023</w:t>
            </w:r>
          </w:p>
        </w:tc>
        <w:tc>
          <w:tcPr>
            <w:tcW w:w="567" w:type="dxa"/>
          </w:tcPr>
          <w:p w14:paraId="10BD0966" w14:textId="77777777" w:rsidR="007F51CA" w:rsidRPr="004E6DE4" w:rsidRDefault="007F51CA" w:rsidP="00C36B43">
            <w:pPr>
              <w:tabs>
                <w:tab w:val="decimal" w:pos="942"/>
              </w:tabs>
              <w:jc w:val="both"/>
            </w:pPr>
          </w:p>
        </w:tc>
        <w:tc>
          <w:tcPr>
            <w:tcW w:w="1134" w:type="dxa"/>
          </w:tcPr>
          <w:p w14:paraId="3F1E505E" w14:textId="77777777" w:rsidR="007F51CA" w:rsidRPr="004E6DE4" w:rsidRDefault="007F51CA" w:rsidP="00C36B43">
            <w:pPr>
              <w:tabs>
                <w:tab w:val="decimal" w:pos="885"/>
              </w:tabs>
              <w:ind w:left="-108"/>
            </w:pPr>
          </w:p>
          <w:p w14:paraId="08FDF67A" w14:textId="77777777" w:rsidR="007F51CA" w:rsidRPr="004E6DE4" w:rsidRDefault="007F51CA" w:rsidP="00C36B43">
            <w:pPr>
              <w:tabs>
                <w:tab w:val="decimal" w:pos="885"/>
              </w:tabs>
              <w:ind w:left="-108"/>
            </w:pPr>
            <w:r w:rsidRPr="004E6DE4">
              <w:t>53,878</w:t>
            </w:r>
          </w:p>
        </w:tc>
        <w:tc>
          <w:tcPr>
            <w:tcW w:w="1134" w:type="dxa"/>
          </w:tcPr>
          <w:p w14:paraId="11E54F02" w14:textId="77777777" w:rsidR="007F51CA" w:rsidRPr="004E6DE4" w:rsidRDefault="007F51CA" w:rsidP="00C36B43">
            <w:pPr>
              <w:tabs>
                <w:tab w:val="decimal" w:pos="885"/>
              </w:tabs>
              <w:ind w:left="-108"/>
            </w:pPr>
          </w:p>
          <w:p w14:paraId="2514CB68" w14:textId="77777777" w:rsidR="007F51CA" w:rsidRPr="004E6DE4" w:rsidRDefault="00280580" w:rsidP="00C36B43">
            <w:pPr>
              <w:tabs>
                <w:tab w:val="decimal" w:pos="885"/>
              </w:tabs>
              <w:ind w:left="-108"/>
            </w:pPr>
            <w:r w:rsidRPr="00280580">
              <w:t>-</w:t>
            </w:r>
          </w:p>
        </w:tc>
        <w:tc>
          <w:tcPr>
            <w:tcW w:w="1134" w:type="dxa"/>
          </w:tcPr>
          <w:p w14:paraId="29CC19CB" w14:textId="77777777" w:rsidR="007F51CA" w:rsidRPr="004E6DE4" w:rsidRDefault="007F51CA" w:rsidP="00C36B43">
            <w:pPr>
              <w:tabs>
                <w:tab w:val="decimal" w:pos="885"/>
              </w:tabs>
              <w:ind w:left="-108"/>
            </w:pPr>
          </w:p>
          <w:p w14:paraId="16063F64" w14:textId="77777777" w:rsidR="007F51CA" w:rsidRPr="004E6DE4" w:rsidRDefault="00280580" w:rsidP="00C36B43">
            <w:pPr>
              <w:tabs>
                <w:tab w:val="decimal" w:pos="885"/>
              </w:tabs>
              <w:ind w:left="-108"/>
            </w:pPr>
            <w:r w:rsidRPr="00280580">
              <w:t>-</w:t>
            </w:r>
          </w:p>
        </w:tc>
        <w:tc>
          <w:tcPr>
            <w:tcW w:w="1134" w:type="dxa"/>
          </w:tcPr>
          <w:p w14:paraId="08BA8D1D" w14:textId="77777777" w:rsidR="007F51CA" w:rsidRPr="004E6DE4" w:rsidRDefault="007F51CA" w:rsidP="00C36B43">
            <w:pPr>
              <w:tabs>
                <w:tab w:val="decimal" w:pos="885"/>
              </w:tabs>
              <w:ind w:left="-108"/>
            </w:pPr>
          </w:p>
          <w:p w14:paraId="77C44455" w14:textId="77777777" w:rsidR="007F51CA" w:rsidRPr="004E6DE4" w:rsidRDefault="00280580" w:rsidP="00C36B43">
            <w:pPr>
              <w:tabs>
                <w:tab w:val="decimal" w:pos="885"/>
              </w:tabs>
              <w:ind w:left="-108"/>
            </w:pPr>
            <w:r>
              <w:t>(44,665)</w:t>
            </w:r>
          </w:p>
        </w:tc>
        <w:tc>
          <w:tcPr>
            <w:tcW w:w="1134" w:type="dxa"/>
          </w:tcPr>
          <w:p w14:paraId="3F7E76ED" w14:textId="77777777" w:rsidR="007F51CA" w:rsidRPr="004E6DE4" w:rsidRDefault="007F51CA" w:rsidP="00C36B43">
            <w:pPr>
              <w:tabs>
                <w:tab w:val="decimal" w:pos="885"/>
              </w:tabs>
              <w:ind w:left="-108"/>
            </w:pPr>
          </w:p>
          <w:p w14:paraId="71A53A49" w14:textId="77777777" w:rsidR="007F51CA" w:rsidRPr="004E6DE4" w:rsidRDefault="00280580" w:rsidP="00C36B43">
            <w:pPr>
              <w:tabs>
                <w:tab w:val="decimal" w:pos="885"/>
              </w:tabs>
              <w:ind w:left="-108"/>
            </w:pPr>
            <w:r w:rsidRPr="00280580">
              <w:t>-</w:t>
            </w:r>
          </w:p>
        </w:tc>
        <w:tc>
          <w:tcPr>
            <w:tcW w:w="1276" w:type="dxa"/>
          </w:tcPr>
          <w:p w14:paraId="6AB9FAB4" w14:textId="77777777" w:rsidR="007F51CA" w:rsidRPr="004E6DE4" w:rsidRDefault="007F51CA" w:rsidP="00C36B43">
            <w:pPr>
              <w:tabs>
                <w:tab w:val="decimal" w:pos="885"/>
              </w:tabs>
              <w:ind w:left="-108"/>
            </w:pPr>
          </w:p>
          <w:p w14:paraId="7BD3B2B7" w14:textId="77777777" w:rsidR="007F51CA" w:rsidRPr="004E6DE4" w:rsidRDefault="00280580" w:rsidP="00C36B43">
            <w:pPr>
              <w:tabs>
                <w:tab w:val="decimal" w:pos="885"/>
              </w:tabs>
              <w:ind w:left="-108"/>
            </w:pPr>
            <w:r w:rsidRPr="00280580">
              <w:t>-</w:t>
            </w:r>
          </w:p>
        </w:tc>
        <w:tc>
          <w:tcPr>
            <w:tcW w:w="1134" w:type="dxa"/>
          </w:tcPr>
          <w:p w14:paraId="037C02D5" w14:textId="77777777" w:rsidR="007F51CA" w:rsidRPr="004E6DE4" w:rsidRDefault="007F51CA" w:rsidP="00C36B43">
            <w:pPr>
              <w:tabs>
                <w:tab w:val="decimal" w:pos="885"/>
              </w:tabs>
              <w:ind w:left="-108"/>
            </w:pPr>
          </w:p>
          <w:p w14:paraId="47854BAB" w14:textId="77777777" w:rsidR="007F51CA" w:rsidRPr="004E6DE4" w:rsidRDefault="008C0DE0" w:rsidP="00C36B43">
            <w:pPr>
              <w:tabs>
                <w:tab w:val="decimal" w:pos="885"/>
              </w:tabs>
              <w:ind w:left="-108"/>
            </w:pPr>
            <w:r>
              <w:t>9,213</w:t>
            </w:r>
          </w:p>
        </w:tc>
      </w:tr>
      <w:tr w:rsidR="007F51CA" w:rsidRPr="00C328EF" w14:paraId="17BD542B" w14:textId="77777777" w:rsidTr="00C36B43">
        <w:trPr>
          <w:gridAfter w:val="4"/>
          <w:wAfter w:w="5104" w:type="dxa"/>
        </w:trPr>
        <w:tc>
          <w:tcPr>
            <w:tcW w:w="2552" w:type="dxa"/>
          </w:tcPr>
          <w:p w14:paraId="321D3311" w14:textId="77777777" w:rsidR="007F51CA" w:rsidRPr="004E6DE4" w:rsidRDefault="007F51CA" w:rsidP="00C36B43">
            <w:pPr>
              <w:jc w:val="both"/>
            </w:pPr>
          </w:p>
        </w:tc>
        <w:tc>
          <w:tcPr>
            <w:tcW w:w="567" w:type="dxa"/>
          </w:tcPr>
          <w:p w14:paraId="253CEC31" w14:textId="77777777" w:rsidR="007F51CA" w:rsidRPr="004E6DE4" w:rsidRDefault="007F51CA" w:rsidP="00C36B43">
            <w:pPr>
              <w:tabs>
                <w:tab w:val="decimal" w:pos="942"/>
              </w:tabs>
              <w:jc w:val="both"/>
            </w:pPr>
          </w:p>
        </w:tc>
        <w:tc>
          <w:tcPr>
            <w:tcW w:w="1134" w:type="dxa"/>
          </w:tcPr>
          <w:p w14:paraId="2D3DE58D" w14:textId="77777777" w:rsidR="007F51CA" w:rsidRPr="004E6DE4" w:rsidRDefault="007F51CA" w:rsidP="00C36B43">
            <w:pPr>
              <w:tabs>
                <w:tab w:val="decimal" w:pos="885"/>
              </w:tabs>
              <w:ind w:left="-108"/>
            </w:pPr>
            <w:r w:rsidRPr="004E6DE4">
              <w:t>═══════</w:t>
            </w:r>
          </w:p>
        </w:tc>
        <w:tc>
          <w:tcPr>
            <w:tcW w:w="1134" w:type="dxa"/>
          </w:tcPr>
          <w:p w14:paraId="3A9C0C38" w14:textId="77777777" w:rsidR="007F51CA" w:rsidRPr="004E6DE4" w:rsidRDefault="007F51CA" w:rsidP="00C36B43">
            <w:pPr>
              <w:tabs>
                <w:tab w:val="decimal" w:pos="885"/>
              </w:tabs>
              <w:ind w:left="-108"/>
            </w:pPr>
            <w:r w:rsidRPr="004E6DE4">
              <w:t>═══════</w:t>
            </w:r>
          </w:p>
        </w:tc>
        <w:tc>
          <w:tcPr>
            <w:tcW w:w="1134" w:type="dxa"/>
          </w:tcPr>
          <w:p w14:paraId="0F8D8A73" w14:textId="77777777" w:rsidR="007F51CA" w:rsidRPr="004E6DE4" w:rsidRDefault="007F51CA" w:rsidP="00C36B43">
            <w:pPr>
              <w:tabs>
                <w:tab w:val="decimal" w:pos="885"/>
              </w:tabs>
              <w:ind w:left="-108"/>
            </w:pPr>
            <w:r w:rsidRPr="004E6DE4">
              <w:t>═══════</w:t>
            </w:r>
          </w:p>
        </w:tc>
        <w:tc>
          <w:tcPr>
            <w:tcW w:w="1134" w:type="dxa"/>
          </w:tcPr>
          <w:p w14:paraId="440529E8" w14:textId="77777777" w:rsidR="007F51CA" w:rsidRPr="004E6DE4" w:rsidRDefault="007F51CA" w:rsidP="00C36B43">
            <w:pPr>
              <w:tabs>
                <w:tab w:val="decimal" w:pos="885"/>
              </w:tabs>
              <w:ind w:left="-108"/>
            </w:pPr>
            <w:r w:rsidRPr="004E6DE4">
              <w:t>═══════</w:t>
            </w:r>
          </w:p>
        </w:tc>
        <w:tc>
          <w:tcPr>
            <w:tcW w:w="1134" w:type="dxa"/>
          </w:tcPr>
          <w:p w14:paraId="152571BD" w14:textId="77777777" w:rsidR="007F51CA" w:rsidRPr="004E6DE4" w:rsidRDefault="007F51CA" w:rsidP="00C36B43">
            <w:pPr>
              <w:tabs>
                <w:tab w:val="decimal" w:pos="885"/>
              </w:tabs>
              <w:ind w:left="-108"/>
            </w:pPr>
            <w:r w:rsidRPr="004E6DE4">
              <w:t>═══════</w:t>
            </w:r>
          </w:p>
        </w:tc>
        <w:tc>
          <w:tcPr>
            <w:tcW w:w="1276" w:type="dxa"/>
          </w:tcPr>
          <w:p w14:paraId="58892BF0" w14:textId="77777777" w:rsidR="007F51CA" w:rsidRPr="004E6DE4" w:rsidRDefault="007F51CA" w:rsidP="00C36B43">
            <w:pPr>
              <w:tabs>
                <w:tab w:val="decimal" w:pos="885"/>
              </w:tabs>
              <w:ind w:left="-108"/>
            </w:pPr>
            <w:r w:rsidRPr="004E6DE4">
              <w:t>═══════</w:t>
            </w:r>
          </w:p>
        </w:tc>
        <w:tc>
          <w:tcPr>
            <w:tcW w:w="1134" w:type="dxa"/>
          </w:tcPr>
          <w:p w14:paraId="21676C95" w14:textId="77777777" w:rsidR="007F51CA" w:rsidRPr="004E6DE4" w:rsidRDefault="007F51CA" w:rsidP="00C36B43">
            <w:pPr>
              <w:tabs>
                <w:tab w:val="decimal" w:pos="885"/>
              </w:tabs>
              <w:ind w:left="-108"/>
            </w:pPr>
            <w:r w:rsidRPr="004E6DE4">
              <w:t>═══════</w:t>
            </w:r>
          </w:p>
        </w:tc>
      </w:tr>
    </w:tbl>
    <w:p w14:paraId="5552A666" w14:textId="77777777" w:rsidR="007F51CA" w:rsidRPr="00C328EF" w:rsidRDefault="007F51CA" w:rsidP="007F51CA">
      <w:pPr>
        <w:spacing w:after="120"/>
        <w:rPr>
          <w:highlight w:val="yellow"/>
        </w:rPr>
      </w:pPr>
    </w:p>
    <w:tbl>
      <w:tblPr>
        <w:tblW w:w="11199" w:type="dxa"/>
        <w:tblInd w:w="-601" w:type="dxa"/>
        <w:tblLayout w:type="fixed"/>
        <w:tblLook w:val="0000" w:firstRow="0" w:lastRow="0" w:firstColumn="0" w:lastColumn="0" w:noHBand="0" w:noVBand="0"/>
      </w:tblPr>
      <w:tblGrid>
        <w:gridCol w:w="2552"/>
        <w:gridCol w:w="142"/>
        <w:gridCol w:w="425"/>
        <w:gridCol w:w="142"/>
        <w:gridCol w:w="850"/>
        <w:gridCol w:w="142"/>
        <w:gridCol w:w="1134"/>
        <w:gridCol w:w="1134"/>
        <w:gridCol w:w="1134"/>
        <w:gridCol w:w="1134"/>
        <w:gridCol w:w="1276"/>
        <w:gridCol w:w="1134"/>
      </w:tblGrid>
      <w:tr w:rsidR="007F51CA" w:rsidRPr="00F45179" w14:paraId="193A123B" w14:textId="77777777" w:rsidTr="00C36B43">
        <w:tc>
          <w:tcPr>
            <w:tcW w:w="2552" w:type="dxa"/>
          </w:tcPr>
          <w:p w14:paraId="5EC67A68" w14:textId="77777777" w:rsidR="007F51CA" w:rsidRPr="00C328EF" w:rsidRDefault="007F51CA" w:rsidP="00C36B43">
            <w:pPr>
              <w:jc w:val="center"/>
              <w:rPr>
                <w:b/>
                <w:highlight w:val="yellow"/>
              </w:rPr>
            </w:pPr>
          </w:p>
        </w:tc>
        <w:tc>
          <w:tcPr>
            <w:tcW w:w="567" w:type="dxa"/>
            <w:gridSpan w:val="2"/>
          </w:tcPr>
          <w:p w14:paraId="7F52E26F" w14:textId="77777777" w:rsidR="007F51CA" w:rsidRPr="00C328EF" w:rsidRDefault="007F51CA" w:rsidP="00C36B43">
            <w:pPr>
              <w:jc w:val="right"/>
              <w:rPr>
                <w:b/>
                <w:highlight w:val="yellow"/>
              </w:rPr>
            </w:pPr>
          </w:p>
        </w:tc>
        <w:tc>
          <w:tcPr>
            <w:tcW w:w="1134" w:type="dxa"/>
            <w:gridSpan w:val="3"/>
          </w:tcPr>
          <w:p w14:paraId="29C5C9CA" w14:textId="77777777" w:rsidR="007F51CA" w:rsidRPr="00F45179" w:rsidRDefault="007F51CA" w:rsidP="00C36B43">
            <w:pPr>
              <w:suppressAutoHyphens/>
              <w:ind w:right="138"/>
              <w:jc w:val="center"/>
              <w:rPr>
                <w:rFonts w:cs="Arial"/>
                <w:b/>
                <w:spacing w:val="-2"/>
              </w:rPr>
            </w:pPr>
          </w:p>
          <w:p w14:paraId="23DB21D4" w14:textId="77777777" w:rsidR="007F51CA" w:rsidRPr="00F45179" w:rsidRDefault="007F51CA" w:rsidP="00C36B43">
            <w:pPr>
              <w:suppressAutoHyphens/>
              <w:ind w:right="-108"/>
              <w:jc w:val="center"/>
              <w:rPr>
                <w:rFonts w:cs="Arial"/>
                <w:b/>
                <w:spacing w:val="-2"/>
              </w:rPr>
            </w:pPr>
            <w:r w:rsidRPr="00F45179">
              <w:rPr>
                <w:rFonts w:cs="Arial"/>
                <w:b/>
                <w:spacing w:val="-2"/>
              </w:rPr>
              <w:t>Share</w:t>
            </w:r>
          </w:p>
          <w:p w14:paraId="28AD7485" w14:textId="77777777" w:rsidR="007F51CA" w:rsidRPr="00F45179" w:rsidRDefault="007F51CA" w:rsidP="00C36B43">
            <w:pPr>
              <w:suppressAutoHyphens/>
              <w:ind w:right="-108"/>
              <w:jc w:val="center"/>
              <w:rPr>
                <w:rFonts w:cs="Arial"/>
                <w:b/>
                <w:spacing w:val="-2"/>
              </w:rPr>
            </w:pPr>
            <w:r w:rsidRPr="00F45179">
              <w:rPr>
                <w:rFonts w:cs="Arial"/>
                <w:b/>
                <w:spacing w:val="-2"/>
              </w:rPr>
              <w:t>Capital</w:t>
            </w:r>
          </w:p>
        </w:tc>
        <w:tc>
          <w:tcPr>
            <w:tcW w:w="1134" w:type="dxa"/>
          </w:tcPr>
          <w:p w14:paraId="215BD621" w14:textId="77777777" w:rsidR="007F51CA" w:rsidRPr="00F45179" w:rsidRDefault="007F51CA" w:rsidP="00C36B43">
            <w:pPr>
              <w:suppressAutoHyphens/>
              <w:ind w:right="138"/>
              <w:jc w:val="center"/>
              <w:rPr>
                <w:rFonts w:cs="Arial"/>
                <w:b/>
                <w:spacing w:val="-2"/>
              </w:rPr>
            </w:pPr>
          </w:p>
          <w:p w14:paraId="5B327239" w14:textId="77777777" w:rsidR="007F51CA" w:rsidRPr="00F45179" w:rsidRDefault="007F51CA" w:rsidP="00C36B43">
            <w:pPr>
              <w:suppressAutoHyphens/>
              <w:ind w:left="-108" w:right="-108"/>
              <w:jc w:val="center"/>
              <w:rPr>
                <w:rFonts w:cs="Arial"/>
                <w:b/>
                <w:spacing w:val="-2"/>
              </w:rPr>
            </w:pPr>
            <w:r w:rsidRPr="00F45179">
              <w:rPr>
                <w:rFonts w:cs="Arial"/>
                <w:b/>
                <w:spacing w:val="-2"/>
              </w:rPr>
              <w:t>Revaluation Reserve</w:t>
            </w:r>
          </w:p>
        </w:tc>
        <w:tc>
          <w:tcPr>
            <w:tcW w:w="1134" w:type="dxa"/>
          </w:tcPr>
          <w:p w14:paraId="3954E46D" w14:textId="77777777" w:rsidR="007F51CA" w:rsidRPr="00F45179" w:rsidRDefault="007F51CA" w:rsidP="00C36B43">
            <w:pPr>
              <w:suppressAutoHyphens/>
              <w:ind w:right="138"/>
              <w:jc w:val="center"/>
              <w:rPr>
                <w:rFonts w:cs="Arial"/>
                <w:b/>
                <w:spacing w:val="-2"/>
              </w:rPr>
            </w:pPr>
          </w:p>
          <w:p w14:paraId="08CBFCC6" w14:textId="77777777" w:rsidR="007F51CA" w:rsidRPr="00F45179" w:rsidRDefault="007F51CA" w:rsidP="00C36B43">
            <w:pPr>
              <w:suppressAutoHyphens/>
              <w:ind w:right="34"/>
              <w:jc w:val="center"/>
              <w:rPr>
                <w:rFonts w:cs="Arial"/>
                <w:b/>
                <w:spacing w:val="-2"/>
              </w:rPr>
            </w:pPr>
            <w:r w:rsidRPr="00F45179">
              <w:rPr>
                <w:rFonts w:cs="Arial"/>
                <w:b/>
                <w:spacing w:val="-2"/>
              </w:rPr>
              <w:t>Other Reserves</w:t>
            </w:r>
          </w:p>
        </w:tc>
        <w:tc>
          <w:tcPr>
            <w:tcW w:w="1134" w:type="dxa"/>
          </w:tcPr>
          <w:p w14:paraId="14ACDCDF" w14:textId="77777777" w:rsidR="007F51CA" w:rsidRPr="00F45179" w:rsidRDefault="007F51CA" w:rsidP="00C36B43">
            <w:pPr>
              <w:suppressAutoHyphens/>
              <w:ind w:right="138"/>
              <w:jc w:val="center"/>
              <w:rPr>
                <w:rFonts w:cs="Arial"/>
                <w:b/>
                <w:spacing w:val="-2"/>
              </w:rPr>
            </w:pPr>
          </w:p>
          <w:p w14:paraId="46A21F8B" w14:textId="77777777" w:rsidR="007F51CA" w:rsidRPr="00F45179" w:rsidRDefault="007F51CA" w:rsidP="00C36B43">
            <w:pPr>
              <w:suppressAutoHyphens/>
              <w:jc w:val="center"/>
              <w:rPr>
                <w:rFonts w:cs="Arial"/>
                <w:b/>
                <w:spacing w:val="-2"/>
              </w:rPr>
            </w:pPr>
            <w:r w:rsidRPr="00F45179">
              <w:rPr>
                <w:rFonts w:cs="Arial"/>
                <w:b/>
                <w:spacing w:val="-2"/>
              </w:rPr>
              <w:t>Retained</w:t>
            </w:r>
          </w:p>
          <w:p w14:paraId="54A0EABE" w14:textId="77777777" w:rsidR="007F51CA" w:rsidRPr="00F45179" w:rsidRDefault="007F51CA" w:rsidP="00C36B43">
            <w:pPr>
              <w:suppressAutoHyphens/>
              <w:jc w:val="center"/>
              <w:rPr>
                <w:rFonts w:cs="Arial"/>
                <w:b/>
                <w:spacing w:val="-2"/>
              </w:rPr>
            </w:pPr>
            <w:r w:rsidRPr="00F45179">
              <w:rPr>
                <w:rFonts w:cs="Arial"/>
                <w:b/>
                <w:spacing w:val="-2"/>
              </w:rPr>
              <w:t>Earnings</w:t>
            </w:r>
          </w:p>
        </w:tc>
        <w:tc>
          <w:tcPr>
            <w:tcW w:w="1134" w:type="dxa"/>
          </w:tcPr>
          <w:p w14:paraId="3C5A4D4C" w14:textId="77777777" w:rsidR="007F51CA" w:rsidRPr="00F45179" w:rsidRDefault="007F51CA" w:rsidP="00C36B43">
            <w:pPr>
              <w:suppressAutoHyphens/>
              <w:ind w:right="138"/>
              <w:jc w:val="center"/>
              <w:rPr>
                <w:rFonts w:cs="Arial"/>
                <w:b/>
                <w:spacing w:val="-2"/>
              </w:rPr>
            </w:pPr>
          </w:p>
          <w:p w14:paraId="6F542104" w14:textId="77777777" w:rsidR="007F51CA" w:rsidRPr="00F45179" w:rsidRDefault="007F51CA" w:rsidP="00C36B43">
            <w:pPr>
              <w:suppressAutoHyphens/>
              <w:jc w:val="center"/>
              <w:rPr>
                <w:rFonts w:cs="Arial"/>
                <w:b/>
                <w:spacing w:val="-2"/>
              </w:rPr>
            </w:pPr>
            <w:r w:rsidRPr="00F45179">
              <w:rPr>
                <w:rFonts w:cs="Arial"/>
                <w:b/>
                <w:spacing w:val="-2"/>
              </w:rPr>
              <w:t>Hedging Reserve</w:t>
            </w:r>
          </w:p>
        </w:tc>
        <w:tc>
          <w:tcPr>
            <w:tcW w:w="1276" w:type="dxa"/>
          </w:tcPr>
          <w:p w14:paraId="09839071" w14:textId="77777777" w:rsidR="007F51CA" w:rsidRPr="00F45179" w:rsidRDefault="007F51CA" w:rsidP="00C36B43">
            <w:pPr>
              <w:tabs>
                <w:tab w:val="left" w:pos="1168"/>
              </w:tabs>
              <w:suppressAutoHyphens/>
              <w:jc w:val="center"/>
              <w:rPr>
                <w:rFonts w:cs="Arial"/>
                <w:b/>
                <w:spacing w:val="-2"/>
              </w:rPr>
            </w:pPr>
            <w:r w:rsidRPr="00F45179">
              <w:rPr>
                <w:rFonts w:cs="Arial"/>
                <w:b/>
                <w:spacing w:val="-2"/>
              </w:rPr>
              <w:t>Non-controlling Interest</w:t>
            </w:r>
          </w:p>
        </w:tc>
        <w:tc>
          <w:tcPr>
            <w:tcW w:w="1134" w:type="dxa"/>
          </w:tcPr>
          <w:p w14:paraId="1748E771" w14:textId="77777777" w:rsidR="007F51CA" w:rsidRPr="00F45179" w:rsidRDefault="007F51CA" w:rsidP="00C36B43">
            <w:pPr>
              <w:suppressAutoHyphens/>
              <w:ind w:right="138"/>
              <w:jc w:val="center"/>
              <w:rPr>
                <w:rFonts w:cs="Arial"/>
                <w:b/>
                <w:spacing w:val="-2"/>
              </w:rPr>
            </w:pPr>
          </w:p>
          <w:p w14:paraId="62E389DA" w14:textId="77777777" w:rsidR="007F51CA" w:rsidRPr="00F45179" w:rsidRDefault="007F51CA" w:rsidP="00C36B43">
            <w:pPr>
              <w:suppressAutoHyphens/>
              <w:ind w:right="138"/>
              <w:jc w:val="center"/>
              <w:rPr>
                <w:rFonts w:cs="Arial"/>
                <w:b/>
                <w:spacing w:val="-2"/>
              </w:rPr>
            </w:pPr>
          </w:p>
          <w:p w14:paraId="4E2C6C0D" w14:textId="77777777" w:rsidR="007F51CA" w:rsidRPr="00F45179" w:rsidRDefault="007F51CA" w:rsidP="00C36B43">
            <w:pPr>
              <w:suppressAutoHyphens/>
              <w:ind w:left="113"/>
              <w:jc w:val="center"/>
              <w:rPr>
                <w:rFonts w:cs="Arial"/>
                <w:b/>
                <w:spacing w:val="-2"/>
              </w:rPr>
            </w:pPr>
            <w:r w:rsidRPr="00F45179">
              <w:rPr>
                <w:rFonts w:cs="Arial"/>
                <w:b/>
                <w:spacing w:val="-2"/>
              </w:rPr>
              <w:t>Total</w:t>
            </w:r>
          </w:p>
        </w:tc>
      </w:tr>
      <w:tr w:rsidR="007F51CA" w:rsidRPr="00F45179" w14:paraId="1566AFF0" w14:textId="77777777" w:rsidTr="00C36B43">
        <w:tc>
          <w:tcPr>
            <w:tcW w:w="2552" w:type="dxa"/>
          </w:tcPr>
          <w:p w14:paraId="63DA1D4D" w14:textId="77777777" w:rsidR="007F51CA" w:rsidRPr="00C328EF" w:rsidRDefault="007F51CA" w:rsidP="00C36B43">
            <w:pPr>
              <w:jc w:val="center"/>
              <w:rPr>
                <w:b/>
                <w:highlight w:val="yellow"/>
              </w:rPr>
            </w:pPr>
          </w:p>
        </w:tc>
        <w:tc>
          <w:tcPr>
            <w:tcW w:w="709" w:type="dxa"/>
            <w:gridSpan w:val="3"/>
          </w:tcPr>
          <w:p w14:paraId="41A2F1D5" w14:textId="77777777" w:rsidR="007F51CA" w:rsidRPr="00F45179" w:rsidRDefault="007F51CA" w:rsidP="00C36B43">
            <w:pPr>
              <w:ind w:right="-108"/>
              <w:rPr>
                <w:b/>
              </w:rPr>
            </w:pPr>
            <w:r w:rsidRPr="00F45179">
              <w:rPr>
                <w:b/>
              </w:rPr>
              <w:t>Note</w:t>
            </w:r>
          </w:p>
        </w:tc>
        <w:tc>
          <w:tcPr>
            <w:tcW w:w="992" w:type="dxa"/>
            <w:gridSpan w:val="2"/>
          </w:tcPr>
          <w:p w14:paraId="23245092" w14:textId="77777777" w:rsidR="007F51CA" w:rsidRPr="00F45179" w:rsidRDefault="007F51CA" w:rsidP="00C36B43">
            <w:pPr>
              <w:suppressAutoHyphens/>
              <w:ind w:right="138"/>
              <w:jc w:val="right"/>
              <w:rPr>
                <w:rFonts w:cs="Arial"/>
                <w:b/>
                <w:spacing w:val="-2"/>
              </w:rPr>
            </w:pPr>
            <w:r w:rsidRPr="00F45179">
              <w:rPr>
                <w:rFonts w:cs="Arial"/>
                <w:b/>
                <w:spacing w:val="-2"/>
              </w:rPr>
              <w:t>£’000</w:t>
            </w:r>
          </w:p>
        </w:tc>
        <w:tc>
          <w:tcPr>
            <w:tcW w:w="1134" w:type="dxa"/>
          </w:tcPr>
          <w:p w14:paraId="4333C2DC" w14:textId="77777777" w:rsidR="007F51CA" w:rsidRPr="00F45179" w:rsidRDefault="007F51CA" w:rsidP="00C36B43">
            <w:pPr>
              <w:suppressAutoHyphens/>
              <w:ind w:right="138"/>
              <w:jc w:val="right"/>
              <w:rPr>
                <w:rFonts w:cs="Arial"/>
                <w:b/>
                <w:spacing w:val="-2"/>
              </w:rPr>
            </w:pPr>
            <w:r w:rsidRPr="00F45179">
              <w:rPr>
                <w:rFonts w:cs="Arial"/>
                <w:b/>
                <w:spacing w:val="-2"/>
              </w:rPr>
              <w:t>£’000</w:t>
            </w:r>
          </w:p>
        </w:tc>
        <w:tc>
          <w:tcPr>
            <w:tcW w:w="1134" w:type="dxa"/>
          </w:tcPr>
          <w:p w14:paraId="33C75940" w14:textId="77777777" w:rsidR="007F51CA" w:rsidRPr="00F45179" w:rsidRDefault="007F51CA" w:rsidP="00C36B43">
            <w:pPr>
              <w:suppressAutoHyphens/>
              <w:ind w:right="138"/>
              <w:jc w:val="right"/>
              <w:rPr>
                <w:rFonts w:cs="Arial"/>
                <w:b/>
                <w:spacing w:val="-2"/>
              </w:rPr>
            </w:pPr>
            <w:r w:rsidRPr="00F45179">
              <w:rPr>
                <w:rFonts w:cs="Arial"/>
                <w:b/>
                <w:spacing w:val="-2"/>
              </w:rPr>
              <w:t>£’000</w:t>
            </w:r>
          </w:p>
        </w:tc>
        <w:tc>
          <w:tcPr>
            <w:tcW w:w="1134" w:type="dxa"/>
          </w:tcPr>
          <w:p w14:paraId="01B7B23D" w14:textId="77777777" w:rsidR="007F51CA" w:rsidRPr="00F45179" w:rsidRDefault="007F51CA" w:rsidP="00C36B43">
            <w:pPr>
              <w:suppressAutoHyphens/>
              <w:ind w:right="138"/>
              <w:jc w:val="right"/>
              <w:rPr>
                <w:rFonts w:cs="Arial"/>
                <w:b/>
                <w:spacing w:val="-2"/>
              </w:rPr>
            </w:pPr>
            <w:r w:rsidRPr="00F45179">
              <w:rPr>
                <w:rFonts w:cs="Arial"/>
                <w:b/>
                <w:spacing w:val="-2"/>
              </w:rPr>
              <w:t>£’000</w:t>
            </w:r>
          </w:p>
        </w:tc>
        <w:tc>
          <w:tcPr>
            <w:tcW w:w="1134" w:type="dxa"/>
          </w:tcPr>
          <w:p w14:paraId="7F3D744C" w14:textId="77777777" w:rsidR="007F51CA" w:rsidRPr="00F45179" w:rsidRDefault="007F51CA" w:rsidP="00C36B43">
            <w:pPr>
              <w:suppressAutoHyphens/>
              <w:ind w:right="138"/>
              <w:jc w:val="right"/>
              <w:rPr>
                <w:rFonts w:cs="Arial"/>
                <w:b/>
                <w:spacing w:val="-2"/>
              </w:rPr>
            </w:pPr>
            <w:r w:rsidRPr="00F45179">
              <w:rPr>
                <w:rFonts w:cs="Arial"/>
                <w:b/>
                <w:spacing w:val="-2"/>
              </w:rPr>
              <w:t>£’000</w:t>
            </w:r>
          </w:p>
        </w:tc>
        <w:tc>
          <w:tcPr>
            <w:tcW w:w="1276" w:type="dxa"/>
          </w:tcPr>
          <w:p w14:paraId="73A372E8" w14:textId="77777777" w:rsidR="007F51CA" w:rsidRPr="00F45179" w:rsidRDefault="007F51CA" w:rsidP="00C36B43">
            <w:pPr>
              <w:suppressAutoHyphens/>
              <w:ind w:right="138"/>
              <w:jc w:val="right"/>
              <w:rPr>
                <w:rFonts w:cs="Arial"/>
                <w:b/>
                <w:spacing w:val="-2"/>
              </w:rPr>
            </w:pPr>
            <w:r w:rsidRPr="00F45179">
              <w:rPr>
                <w:rFonts w:cs="Arial"/>
                <w:b/>
                <w:spacing w:val="-2"/>
              </w:rPr>
              <w:t>£’000</w:t>
            </w:r>
          </w:p>
        </w:tc>
        <w:tc>
          <w:tcPr>
            <w:tcW w:w="1134" w:type="dxa"/>
          </w:tcPr>
          <w:p w14:paraId="607C2364" w14:textId="77777777" w:rsidR="007F51CA" w:rsidRPr="00F45179" w:rsidRDefault="007F51CA" w:rsidP="00C36B43">
            <w:pPr>
              <w:suppressAutoHyphens/>
              <w:ind w:right="138"/>
              <w:jc w:val="right"/>
              <w:rPr>
                <w:rFonts w:cs="Arial"/>
                <w:b/>
                <w:spacing w:val="-2"/>
              </w:rPr>
            </w:pPr>
            <w:r w:rsidRPr="00F45179">
              <w:rPr>
                <w:rFonts w:cs="Arial"/>
                <w:b/>
                <w:spacing w:val="-2"/>
              </w:rPr>
              <w:t>£’000</w:t>
            </w:r>
          </w:p>
        </w:tc>
      </w:tr>
      <w:tr w:rsidR="007F51CA" w:rsidRPr="00C328EF" w14:paraId="174C5553" w14:textId="77777777" w:rsidTr="00C36B43">
        <w:tc>
          <w:tcPr>
            <w:tcW w:w="2694" w:type="dxa"/>
            <w:gridSpan w:val="2"/>
          </w:tcPr>
          <w:p w14:paraId="1F78404A" w14:textId="77777777" w:rsidR="007F51CA" w:rsidRPr="004E6DE4" w:rsidRDefault="00280580" w:rsidP="00C36B43">
            <w:r>
              <w:rPr>
                <w:b/>
              </w:rPr>
              <w:t>Company</w:t>
            </w:r>
          </w:p>
        </w:tc>
        <w:tc>
          <w:tcPr>
            <w:tcW w:w="567" w:type="dxa"/>
            <w:gridSpan w:val="2"/>
          </w:tcPr>
          <w:p w14:paraId="63470FE7" w14:textId="77777777" w:rsidR="007F51CA" w:rsidRPr="00C328EF" w:rsidRDefault="007F51CA" w:rsidP="00C36B43">
            <w:pPr>
              <w:jc w:val="both"/>
              <w:rPr>
                <w:highlight w:val="yellow"/>
              </w:rPr>
            </w:pPr>
          </w:p>
        </w:tc>
        <w:tc>
          <w:tcPr>
            <w:tcW w:w="992" w:type="dxa"/>
            <w:gridSpan w:val="2"/>
          </w:tcPr>
          <w:p w14:paraId="3839F386" w14:textId="77777777" w:rsidR="007F51CA" w:rsidRPr="00C328EF" w:rsidRDefault="007F51CA" w:rsidP="00C36B43">
            <w:pPr>
              <w:ind w:right="204" w:firstLine="86"/>
              <w:jc w:val="both"/>
              <w:rPr>
                <w:highlight w:val="yellow"/>
              </w:rPr>
            </w:pPr>
            <w:r w:rsidRPr="00C328EF">
              <w:rPr>
                <w:highlight w:val="yellow"/>
              </w:rPr>
              <w:t xml:space="preserve">    </w:t>
            </w:r>
          </w:p>
        </w:tc>
        <w:tc>
          <w:tcPr>
            <w:tcW w:w="1134" w:type="dxa"/>
          </w:tcPr>
          <w:p w14:paraId="22403705" w14:textId="77777777" w:rsidR="007F51CA" w:rsidRPr="00C328EF" w:rsidRDefault="007F51CA" w:rsidP="00C36B43">
            <w:pPr>
              <w:ind w:right="72" w:firstLine="48"/>
              <w:jc w:val="both"/>
              <w:rPr>
                <w:highlight w:val="yellow"/>
              </w:rPr>
            </w:pPr>
          </w:p>
        </w:tc>
        <w:tc>
          <w:tcPr>
            <w:tcW w:w="1134" w:type="dxa"/>
          </w:tcPr>
          <w:p w14:paraId="148B7E68" w14:textId="77777777" w:rsidR="007F51CA" w:rsidRPr="00C328EF" w:rsidRDefault="007F51CA" w:rsidP="00C36B43">
            <w:pPr>
              <w:ind w:right="72" w:firstLine="48"/>
              <w:jc w:val="both"/>
              <w:rPr>
                <w:highlight w:val="yellow"/>
              </w:rPr>
            </w:pPr>
          </w:p>
        </w:tc>
        <w:tc>
          <w:tcPr>
            <w:tcW w:w="1134" w:type="dxa"/>
          </w:tcPr>
          <w:p w14:paraId="467D091D" w14:textId="77777777" w:rsidR="007F51CA" w:rsidRPr="00C328EF" w:rsidRDefault="007F51CA" w:rsidP="00C36B43">
            <w:pPr>
              <w:ind w:left="140" w:right="204"/>
              <w:jc w:val="both"/>
              <w:rPr>
                <w:highlight w:val="yellow"/>
              </w:rPr>
            </w:pPr>
          </w:p>
        </w:tc>
        <w:tc>
          <w:tcPr>
            <w:tcW w:w="1134" w:type="dxa"/>
          </w:tcPr>
          <w:p w14:paraId="45D37341" w14:textId="77777777" w:rsidR="007F51CA" w:rsidRPr="00C328EF" w:rsidRDefault="007F51CA" w:rsidP="00C36B43">
            <w:pPr>
              <w:jc w:val="both"/>
              <w:rPr>
                <w:highlight w:val="yellow"/>
              </w:rPr>
            </w:pPr>
          </w:p>
        </w:tc>
        <w:tc>
          <w:tcPr>
            <w:tcW w:w="1276" w:type="dxa"/>
          </w:tcPr>
          <w:p w14:paraId="5BF956A9" w14:textId="77777777" w:rsidR="007F51CA" w:rsidRPr="00C328EF" w:rsidRDefault="007F51CA" w:rsidP="00C36B43">
            <w:pPr>
              <w:jc w:val="both"/>
              <w:rPr>
                <w:highlight w:val="yellow"/>
              </w:rPr>
            </w:pPr>
          </w:p>
        </w:tc>
        <w:tc>
          <w:tcPr>
            <w:tcW w:w="1134" w:type="dxa"/>
          </w:tcPr>
          <w:p w14:paraId="077E6744" w14:textId="77777777" w:rsidR="007F51CA" w:rsidRPr="00C328EF" w:rsidRDefault="007F51CA" w:rsidP="00C36B43">
            <w:pPr>
              <w:ind w:right="1799"/>
              <w:jc w:val="both"/>
              <w:rPr>
                <w:highlight w:val="yellow"/>
              </w:rPr>
            </w:pPr>
          </w:p>
        </w:tc>
      </w:tr>
      <w:tr w:rsidR="007F51CA" w:rsidRPr="00C328EF" w14:paraId="7B1AD2A6" w14:textId="77777777" w:rsidTr="00C36B43">
        <w:tc>
          <w:tcPr>
            <w:tcW w:w="2694" w:type="dxa"/>
            <w:gridSpan w:val="2"/>
          </w:tcPr>
          <w:p w14:paraId="66721EC7" w14:textId="77777777" w:rsidR="007F51CA" w:rsidRPr="004E6DE4" w:rsidRDefault="007F51CA" w:rsidP="00C36B43">
            <w:pPr>
              <w:rPr>
                <w:b/>
              </w:rPr>
            </w:pPr>
            <w:r w:rsidRPr="004E6DE4">
              <w:rPr>
                <w:b/>
              </w:rPr>
              <w:t>Balance at 3</w:t>
            </w:r>
            <w:r>
              <w:rPr>
                <w:b/>
              </w:rPr>
              <w:t>0</w:t>
            </w:r>
            <w:r w:rsidRPr="004E6DE4">
              <w:rPr>
                <w:b/>
              </w:rPr>
              <w:t xml:space="preserve"> December 202</w:t>
            </w:r>
            <w:r>
              <w:rPr>
                <w:b/>
              </w:rPr>
              <w:t>3</w:t>
            </w:r>
          </w:p>
        </w:tc>
        <w:tc>
          <w:tcPr>
            <w:tcW w:w="567" w:type="dxa"/>
            <w:gridSpan w:val="2"/>
          </w:tcPr>
          <w:p w14:paraId="43139907" w14:textId="77777777" w:rsidR="007F51CA" w:rsidRPr="00C328EF" w:rsidRDefault="007F51CA" w:rsidP="00C36B43">
            <w:pPr>
              <w:tabs>
                <w:tab w:val="decimal" w:pos="942"/>
              </w:tabs>
              <w:jc w:val="both"/>
              <w:rPr>
                <w:highlight w:val="yellow"/>
              </w:rPr>
            </w:pPr>
          </w:p>
        </w:tc>
        <w:tc>
          <w:tcPr>
            <w:tcW w:w="850" w:type="dxa"/>
          </w:tcPr>
          <w:p w14:paraId="61E26820" w14:textId="77777777" w:rsidR="007F51CA" w:rsidRPr="004E6DE4" w:rsidRDefault="007F51CA" w:rsidP="00C36B43">
            <w:pPr>
              <w:tabs>
                <w:tab w:val="decimal" w:pos="885"/>
              </w:tabs>
              <w:ind w:left="-108"/>
            </w:pPr>
          </w:p>
          <w:p w14:paraId="45C17183" w14:textId="77777777" w:rsidR="007F51CA" w:rsidRPr="004E6DE4" w:rsidRDefault="007F51CA" w:rsidP="00C36B43">
            <w:pPr>
              <w:tabs>
                <w:tab w:val="decimal" w:pos="885"/>
              </w:tabs>
              <w:ind w:left="-108"/>
            </w:pPr>
            <w:r w:rsidRPr="004E6DE4">
              <w:t>53,878</w:t>
            </w:r>
          </w:p>
        </w:tc>
        <w:tc>
          <w:tcPr>
            <w:tcW w:w="1276" w:type="dxa"/>
            <w:gridSpan w:val="2"/>
          </w:tcPr>
          <w:p w14:paraId="292C78EC" w14:textId="77777777" w:rsidR="007F51CA" w:rsidRPr="004E6DE4" w:rsidRDefault="007F51CA" w:rsidP="00C36B43">
            <w:pPr>
              <w:tabs>
                <w:tab w:val="decimal" w:pos="885"/>
              </w:tabs>
              <w:ind w:left="-108"/>
            </w:pPr>
          </w:p>
          <w:p w14:paraId="2A27B068" w14:textId="77777777" w:rsidR="007F51CA" w:rsidRPr="004E6DE4" w:rsidRDefault="008C0DE0" w:rsidP="00C36B43">
            <w:pPr>
              <w:tabs>
                <w:tab w:val="decimal" w:pos="885"/>
              </w:tabs>
              <w:ind w:left="-108"/>
            </w:pPr>
            <w:r w:rsidRPr="008C0DE0">
              <w:t>-</w:t>
            </w:r>
          </w:p>
        </w:tc>
        <w:tc>
          <w:tcPr>
            <w:tcW w:w="1134" w:type="dxa"/>
          </w:tcPr>
          <w:p w14:paraId="4FA741E0" w14:textId="77777777" w:rsidR="007F51CA" w:rsidRPr="004E6DE4" w:rsidRDefault="007F51CA" w:rsidP="00C36B43">
            <w:pPr>
              <w:tabs>
                <w:tab w:val="decimal" w:pos="885"/>
              </w:tabs>
              <w:ind w:left="-108"/>
            </w:pPr>
          </w:p>
          <w:p w14:paraId="5E96FBC6" w14:textId="77777777" w:rsidR="007F51CA" w:rsidRPr="004E6DE4" w:rsidRDefault="008C0DE0" w:rsidP="00C36B43">
            <w:pPr>
              <w:tabs>
                <w:tab w:val="decimal" w:pos="885"/>
              </w:tabs>
              <w:ind w:left="-108"/>
            </w:pPr>
            <w:r w:rsidRPr="008C0DE0">
              <w:t>-</w:t>
            </w:r>
          </w:p>
        </w:tc>
        <w:tc>
          <w:tcPr>
            <w:tcW w:w="1134" w:type="dxa"/>
          </w:tcPr>
          <w:p w14:paraId="6145CD1E" w14:textId="77777777" w:rsidR="007F51CA" w:rsidRPr="004E6DE4" w:rsidRDefault="007F51CA" w:rsidP="00C36B43">
            <w:pPr>
              <w:tabs>
                <w:tab w:val="decimal" w:pos="885"/>
              </w:tabs>
              <w:ind w:left="-108"/>
            </w:pPr>
          </w:p>
          <w:p w14:paraId="4DDAF135" w14:textId="77777777" w:rsidR="007F51CA" w:rsidRPr="004E6DE4" w:rsidRDefault="008C0DE0" w:rsidP="00C36B43">
            <w:pPr>
              <w:tabs>
                <w:tab w:val="decimal" w:pos="885"/>
              </w:tabs>
              <w:ind w:left="-108"/>
            </w:pPr>
            <w:r>
              <w:t>(44,665)</w:t>
            </w:r>
          </w:p>
        </w:tc>
        <w:tc>
          <w:tcPr>
            <w:tcW w:w="1134" w:type="dxa"/>
          </w:tcPr>
          <w:p w14:paraId="63645B03" w14:textId="77777777" w:rsidR="007F51CA" w:rsidRPr="004E6DE4" w:rsidRDefault="007F51CA" w:rsidP="00C36B43">
            <w:pPr>
              <w:tabs>
                <w:tab w:val="decimal" w:pos="885"/>
              </w:tabs>
              <w:ind w:left="-108"/>
            </w:pPr>
          </w:p>
          <w:p w14:paraId="1C047D59" w14:textId="77777777" w:rsidR="007F51CA" w:rsidRPr="004E6DE4" w:rsidRDefault="008C0DE0" w:rsidP="00C36B43">
            <w:pPr>
              <w:tabs>
                <w:tab w:val="decimal" w:pos="885"/>
              </w:tabs>
              <w:ind w:left="-108"/>
            </w:pPr>
            <w:r w:rsidRPr="008C0DE0">
              <w:t>-</w:t>
            </w:r>
          </w:p>
        </w:tc>
        <w:tc>
          <w:tcPr>
            <w:tcW w:w="1276" w:type="dxa"/>
          </w:tcPr>
          <w:p w14:paraId="73499173" w14:textId="77777777" w:rsidR="007F51CA" w:rsidRPr="004E6DE4" w:rsidRDefault="007F51CA" w:rsidP="00C36B43">
            <w:pPr>
              <w:tabs>
                <w:tab w:val="decimal" w:pos="885"/>
              </w:tabs>
              <w:ind w:left="-108"/>
            </w:pPr>
          </w:p>
          <w:p w14:paraId="685DEBFA" w14:textId="77777777" w:rsidR="007F51CA" w:rsidRPr="004E6DE4" w:rsidRDefault="008C0DE0" w:rsidP="00C36B43">
            <w:pPr>
              <w:tabs>
                <w:tab w:val="decimal" w:pos="885"/>
              </w:tabs>
              <w:ind w:left="-108"/>
            </w:pPr>
            <w:r w:rsidRPr="008C0DE0">
              <w:t>-</w:t>
            </w:r>
          </w:p>
        </w:tc>
        <w:tc>
          <w:tcPr>
            <w:tcW w:w="1134" w:type="dxa"/>
          </w:tcPr>
          <w:p w14:paraId="7632B1C1" w14:textId="77777777" w:rsidR="007F51CA" w:rsidRPr="004E6DE4" w:rsidRDefault="007F51CA" w:rsidP="00C36B43">
            <w:pPr>
              <w:tabs>
                <w:tab w:val="decimal" w:pos="885"/>
              </w:tabs>
              <w:ind w:left="-108"/>
            </w:pPr>
          </w:p>
          <w:p w14:paraId="11DA3473" w14:textId="77777777" w:rsidR="007F51CA" w:rsidRPr="004E6DE4" w:rsidRDefault="008C0DE0" w:rsidP="00C36B43">
            <w:pPr>
              <w:tabs>
                <w:tab w:val="decimal" w:pos="885"/>
              </w:tabs>
              <w:ind w:left="-108"/>
            </w:pPr>
            <w:r>
              <w:t>9,213</w:t>
            </w:r>
          </w:p>
        </w:tc>
      </w:tr>
      <w:tr w:rsidR="007F51CA" w:rsidRPr="00C328EF" w14:paraId="2DE486EB" w14:textId="77777777" w:rsidTr="00C36B43">
        <w:tc>
          <w:tcPr>
            <w:tcW w:w="2694" w:type="dxa"/>
            <w:gridSpan w:val="2"/>
          </w:tcPr>
          <w:p w14:paraId="4F103752" w14:textId="77777777" w:rsidR="007F51CA" w:rsidRPr="00B65C0A" w:rsidRDefault="007F51CA" w:rsidP="00C36B43">
            <w:r w:rsidRPr="00B65C0A">
              <w:rPr>
                <w:b/>
              </w:rPr>
              <w:t>Comprehensive income/(expense)</w:t>
            </w:r>
          </w:p>
        </w:tc>
        <w:tc>
          <w:tcPr>
            <w:tcW w:w="567" w:type="dxa"/>
            <w:gridSpan w:val="2"/>
          </w:tcPr>
          <w:p w14:paraId="3C2718EF" w14:textId="77777777" w:rsidR="007F51CA" w:rsidRPr="00B65C0A" w:rsidRDefault="007F51CA" w:rsidP="00C36B43">
            <w:pPr>
              <w:tabs>
                <w:tab w:val="decimal" w:pos="942"/>
              </w:tabs>
              <w:jc w:val="both"/>
            </w:pPr>
          </w:p>
        </w:tc>
        <w:tc>
          <w:tcPr>
            <w:tcW w:w="850" w:type="dxa"/>
          </w:tcPr>
          <w:p w14:paraId="42F461FD" w14:textId="77777777" w:rsidR="007F51CA" w:rsidRPr="00B65C0A" w:rsidRDefault="007F51CA" w:rsidP="00C36B43">
            <w:pPr>
              <w:tabs>
                <w:tab w:val="decimal" w:pos="885"/>
              </w:tabs>
              <w:ind w:left="-108"/>
            </w:pPr>
          </w:p>
        </w:tc>
        <w:tc>
          <w:tcPr>
            <w:tcW w:w="1276" w:type="dxa"/>
            <w:gridSpan w:val="2"/>
          </w:tcPr>
          <w:p w14:paraId="34600698" w14:textId="77777777" w:rsidR="007F51CA" w:rsidRPr="00B65C0A" w:rsidRDefault="007F51CA" w:rsidP="00C36B43">
            <w:pPr>
              <w:tabs>
                <w:tab w:val="decimal" w:pos="885"/>
              </w:tabs>
              <w:ind w:left="-108"/>
            </w:pPr>
          </w:p>
        </w:tc>
        <w:tc>
          <w:tcPr>
            <w:tcW w:w="1134" w:type="dxa"/>
          </w:tcPr>
          <w:p w14:paraId="62E9CD55" w14:textId="77777777" w:rsidR="007F51CA" w:rsidRPr="00B65C0A" w:rsidRDefault="007F51CA" w:rsidP="00C36B43">
            <w:pPr>
              <w:tabs>
                <w:tab w:val="decimal" w:pos="885"/>
              </w:tabs>
              <w:ind w:left="-108"/>
            </w:pPr>
          </w:p>
        </w:tc>
        <w:tc>
          <w:tcPr>
            <w:tcW w:w="1134" w:type="dxa"/>
          </w:tcPr>
          <w:p w14:paraId="3E772719" w14:textId="77777777" w:rsidR="007F51CA" w:rsidRPr="00B65C0A" w:rsidRDefault="007F51CA" w:rsidP="00C36B43">
            <w:pPr>
              <w:tabs>
                <w:tab w:val="decimal" w:pos="885"/>
              </w:tabs>
              <w:ind w:left="-108"/>
            </w:pPr>
          </w:p>
        </w:tc>
        <w:tc>
          <w:tcPr>
            <w:tcW w:w="1134" w:type="dxa"/>
          </w:tcPr>
          <w:p w14:paraId="7C23AF2A" w14:textId="77777777" w:rsidR="007F51CA" w:rsidRPr="00B65C0A" w:rsidRDefault="007F51CA" w:rsidP="00C36B43">
            <w:pPr>
              <w:tabs>
                <w:tab w:val="decimal" w:pos="885"/>
              </w:tabs>
              <w:ind w:left="-108"/>
            </w:pPr>
          </w:p>
        </w:tc>
        <w:tc>
          <w:tcPr>
            <w:tcW w:w="1276" w:type="dxa"/>
          </w:tcPr>
          <w:p w14:paraId="0003CA3C" w14:textId="77777777" w:rsidR="007F51CA" w:rsidRPr="00B65C0A" w:rsidRDefault="007F51CA" w:rsidP="00C36B43">
            <w:pPr>
              <w:tabs>
                <w:tab w:val="decimal" w:pos="885"/>
              </w:tabs>
              <w:ind w:left="-108"/>
            </w:pPr>
          </w:p>
        </w:tc>
        <w:tc>
          <w:tcPr>
            <w:tcW w:w="1134" w:type="dxa"/>
          </w:tcPr>
          <w:p w14:paraId="2C720989" w14:textId="77777777" w:rsidR="007F51CA" w:rsidRPr="00B65C0A" w:rsidRDefault="007F51CA" w:rsidP="00C36B43">
            <w:pPr>
              <w:tabs>
                <w:tab w:val="decimal" w:pos="885"/>
              </w:tabs>
              <w:ind w:left="-108"/>
            </w:pPr>
          </w:p>
        </w:tc>
      </w:tr>
      <w:tr w:rsidR="007F51CA" w:rsidRPr="00C328EF" w14:paraId="3EB820DC" w14:textId="77777777" w:rsidTr="00C36B43">
        <w:tc>
          <w:tcPr>
            <w:tcW w:w="2694" w:type="dxa"/>
            <w:gridSpan w:val="2"/>
          </w:tcPr>
          <w:p w14:paraId="3318A4E0" w14:textId="77777777" w:rsidR="007F51CA" w:rsidRPr="00B65C0A" w:rsidRDefault="007F51CA" w:rsidP="00C36B43">
            <w:r w:rsidRPr="00B65C0A">
              <w:t xml:space="preserve">(Loss)/profit for the </w:t>
            </w:r>
            <w:r>
              <w:t>period</w:t>
            </w:r>
          </w:p>
        </w:tc>
        <w:tc>
          <w:tcPr>
            <w:tcW w:w="567" w:type="dxa"/>
            <w:gridSpan w:val="2"/>
          </w:tcPr>
          <w:p w14:paraId="5379E9BF" w14:textId="77777777" w:rsidR="007F51CA" w:rsidRPr="00B65C0A" w:rsidRDefault="007F51CA" w:rsidP="00C36B43">
            <w:pPr>
              <w:tabs>
                <w:tab w:val="decimal" w:pos="942"/>
              </w:tabs>
              <w:jc w:val="both"/>
            </w:pPr>
          </w:p>
        </w:tc>
        <w:tc>
          <w:tcPr>
            <w:tcW w:w="850" w:type="dxa"/>
          </w:tcPr>
          <w:p w14:paraId="070927B5" w14:textId="77777777" w:rsidR="007F51CA" w:rsidRPr="00B65C0A" w:rsidRDefault="007F51CA" w:rsidP="00C36B43">
            <w:pPr>
              <w:tabs>
                <w:tab w:val="decimal" w:pos="885"/>
              </w:tabs>
              <w:ind w:left="-108"/>
            </w:pPr>
            <w:r w:rsidRPr="00B65C0A">
              <w:t>-</w:t>
            </w:r>
          </w:p>
        </w:tc>
        <w:tc>
          <w:tcPr>
            <w:tcW w:w="1276" w:type="dxa"/>
            <w:gridSpan w:val="2"/>
          </w:tcPr>
          <w:p w14:paraId="05450859" w14:textId="77777777" w:rsidR="007F51CA" w:rsidRPr="00B65C0A" w:rsidRDefault="007F51CA" w:rsidP="00C36B43">
            <w:pPr>
              <w:tabs>
                <w:tab w:val="decimal" w:pos="885"/>
              </w:tabs>
              <w:ind w:left="-108"/>
            </w:pPr>
            <w:r w:rsidRPr="00B65C0A">
              <w:t>-</w:t>
            </w:r>
          </w:p>
        </w:tc>
        <w:tc>
          <w:tcPr>
            <w:tcW w:w="1134" w:type="dxa"/>
          </w:tcPr>
          <w:p w14:paraId="445DFDA6" w14:textId="77777777" w:rsidR="007F51CA" w:rsidRPr="00B65C0A" w:rsidRDefault="007F51CA" w:rsidP="00C36B43">
            <w:pPr>
              <w:tabs>
                <w:tab w:val="decimal" w:pos="885"/>
              </w:tabs>
              <w:ind w:left="-108"/>
            </w:pPr>
            <w:r w:rsidRPr="00B65C0A">
              <w:t>-</w:t>
            </w:r>
          </w:p>
        </w:tc>
        <w:tc>
          <w:tcPr>
            <w:tcW w:w="1134" w:type="dxa"/>
          </w:tcPr>
          <w:p w14:paraId="64D88F70" w14:textId="77777777" w:rsidR="007F51CA" w:rsidRPr="00B65C0A" w:rsidRDefault="007F51CA" w:rsidP="00C36B43">
            <w:pPr>
              <w:tabs>
                <w:tab w:val="decimal" w:pos="885"/>
              </w:tabs>
              <w:ind w:left="-108"/>
            </w:pPr>
            <w:r w:rsidRPr="00B65C0A">
              <w:t>(</w:t>
            </w:r>
            <w:r w:rsidR="008C0DE0">
              <w:t>8,179)</w:t>
            </w:r>
          </w:p>
        </w:tc>
        <w:tc>
          <w:tcPr>
            <w:tcW w:w="1134" w:type="dxa"/>
          </w:tcPr>
          <w:p w14:paraId="63039620" w14:textId="77777777" w:rsidR="007F51CA" w:rsidRPr="00B65C0A" w:rsidRDefault="007F51CA" w:rsidP="00C36B43">
            <w:pPr>
              <w:tabs>
                <w:tab w:val="decimal" w:pos="885"/>
              </w:tabs>
              <w:ind w:left="-108"/>
            </w:pPr>
            <w:r w:rsidRPr="00B65C0A">
              <w:t>-</w:t>
            </w:r>
          </w:p>
        </w:tc>
        <w:tc>
          <w:tcPr>
            <w:tcW w:w="1276" w:type="dxa"/>
          </w:tcPr>
          <w:p w14:paraId="1BA32CAF" w14:textId="77777777" w:rsidR="007F51CA" w:rsidRPr="00B65C0A" w:rsidRDefault="008C0DE0" w:rsidP="00C36B43">
            <w:pPr>
              <w:tabs>
                <w:tab w:val="decimal" w:pos="885"/>
              </w:tabs>
              <w:ind w:left="-108"/>
            </w:pPr>
            <w:r w:rsidRPr="008C0DE0">
              <w:t>-</w:t>
            </w:r>
          </w:p>
        </w:tc>
        <w:tc>
          <w:tcPr>
            <w:tcW w:w="1134" w:type="dxa"/>
          </w:tcPr>
          <w:p w14:paraId="5DF5EDFE" w14:textId="77777777" w:rsidR="007F51CA" w:rsidRPr="00B65C0A" w:rsidRDefault="007F51CA" w:rsidP="00C36B43">
            <w:pPr>
              <w:tabs>
                <w:tab w:val="decimal" w:pos="885"/>
              </w:tabs>
              <w:ind w:left="-108"/>
            </w:pPr>
            <w:r w:rsidRPr="00B65C0A">
              <w:t>(</w:t>
            </w:r>
            <w:r w:rsidR="008C0DE0">
              <w:t>8,179)</w:t>
            </w:r>
          </w:p>
        </w:tc>
      </w:tr>
      <w:tr w:rsidR="007F51CA" w:rsidRPr="00C328EF" w14:paraId="1FEA202D" w14:textId="77777777" w:rsidTr="00C36B43">
        <w:tc>
          <w:tcPr>
            <w:tcW w:w="2694" w:type="dxa"/>
            <w:gridSpan w:val="2"/>
          </w:tcPr>
          <w:p w14:paraId="38D16DDE" w14:textId="77777777" w:rsidR="007F51CA" w:rsidRPr="00B65C0A" w:rsidRDefault="007F51CA" w:rsidP="00C36B43">
            <w:r w:rsidRPr="00B65C0A">
              <w:rPr>
                <w:b/>
              </w:rPr>
              <w:t>Other comprehensive income/(expense)</w:t>
            </w:r>
          </w:p>
        </w:tc>
        <w:tc>
          <w:tcPr>
            <w:tcW w:w="567" w:type="dxa"/>
            <w:gridSpan w:val="2"/>
          </w:tcPr>
          <w:p w14:paraId="55709E3C" w14:textId="77777777" w:rsidR="007F51CA" w:rsidRPr="00B65C0A" w:rsidRDefault="007F51CA" w:rsidP="00C36B43">
            <w:pPr>
              <w:tabs>
                <w:tab w:val="decimal" w:pos="942"/>
              </w:tabs>
              <w:jc w:val="both"/>
            </w:pPr>
          </w:p>
        </w:tc>
        <w:tc>
          <w:tcPr>
            <w:tcW w:w="850" w:type="dxa"/>
          </w:tcPr>
          <w:p w14:paraId="5C7353AA" w14:textId="77777777" w:rsidR="007F51CA" w:rsidRPr="00B65C0A" w:rsidRDefault="007F51CA" w:rsidP="00C36B43">
            <w:pPr>
              <w:tabs>
                <w:tab w:val="decimal" w:pos="885"/>
              </w:tabs>
              <w:ind w:left="-108"/>
            </w:pPr>
          </w:p>
        </w:tc>
        <w:tc>
          <w:tcPr>
            <w:tcW w:w="1276" w:type="dxa"/>
            <w:gridSpan w:val="2"/>
          </w:tcPr>
          <w:p w14:paraId="4F5D81DD" w14:textId="77777777" w:rsidR="007F51CA" w:rsidRPr="00B65C0A" w:rsidRDefault="007F51CA" w:rsidP="00C36B43">
            <w:pPr>
              <w:tabs>
                <w:tab w:val="decimal" w:pos="885"/>
              </w:tabs>
              <w:ind w:left="-108"/>
            </w:pPr>
          </w:p>
        </w:tc>
        <w:tc>
          <w:tcPr>
            <w:tcW w:w="1134" w:type="dxa"/>
          </w:tcPr>
          <w:p w14:paraId="514BE4B5" w14:textId="77777777" w:rsidR="007F51CA" w:rsidRPr="00B65C0A" w:rsidRDefault="007F51CA" w:rsidP="00C36B43">
            <w:pPr>
              <w:tabs>
                <w:tab w:val="decimal" w:pos="885"/>
              </w:tabs>
              <w:ind w:left="-108"/>
            </w:pPr>
          </w:p>
        </w:tc>
        <w:tc>
          <w:tcPr>
            <w:tcW w:w="1134" w:type="dxa"/>
          </w:tcPr>
          <w:p w14:paraId="6791E365" w14:textId="77777777" w:rsidR="007F51CA" w:rsidRPr="00B65C0A" w:rsidRDefault="007F51CA" w:rsidP="00C36B43">
            <w:pPr>
              <w:tabs>
                <w:tab w:val="decimal" w:pos="885"/>
              </w:tabs>
              <w:ind w:left="-108"/>
            </w:pPr>
          </w:p>
        </w:tc>
        <w:tc>
          <w:tcPr>
            <w:tcW w:w="1134" w:type="dxa"/>
          </w:tcPr>
          <w:p w14:paraId="62CD8C41" w14:textId="77777777" w:rsidR="007F51CA" w:rsidRPr="00B65C0A" w:rsidRDefault="007F51CA" w:rsidP="00C36B43">
            <w:pPr>
              <w:tabs>
                <w:tab w:val="decimal" w:pos="885"/>
              </w:tabs>
              <w:ind w:left="-108"/>
            </w:pPr>
          </w:p>
        </w:tc>
        <w:tc>
          <w:tcPr>
            <w:tcW w:w="1276" w:type="dxa"/>
          </w:tcPr>
          <w:p w14:paraId="028A8F68" w14:textId="77777777" w:rsidR="007F51CA" w:rsidRPr="00B65C0A" w:rsidRDefault="007F51CA" w:rsidP="00C36B43">
            <w:pPr>
              <w:tabs>
                <w:tab w:val="decimal" w:pos="885"/>
              </w:tabs>
              <w:ind w:left="-108"/>
            </w:pPr>
          </w:p>
        </w:tc>
        <w:tc>
          <w:tcPr>
            <w:tcW w:w="1134" w:type="dxa"/>
          </w:tcPr>
          <w:p w14:paraId="18AC2A94" w14:textId="77777777" w:rsidR="007F51CA" w:rsidRPr="00B65C0A" w:rsidRDefault="007F51CA" w:rsidP="00C36B43">
            <w:pPr>
              <w:tabs>
                <w:tab w:val="decimal" w:pos="885"/>
              </w:tabs>
              <w:ind w:left="-108"/>
            </w:pPr>
          </w:p>
        </w:tc>
      </w:tr>
      <w:tr w:rsidR="007F51CA" w:rsidRPr="00C328EF" w14:paraId="4C277003" w14:textId="77777777" w:rsidTr="00C36B43">
        <w:tc>
          <w:tcPr>
            <w:tcW w:w="2694" w:type="dxa"/>
            <w:gridSpan w:val="2"/>
          </w:tcPr>
          <w:p w14:paraId="73E10F7F" w14:textId="77777777" w:rsidR="007F51CA" w:rsidRPr="008542CC" w:rsidRDefault="007F51CA" w:rsidP="00C36B43">
            <w:r w:rsidRPr="008542CC">
              <w:t>Revaluation of land and buildings</w:t>
            </w:r>
          </w:p>
        </w:tc>
        <w:tc>
          <w:tcPr>
            <w:tcW w:w="567" w:type="dxa"/>
            <w:gridSpan w:val="2"/>
          </w:tcPr>
          <w:p w14:paraId="1C1C8156" w14:textId="77777777" w:rsidR="007F51CA" w:rsidRPr="008542CC" w:rsidRDefault="007F51CA" w:rsidP="00C36B43">
            <w:pPr>
              <w:jc w:val="center"/>
              <w:rPr>
                <w:spacing w:val="-2"/>
              </w:rPr>
            </w:pPr>
          </w:p>
          <w:p w14:paraId="0C9A8002" w14:textId="77777777" w:rsidR="007F51CA" w:rsidRPr="008542CC" w:rsidRDefault="007F51CA" w:rsidP="00C36B43">
            <w:pPr>
              <w:jc w:val="center"/>
            </w:pPr>
          </w:p>
        </w:tc>
        <w:tc>
          <w:tcPr>
            <w:tcW w:w="850" w:type="dxa"/>
          </w:tcPr>
          <w:p w14:paraId="1E2D964F" w14:textId="77777777" w:rsidR="007F51CA" w:rsidRPr="008542CC" w:rsidRDefault="007F51CA" w:rsidP="00C36B43">
            <w:pPr>
              <w:tabs>
                <w:tab w:val="decimal" w:pos="885"/>
              </w:tabs>
              <w:ind w:left="-108"/>
            </w:pPr>
          </w:p>
          <w:p w14:paraId="55EC1669" w14:textId="77777777" w:rsidR="007F51CA" w:rsidRPr="008542CC" w:rsidRDefault="007F51CA" w:rsidP="00C36B43">
            <w:pPr>
              <w:tabs>
                <w:tab w:val="decimal" w:pos="885"/>
              </w:tabs>
              <w:ind w:left="-108"/>
            </w:pPr>
            <w:r w:rsidRPr="008542CC">
              <w:t>-</w:t>
            </w:r>
          </w:p>
        </w:tc>
        <w:tc>
          <w:tcPr>
            <w:tcW w:w="1276" w:type="dxa"/>
            <w:gridSpan w:val="2"/>
          </w:tcPr>
          <w:p w14:paraId="5D249F72" w14:textId="77777777" w:rsidR="007F51CA" w:rsidRPr="00B65C0A" w:rsidRDefault="007F51CA" w:rsidP="00C36B43">
            <w:pPr>
              <w:tabs>
                <w:tab w:val="decimal" w:pos="885"/>
              </w:tabs>
              <w:ind w:left="-108"/>
            </w:pPr>
          </w:p>
          <w:p w14:paraId="6105C86E" w14:textId="77777777" w:rsidR="007F51CA" w:rsidRPr="00B65C0A" w:rsidRDefault="008C0DE0" w:rsidP="00C36B43">
            <w:pPr>
              <w:tabs>
                <w:tab w:val="decimal" w:pos="885"/>
              </w:tabs>
              <w:ind w:left="-108"/>
            </w:pPr>
            <w:r w:rsidRPr="008C0DE0">
              <w:t>-</w:t>
            </w:r>
          </w:p>
        </w:tc>
        <w:tc>
          <w:tcPr>
            <w:tcW w:w="1134" w:type="dxa"/>
          </w:tcPr>
          <w:p w14:paraId="35E71301" w14:textId="77777777" w:rsidR="007F51CA" w:rsidRPr="00B65C0A" w:rsidRDefault="007F51CA" w:rsidP="00C36B43">
            <w:pPr>
              <w:tabs>
                <w:tab w:val="decimal" w:pos="885"/>
              </w:tabs>
              <w:ind w:left="-108"/>
            </w:pPr>
          </w:p>
          <w:p w14:paraId="7CD0EE8B" w14:textId="77777777" w:rsidR="007F51CA" w:rsidRPr="00B65C0A" w:rsidRDefault="007F51CA" w:rsidP="00C36B43">
            <w:pPr>
              <w:tabs>
                <w:tab w:val="decimal" w:pos="885"/>
              </w:tabs>
              <w:ind w:left="-108"/>
            </w:pPr>
            <w:r w:rsidRPr="00B65C0A">
              <w:t>-</w:t>
            </w:r>
          </w:p>
        </w:tc>
        <w:tc>
          <w:tcPr>
            <w:tcW w:w="1134" w:type="dxa"/>
          </w:tcPr>
          <w:p w14:paraId="765C3AE3" w14:textId="77777777" w:rsidR="007F51CA" w:rsidRPr="00B65C0A" w:rsidRDefault="007F51CA" w:rsidP="00C36B43">
            <w:pPr>
              <w:tabs>
                <w:tab w:val="decimal" w:pos="885"/>
              </w:tabs>
              <w:ind w:left="-108"/>
            </w:pPr>
          </w:p>
          <w:p w14:paraId="4B4C01FD" w14:textId="77777777" w:rsidR="007F51CA" w:rsidRPr="00B65C0A" w:rsidRDefault="007F51CA" w:rsidP="00C36B43">
            <w:pPr>
              <w:tabs>
                <w:tab w:val="decimal" w:pos="885"/>
              </w:tabs>
              <w:ind w:left="-108"/>
            </w:pPr>
            <w:r w:rsidRPr="00B65C0A">
              <w:t>-</w:t>
            </w:r>
          </w:p>
        </w:tc>
        <w:tc>
          <w:tcPr>
            <w:tcW w:w="1134" w:type="dxa"/>
          </w:tcPr>
          <w:p w14:paraId="3DF51390" w14:textId="77777777" w:rsidR="007F51CA" w:rsidRPr="00B65C0A" w:rsidRDefault="007F51CA" w:rsidP="00C36B43">
            <w:pPr>
              <w:tabs>
                <w:tab w:val="decimal" w:pos="885"/>
              </w:tabs>
              <w:ind w:left="-108"/>
            </w:pPr>
          </w:p>
          <w:p w14:paraId="7DFC4E2E" w14:textId="77777777" w:rsidR="007F51CA" w:rsidRPr="00B65C0A" w:rsidRDefault="007F51CA" w:rsidP="00C36B43">
            <w:pPr>
              <w:tabs>
                <w:tab w:val="decimal" w:pos="885"/>
              </w:tabs>
              <w:ind w:left="-108"/>
            </w:pPr>
            <w:r w:rsidRPr="00B65C0A">
              <w:t>-</w:t>
            </w:r>
          </w:p>
        </w:tc>
        <w:tc>
          <w:tcPr>
            <w:tcW w:w="1276" w:type="dxa"/>
          </w:tcPr>
          <w:p w14:paraId="535036DE" w14:textId="77777777" w:rsidR="007F51CA" w:rsidRPr="00B65C0A" w:rsidRDefault="007F51CA" w:rsidP="00C36B43">
            <w:pPr>
              <w:tabs>
                <w:tab w:val="decimal" w:pos="885"/>
              </w:tabs>
              <w:ind w:left="-108"/>
            </w:pPr>
          </w:p>
          <w:p w14:paraId="4755BBBD" w14:textId="77777777" w:rsidR="007F51CA" w:rsidRPr="00B65C0A" w:rsidRDefault="008C0DE0" w:rsidP="00C36B43">
            <w:pPr>
              <w:tabs>
                <w:tab w:val="decimal" w:pos="885"/>
              </w:tabs>
              <w:ind w:left="-108"/>
            </w:pPr>
            <w:r w:rsidRPr="008C0DE0">
              <w:t>-</w:t>
            </w:r>
          </w:p>
        </w:tc>
        <w:tc>
          <w:tcPr>
            <w:tcW w:w="1134" w:type="dxa"/>
          </w:tcPr>
          <w:p w14:paraId="3F101A60" w14:textId="77777777" w:rsidR="007F51CA" w:rsidRPr="00B65C0A" w:rsidRDefault="007F51CA" w:rsidP="00C36B43">
            <w:pPr>
              <w:tabs>
                <w:tab w:val="decimal" w:pos="885"/>
              </w:tabs>
              <w:ind w:left="-108"/>
            </w:pPr>
          </w:p>
          <w:p w14:paraId="67D0B11C" w14:textId="77777777" w:rsidR="007F51CA" w:rsidRPr="00B65C0A" w:rsidRDefault="008C0DE0" w:rsidP="00C36B43">
            <w:pPr>
              <w:tabs>
                <w:tab w:val="decimal" w:pos="885"/>
              </w:tabs>
              <w:ind w:left="-108"/>
            </w:pPr>
            <w:r w:rsidRPr="008C0DE0">
              <w:t>-</w:t>
            </w:r>
          </w:p>
        </w:tc>
      </w:tr>
      <w:tr w:rsidR="007F51CA" w:rsidRPr="00C328EF" w14:paraId="64F28342" w14:textId="77777777" w:rsidTr="00C36B43">
        <w:tc>
          <w:tcPr>
            <w:tcW w:w="2694" w:type="dxa"/>
            <w:gridSpan w:val="2"/>
          </w:tcPr>
          <w:p w14:paraId="20011210" w14:textId="77777777" w:rsidR="007F51CA" w:rsidRPr="00B65C0A" w:rsidRDefault="007F51CA" w:rsidP="00C36B43">
            <w:r w:rsidRPr="00B65C0A">
              <w:t>Actuarial loss on pension plan</w:t>
            </w:r>
          </w:p>
        </w:tc>
        <w:tc>
          <w:tcPr>
            <w:tcW w:w="567" w:type="dxa"/>
            <w:gridSpan w:val="2"/>
          </w:tcPr>
          <w:p w14:paraId="641EA3A9" w14:textId="77777777" w:rsidR="007F51CA" w:rsidRPr="00F80503" w:rsidRDefault="007F51CA" w:rsidP="00C36B43">
            <w:pPr>
              <w:jc w:val="center"/>
            </w:pPr>
          </w:p>
          <w:p w14:paraId="06797EE9" w14:textId="77777777" w:rsidR="007F51CA" w:rsidRPr="00F80503" w:rsidRDefault="007F51CA" w:rsidP="00C36B43">
            <w:pPr>
              <w:jc w:val="center"/>
            </w:pPr>
          </w:p>
        </w:tc>
        <w:tc>
          <w:tcPr>
            <w:tcW w:w="850" w:type="dxa"/>
          </w:tcPr>
          <w:p w14:paraId="7E06756D" w14:textId="77777777" w:rsidR="007F51CA" w:rsidRPr="001505F9" w:rsidRDefault="007F51CA" w:rsidP="00C36B43">
            <w:pPr>
              <w:tabs>
                <w:tab w:val="decimal" w:pos="885"/>
              </w:tabs>
              <w:ind w:left="-108"/>
            </w:pPr>
          </w:p>
          <w:p w14:paraId="58D3CD0F" w14:textId="77777777" w:rsidR="007F51CA" w:rsidRPr="001505F9" w:rsidRDefault="007F51CA" w:rsidP="00C36B43">
            <w:pPr>
              <w:tabs>
                <w:tab w:val="decimal" w:pos="885"/>
              </w:tabs>
              <w:ind w:left="-108"/>
            </w:pPr>
            <w:r w:rsidRPr="001505F9">
              <w:t>-</w:t>
            </w:r>
          </w:p>
        </w:tc>
        <w:tc>
          <w:tcPr>
            <w:tcW w:w="1276" w:type="dxa"/>
            <w:gridSpan w:val="2"/>
          </w:tcPr>
          <w:p w14:paraId="506E9908" w14:textId="77777777" w:rsidR="007F51CA" w:rsidRPr="00B65C0A" w:rsidRDefault="007F51CA" w:rsidP="00C36B43">
            <w:pPr>
              <w:tabs>
                <w:tab w:val="decimal" w:pos="885"/>
              </w:tabs>
              <w:ind w:left="-108"/>
            </w:pPr>
          </w:p>
          <w:p w14:paraId="3DF1A6EA" w14:textId="77777777" w:rsidR="007F51CA" w:rsidRPr="00B65C0A" w:rsidRDefault="007F51CA" w:rsidP="00C36B43">
            <w:pPr>
              <w:tabs>
                <w:tab w:val="decimal" w:pos="885"/>
              </w:tabs>
              <w:ind w:left="-108"/>
            </w:pPr>
            <w:r w:rsidRPr="00B65C0A">
              <w:t>-</w:t>
            </w:r>
          </w:p>
        </w:tc>
        <w:tc>
          <w:tcPr>
            <w:tcW w:w="1134" w:type="dxa"/>
          </w:tcPr>
          <w:p w14:paraId="7A9D4522" w14:textId="77777777" w:rsidR="007F51CA" w:rsidRPr="00B65C0A" w:rsidRDefault="007F51CA" w:rsidP="00C36B43">
            <w:pPr>
              <w:tabs>
                <w:tab w:val="decimal" w:pos="885"/>
              </w:tabs>
              <w:ind w:left="-108"/>
            </w:pPr>
          </w:p>
          <w:p w14:paraId="7E72194A" w14:textId="77777777" w:rsidR="007F51CA" w:rsidRPr="00B65C0A" w:rsidRDefault="007F51CA" w:rsidP="00C36B43">
            <w:pPr>
              <w:tabs>
                <w:tab w:val="decimal" w:pos="885"/>
              </w:tabs>
              <w:ind w:left="-108"/>
            </w:pPr>
            <w:r w:rsidRPr="00B65C0A">
              <w:t>-</w:t>
            </w:r>
          </w:p>
        </w:tc>
        <w:tc>
          <w:tcPr>
            <w:tcW w:w="1134" w:type="dxa"/>
          </w:tcPr>
          <w:p w14:paraId="7A413A78" w14:textId="77777777" w:rsidR="007F51CA" w:rsidRPr="00B65C0A" w:rsidRDefault="007F51CA" w:rsidP="00C36B43">
            <w:pPr>
              <w:tabs>
                <w:tab w:val="decimal" w:pos="885"/>
              </w:tabs>
              <w:ind w:left="-108"/>
            </w:pPr>
          </w:p>
          <w:p w14:paraId="336D00E9" w14:textId="77777777" w:rsidR="007F51CA" w:rsidRPr="00B65C0A" w:rsidRDefault="008C0DE0" w:rsidP="00C36B43">
            <w:pPr>
              <w:tabs>
                <w:tab w:val="decimal" w:pos="885"/>
              </w:tabs>
              <w:ind w:left="-108"/>
            </w:pPr>
            <w:r w:rsidRPr="008C0DE0">
              <w:t>-</w:t>
            </w:r>
          </w:p>
        </w:tc>
        <w:tc>
          <w:tcPr>
            <w:tcW w:w="1134" w:type="dxa"/>
          </w:tcPr>
          <w:p w14:paraId="77C8B319" w14:textId="77777777" w:rsidR="007F51CA" w:rsidRPr="00B65C0A" w:rsidRDefault="007F51CA" w:rsidP="00C36B43">
            <w:pPr>
              <w:tabs>
                <w:tab w:val="decimal" w:pos="885"/>
              </w:tabs>
              <w:ind w:left="-108"/>
            </w:pPr>
          </w:p>
          <w:p w14:paraId="698BB8B8" w14:textId="77777777" w:rsidR="007F51CA" w:rsidRPr="00B65C0A" w:rsidRDefault="007F51CA" w:rsidP="00C36B43">
            <w:pPr>
              <w:tabs>
                <w:tab w:val="decimal" w:pos="885"/>
              </w:tabs>
              <w:ind w:left="-108"/>
            </w:pPr>
            <w:r w:rsidRPr="00B65C0A">
              <w:t>-</w:t>
            </w:r>
          </w:p>
        </w:tc>
        <w:tc>
          <w:tcPr>
            <w:tcW w:w="1276" w:type="dxa"/>
          </w:tcPr>
          <w:p w14:paraId="303A67C0" w14:textId="77777777" w:rsidR="007F51CA" w:rsidRPr="00B65C0A" w:rsidRDefault="007F51CA" w:rsidP="00C36B43">
            <w:pPr>
              <w:tabs>
                <w:tab w:val="decimal" w:pos="885"/>
              </w:tabs>
              <w:ind w:left="-108"/>
            </w:pPr>
          </w:p>
          <w:p w14:paraId="4BAB02B9" w14:textId="77777777" w:rsidR="007F51CA" w:rsidRPr="00B65C0A" w:rsidRDefault="008C0DE0" w:rsidP="00C36B43">
            <w:pPr>
              <w:tabs>
                <w:tab w:val="decimal" w:pos="885"/>
              </w:tabs>
              <w:ind w:left="-108"/>
            </w:pPr>
            <w:r w:rsidRPr="008C0DE0">
              <w:t>-</w:t>
            </w:r>
          </w:p>
        </w:tc>
        <w:tc>
          <w:tcPr>
            <w:tcW w:w="1134" w:type="dxa"/>
          </w:tcPr>
          <w:p w14:paraId="7A94421A" w14:textId="77777777" w:rsidR="007F51CA" w:rsidRPr="00B65C0A" w:rsidRDefault="007F51CA" w:rsidP="00C36B43">
            <w:pPr>
              <w:tabs>
                <w:tab w:val="decimal" w:pos="885"/>
              </w:tabs>
              <w:ind w:left="-108"/>
            </w:pPr>
          </w:p>
          <w:p w14:paraId="24B8E9EA" w14:textId="77777777" w:rsidR="007F51CA" w:rsidRPr="00B65C0A" w:rsidRDefault="008C0DE0" w:rsidP="00C36B43">
            <w:pPr>
              <w:tabs>
                <w:tab w:val="decimal" w:pos="885"/>
              </w:tabs>
              <w:ind w:left="-108"/>
            </w:pPr>
            <w:r w:rsidRPr="008C0DE0">
              <w:t>-</w:t>
            </w:r>
          </w:p>
        </w:tc>
      </w:tr>
      <w:tr w:rsidR="007F51CA" w:rsidRPr="00C328EF" w14:paraId="50D0DCCF" w14:textId="77777777" w:rsidTr="00C36B43">
        <w:tc>
          <w:tcPr>
            <w:tcW w:w="2694" w:type="dxa"/>
            <w:gridSpan w:val="2"/>
          </w:tcPr>
          <w:p w14:paraId="46A25F3B" w14:textId="77777777" w:rsidR="007F51CA" w:rsidRPr="00B65C0A" w:rsidRDefault="007F51CA" w:rsidP="00C36B43">
            <w:r w:rsidRPr="00B65C0A">
              <w:t>Deferred tax thereon</w:t>
            </w:r>
          </w:p>
        </w:tc>
        <w:tc>
          <w:tcPr>
            <w:tcW w:w="567" w:type="dxa"/>
            <w:gridSpan w:val="2"/>
          </w:tcPr>
          <w:p w14:paraId="5E2C359F" w14:textId="77777777" w:rsidR="007F51CA" w:rsidRPr="00F80503" w:rsidRDefault="007F51CA" w:rsidP="00C36B43">
            <w:pPr>
              <w:jc w:val="center"/>
            </w:pPr>
          </w:p>
        </w:tc>
        <w:tc>
          <w:tcPr>
            <w:tcW w:w="850" w:type="dxa"/>
          </w:tcPr>
          <w:p w14:paraId="6111F0C6" w14:textId="77777777" w:rsidR="007F51CA" w:rsidRPr="001505F9" w:rsidRDefault="007F51CA" w:rsidP="00C36B43">
            <w:pPr>
              <w:tabs>
                <w:tab w:val="decimal" w:pos="885"/>
              </w:tabs>
              <w:ind w:left="-108"/>
            </w:pPr>
            <w:r w:rsidRPr="001505F9">
              <w:t>-</w:t>
            </w:r>
          </w:p>
        </w:tc>
        <w:tc>
          <w:tcPr>
            <w:tcW w:w="1276" w:type="dxa"/>
            <w:gridSpan w:val="2"/>
          </w:tcPr>
          <w:p w14:paraId="084EB7DF" w14:textId="77777777" w:rsidR="007F51CA" w:rsidRPr="00B65C0A" w:rsidRDefault="007F51CA" w:rsidP="00C36B43">
            <w:pPr>
              <w:tabs>
                <w:tab w:val="decimal" w:pos="885"/>
              </w:tabs>
              <w:ind w:left="-108"/>
            </w:pPr>
            <w:r w:rsidRPr="00B65C0A">
              <w:t>-</w:t>
            </w:r>
          </w:p>
        </w:tc>
        <w:tc>
          <w:tcPr>
            <w:tcW w:w="1134" w:type="dxa"/>
          </w:tcPr>
          <w:p w14:paraId="4EF0949E" w14:textId="77777777" w:rsidR="007F51CA" w:rsidRPr="00B65C0A" w:rsidRDefault="007F51CA" w:rsidP="00C36B43">
            <w:pPr>
              <w:tabs>
                <w:tab w:val="decimal" w:pos="885"/>
              </w:tabs>
              <w:ind w:left="-108"/>
            </w:pPr>
            <w:r w:rsidRPr="00B65C0A">
              <w:t>-</w:t>
            </w:r>
          </w:p>
        </w:tc>
        <w:tc>
          <w:tcPr>
            <w:tcW w:w="1134" w:type="dxa"/>
          </w:tcPr>
          <w:p w14:paraId="7E824A7C" w14:textId="77777777" w:rsidR="007F51CA" w:rsidRPr="00B65C0A" w:rsidRDefault="008C0DE0" w:rsidP="00C36B43">
            <w:pPr>
              <w:tabs>
                <w:tab w:val="decimal" w:pos="885"/>
              </w:tabs>
              <w:ind w:left="-108"/>
            </w:pPr>
            <w:r w:rsidRPr="008C0DE0">
              <w:t>-</w:t>
            </w:r>
          </w:p>
        </w:tc>
        <w:tc>
          <w:tcPr>
            <w:tcW w:w="1134" w:type="dxa"/>
          </w:tcPr>
          <w:p w14:paraId="67707620" w14:textId="77777777" w:rsidR="007F51CA" w:rsidRPr="001505F9" w:rsidRDefault="007F51CA" w:rsidP="00C36B43">
            <w:pPr>
              <w:tabs>
                <w:tab w:val="decimal" w:pos="885"/>
              </w:tabs>
              <w:ind w:left="-108"/>
            </w:pPr>
            <w:r w:rsidRPr="001505F9">
              <w:t>-</w:t>
            </w:r>
          </w:p>
        </w:tc>
        <w:tc>
          <w:tcPr>
            <w:tcW w:w="1276" w:type="dxa"/>
          </w:tcPr>
          <w:p w14:paraId="607085DC" w14:textId="77777777" w:rsidR="007F51CA" w:rsidRPr="00B65C0A" w:rsidRDefault="008C0DE0" w:rsidP="00C36B43">
            <w:pPr>
              <w:tabs>
                <w:tab w:val="decimal" w:pos="885"/>
              </w:tabs>
              <w:ind w:left="-108"/>
            </w:pPr>
            <w:r w:rsidRPr="008C0DE0">
              <w:t>-</w:t>
            </w:r>
          </w:p>
        </w:tc>
        <w:tc>
          <w:tcPr>
            <w:tcW w:w="1134" w:type="dxa"/>
          </w:tcPr>
          <w:p w14:paraId="57CC39C3" w14:textId="77777777" w:rsidR="007F51CA" w:rsidRPr="00B65C0A" w:rsidRDefault="008C0DE0" w:rsidP="00C36B43">
            <w:pPr>
              <w:tabs>
                <w:tab w:val="decimal" w:pos="885"/>
              </w:tabs>
              <w:ind w:left="-108"/>
            </w:pPr>
            <w:r w:rsidRPr="008C0DE0">
              <w:t>-</w:t>
            </w:r>
          </w:p>
        </w:tc>
      </w:tr>
      <w:tr w:rsidR="007F51CA" w:rsidRPr="00C328EF" w14:paraId="053A788F" w14:textId="77777777" w:rsidTr="00C36B43">
        <w:tc>
          <w:tcPr>
            <w:tcW w:w="2694" w:type="dxa"/>
            <w:gridSpan w:val="2"/>
          </w:tcPr>
          <w:p w14:paraId="77B3CB69" w14:textId="77777777" w:rsidR="007F51CA" w:rsidRPr="00B65C0A" w:rsidRDefault="007F51CA" w:rsidP="00C36B43">
            <w:r w:rsidRPr="00B65C0A">
              <w:t>Net fair value movements on cash flow hedges</w:t>
            </w:r>
          </w:p>
        </w:tc>
        <w:tc>
          <w:tcPr>
            <w:tcW w:w="567" w:type="dxa"/>
            <w:gridSpan w:val="2"/>
          </w:tcPr>
          <w:p w14:paraId="478F6FA8" w14:textId="77777777" w:rsidR="007F51CA" w:rsidRPr="0047306F" w:rsidRDefault="007F51CA" w:rsidP="00C36B43">
            <w:pPr>
              <w:jc w:val="center"/>
            </w:pPr>
          </w:p>
          <w:p w14:paraId="64BB6B40" w14:textId="77777777" w:rsidR="007F51CA" w:rsidRPr="0047306F" w:rsidRDefault="007F51CA" w:rsidP="00C36B43">
            <w:pPr>
              <w:jc w:val="center"/>
            </w:pPr>
          </w:p>
        </w:tc>
        <w:tc>
          <w:tcPr>
            <w:tcW w:w="850" w:type="dxa"/>
          </w:tcPr>
          <w:p w14:paraId="050E73AF" w14:textId="77777777" w:rsidR="007F51CA" w:rsidRPr="001505F9" w:rsidRDefault="007F51CA" w:rsidP="00C36B43">
            <w:pPr>
              <w:tabs>
                <w:tab w:val="decimal" w:pos="885"/>
              </w:tabs>
              <w:ind w:left="-108"/>
            </w:pPr>
          </w:p>
          <w:p w14:paraId="1678B69A" w14:textId="77777777" w:rsidR="007F51CA" w:rsidRPr="001505F9" w:rsidRDefault="007F51CA" w:rsidP="00C36B43">
            <w:pPr>
              <w:tabs>
                <w:tab w:val="decimal" w:pos="885"/>
              </w:tabs>
              <w:ind w:left="-108"/>
            </w:pPr>
            <w:r w:rsidRPr="001505F9">
              <w:t>-</w:t>
            </w:r>
          </w:p>
        </w:tc>
        <w:tc>
          <w:tcPr>
            <w:tcW w:w="1276" w:type="dxa"/>
            <w:gridSpan w:val="2"/>
          </w:tcPr>
          <w:p w14:paraId="3001E400" w14:textId="77777777" w:rsidR="007F51CA" w:rsidRPr="00B65C0A" w:rsidRDefault="007F51CA" w:rsidP="00C36B43">
            <w:pPr>
              <w:tabs>
                <w:tab w:val="decimal" w:pos="885"/>
              </w:tabs>
              <w:ind w:left="-108"/>
            </w:pPr>
          </w:p>
          <w:p w14:paraId="5394945D" w14:textId="77777777" w:rsidR="007F51CA" w:rsidRPr="00B65C0A" w:rsidRDefault="007F51CA" w:rsidP="00C36B43">
            <w:pPr>
              <w:tabs>
                <w:tab w:val="decimal" w:pos="885"/>
              </w:tabs>
              <w:ind w:left="-108"/>
            </w:pPr>
            <w:r w:rsidRPr="00B65C0A">
              <w:t>-</w:t>
            </w:r>
          </w:p>
        </w:tc>
        <w:tc>
          <w:tcPr>
            <w:tcW w:w="1134" w:type="dxa"/>
          </w:tcPr>
          <w:p w14:paraId="060C8EC1" w14:textId="77777777" w:rsidR="007F51CA" w:rsidRPr="00B65C0A" w:rsidRDefault="007F51CA" w:rsidP="00C36B43">
            <w:pPr>
              <w:tabs>
                <w:tab w:val="decimal" w:pos="885"/>
              </w:tabs>
              <w:ind w:left="-108"/>
            </w:pPr>
          </w:p>
          <w:p w14:paraId="2ACD22DC" w14:textId="77777777" w:rsidR="007F51CA" w:rsidRPr="00B65C0A" w:rsidRDefault="007F51CA" w:rsidP="00C36B43">
            <w:pPr>
              <w:tabs>
                <w:tab w:val="decimal" w:pos="885"/>
              </w:tabs>
              <w:ind w:left="-108"/>
            </w:pPr>
            <w:r w:rsidRPr="00B65C0A">
              <w:t>-</w:t>
            </w:r>
          </w:p>
        </w:tc>
        <w:tc>
          <w:tcPr>
            <w:tcW w:w="1134" w:type="dxa"/>
          </w:tcPr>
          <w:p w14:paraId="1ABF13DD" w14:textId="77777777" w:rsidR="007F51CA" w:rsidRPr="00B65C0A" w:rsidRDefault="007F51CA" w:rsidP="00C36B43">
            <w:pPr>
              <w:tabs>
                <w:tab w:val="decimal" w:pos="885"/>
              </w:tabs>
              <w:ind w:left="-108"/>
            </w:pPr>
          </w:p>
          <w:p w14:paraId="2F69B2C5" w14:textId="77777777" w:rsidR="007F51CA" w:rsidRPr="00B65C0A" w:rsidRDefault="007F51CA" w:rsidP="00C36B43">
            <w:pPr>
              <w:tabs>
                <w:tab w:val="decimal" w:pos="885"/>
              </w:tabs>
              <w:ind w:left="-108"/>
            </w:pPr>
            <w:r w:rsidRPr="00B65C0A">
              <w:t>-</w:t>
            </w:r>
          </w:p>
        </w:tc>
        <w:tc>
          <w:tcPr>
            <w:tcW w:w="1134" w:type="dxa"/>
          </w:tcPr>
          <w:p w14:paraId="04FBECDD" w14:textId="77777777" w:rsidR="007F51CA" w:rsidRPr="00B65C0A" w:rsidRDefault="007F51CA" w:rsidP="00C36B43">
            <w:pPr>
              <w:tabs>
                <w:tab w:val="decimal" w:pos="885"/>
              </w:tabs>
              <w:ind w:left="-108"/>
            </w:pPr>
          </w:p>
          <w:p w14:paraId="4FBA7DBA" w14:textId="77777777" w:rsidR="007F51CA" w:rsidRPr="00B65C0A" w:rsidRDefault="008C0DE0" w:rsidP="00C36B43">
            <w:pPr>
              <w:tabs>
                <w:tab w:val="decimal" w:pos="885"/>
              </w:tabs>
            </w:pPr>
            <w:r w:rsidRPr="008C0DE0">
              <w:t>-</w:t>
            </w:r>
          </w:p>
        </w:tc>
        <w:tc>
          <w:tcPr>
            <w:tcW w:w="1276" w:type="dxa"/>
          </w:tcPr>
          <w:p w14:paraId="40761F30" w14:textId="77777777" w:rsidR="007F51CA" w:rsidRPr="00B65C0A" w:rsidRDefault="007F51CA" w:rsidP="00C36B43">
            <w:pPr>
              <w:tabs>
                <w:tab w:val="decimal" w:pos="885"/>
              </w:tabs>
              <w:ind w:left="-108"/>
            </w:pPr>
          </w:p>
          <w:p w14:paraId="0E974D61" w14:textId="77777777" w:rsidR="007F51CA" w:rsidRPr="00B65C0A" w:rsidRDefault="008C0DE0" w:rsidP="00C36B43">
            <w:pPr>
              <w:tabs>
                <w:tab w:val="decimal" w:pos="885"/>
              </w:tabs>
              <w:ind w:left="-108"/>
            </w:pPr>
            <w:r w:rsidRPr="008C0DE0">
              <w:t>-</w:t>
            </w:r>
          </w:p>
        </w:tc>
        <w:tc>
          <w:tcPr>
            <w:tcW w:w="1134" w:type="dxa"/>
          </w:tcPr>
          <w:p w14:paraId="5D804D04" w14:textId="77777777" w:rsidR="007F51CA" w:rsidRPr="00B65C0A" w:rsidRDefault="007F51CA" w:rsidP="00C36B43">
            <w:pPr>
              <w:tabs>
                <w:tab w:val="decimal" w:pos="885"/>
              </w:tabs>
              <w:ind w:left="-108"/>
            </w:pPr>
          </w:p>
          <w:p w14:paraId="1E1776EF" w14:textId="77777777" w:rsidR="007F51CA" w:rsidRPr="00B65C0A" w:rsidRDefault="008C0DE0" w:rsidP="00C36B43">
            <w:pPr>
              <w:tabs>
                <w:tab w:val="decimal" w:pos="885"/>
              </w:tabs>
              <w:ind w:left="-108"/>
            </w:pPr>
            <w:r w:rsidRPr="008C0DE0">
              <w:t>-</w:t>
            </w:r>
          </w:p>
        </w:tc>
      </w:tr>
      <w:tr w:rsidR="007F51CA" w:rsidRPr="00C328EF" w14:paraId="465D8CCD" w14:textId="77777777" w:rsidTr="00C36B43">
        <w:tc>
          <w:tcPr>
            <w:tcW w:w="2694" w:type="dxa"/>
            <w:gridSpan w:val="2"/>
          </w:tcPr>
          <w:p w14:paraId="2F2FAF3C" w14:textId="77777777" w:rsidR="007F51CA" w:rsidRPr="00B65C0A" w:rsidRDefault="007F51CA" w:rsidP="00C36B43">
            <w:r w:rsidRPr="00B65C0A">
              <w:t>Deferred tax thereon</w:t>
            </w:r>
          </w:p>
        </w:tc>
        <w:tc>
          <w:tcPr>
            <w:tcW w:w="567" w:type="dxa"/>
            <w:gridSpan w:val="2"/>
          </w:tcPr>
          <w:p w14:paraId="53626DDB" w14:textId="77777777" w:rsidR="007F51CA" w:rsidRPr="00C328EF" w:rsidRDefault="007F51CA" w:rsidP="00C36B43">
            <w:pPr>
              <w:jc w:val="center"/>
              <w:rPr>
                <w:highlight w:val="yellow"/>
              </w:rPr>
            </w:pPr>
          </w:p>
        </w:tc>
        <w:tc>
          <w:tcPr>
            <w:tcW w:w="850" w:type="dxa"/>
          </w:tcPr>
          <w:p w14:paraId="021D5B54" w14:textId="77777777" w:rsidR="007F51CA" w:rsidRPr="001505F9" w:rsidRDefault="007F51CA" w:rsidP="00C36B43">
            <w:pPr>
              <w:tabs>
                <w:tab w:val="decimal" w:pos="885"/>
              </w:tabs>
              <w:ind w:left="-108"/>
            </w:pPr>
            <w:r w:rsidRPr="001505F9">
              <w:t>-</w:t>
            </w:r>
          </w:p>
        </w:tc>
        <w:tc>
          <w:tcPr>
            <w:tcW w:w="1276" w:type="dxa"/>
            <w:gridSpan w:val="2"/>
          </w:tcPr>
          <w:p w14:paraId="3B456727" w14:textId="77777777" w:rsidR="007F51CA" w:rsidRPr="00B65C0A" w:rsidRDefault="007F51CA" w:rsidP="00C36B43">
            <w:pPr>
              <w:tabs>
                <w:tab w:val="decimal" w:pos="885"/>
              </w:tabs>
              <w:ind w:left="-108"/>
            </w:pPr>
            <w:r w:rsidRPr="00B65C0A">
              <w:t>-</w:t>
            </w:r>
          </w:p>
        </w:tc>
        <w:tc>
          <w:tcPr>
            <w:tcW w:w="1134" w:type="dxa"/>
          </w:tcPr>
          <w:p w14:paraId="70932181" w14:textId="77777777" w:rsidR="007F51CA" w:rsidRPr="00B65C0A" w:rsidRDefault="007F51CA" w:rsidP="00C36B43">
            <w:pPr>
              <w:tabs>
                <w:tab w:val="decimal" w:pos="885"/>
              </w:tabs>
              <w:ind w:left="-108"/>
            </w:pPr>
            <w:r w:rsidRPr="00B65C0A">
              <w:t>-</w:t>
            </w:r>
          </w:p>
        </w:tc>
        <w:tc>
          <w:tcPr>
            <w:tcW w:w="1134" w:type="dxa"/>
          </w:tcPr>
          <w:p w14:paraId="577936A4" w14:textId="77777777" w:rsidR="007F51CA" w:rsidRPr="00B65C0A" w:rsidRDefault="007F51CA" w:rsidP="00C36B43">
            <w:pPr>
              <w:tabs>
                <w:tab w:val="decimal" w:pos="885"/>
              </w:tabs>
              <w:ind w:left="-108"/>
            </w:pPr>
            <w:r w:rsidRPr="00B65C0A">
              <w:t>-</w:t>
            </w:r>
          </w:p>
        </w:tc>
        <w:tc>
          <w:tcPr>
            <w:tcW w:w="1134" w:type="dxa"/>
          </w:tcPr>
          <w:p w14:paraId="60321741" w14:textId="77777777" w:rsidR="007F51CA" w:rsidRPr="00B65C0A" w:rsidRDefault="008C0DE0" w:rsidP="00C36B43">
            <w:pPr>
              <w:tabs>
                <w:tab w:val="decimal" w:pos="885"/>
              </w:tabs>
              <w:ind w:left="-108"/>
            </w:pPr>
            <w:r w:rsidRPr="008C0DE0">
              <w:t>-</w:t>
            </w:r>
          </w:p>
        </w:tc>
        <w:tc>
          <w:tcPr>
            <w:tcW w:w="1276" w:type="dxa"/>
          </w:tcPr>
          <w:p w14:paraId="7CB3051B" w14:textId="77777777" w:rsidR="007F51CA" w:rsidRPr="00B65C0A" w:rsidRDefault="008C0DE0" w:rsidP="00C36B43">
            <w:pPr>
              <w:tabs>
                <w:tab w:val="decimal" w:pos="885"/>
              </w:tabs>
              <w:ind w:left="-108"/>
            </w:pPr>
            <w:r w:rsidRPr="008C0DE0">
              <w:t>-</w:t>
            </w:r>
          </w:p>
        </w:tc>
        <w:tc>
          <w:tcPr>
            <w:tcW w:w="1134" w:type="dxa"/>
          </w:tcPr>
          <w:p w14:paraId="7AD7DD9B" w14:textId="77777777" w:rsidR="007F51CA" w:rsidRPr="00B65C0A" w:rsidRDefault="008C0DE0" w:rsidP="00C36B43">
            <w:pPr>
              <w:tabs>
                <w:tab w:val="decimal" w:pos="885"/>
              </w:tabs>
              <w:ind w:left="-108"/>
            </w:pPr>
            <w:r w:rsidRPr="008C0DE0">
              <w:t>-</w:t>
            </w:r>
          </w:p>
        </w:tc>
      </w:tr>
      <w:tr w:rsidR="007F51CA" w:rsidRPr="00C328EF" w14:paraId="5EEF1E35" w14:textId="77777777" w:rsidTr="00C36B43">
        <w:tc>
          <w:tcPr>
            <w:tcW w:w="2694" w:type="dxa"/>
            <w:gridSpan w:val="2"/>
          </w:tcPr>
          <w:p w14:paraId="0DEF7A4E" w14:textId="77777777" w:rsidR="007F51CA" w:rsidRPr="0047306F" w:rsidRDefault="007F51CA" w:rsidP="00C36B43">
            <w:r w:rsidRPr="0047306F">
              <w:t>Shares issued in period</w:t>
            </w:r>
          </w:p>
        </w:tc>
        <w:tc>
          <w:tcPr>
            <w:tcW w:w="567" w:type="dxa"/>
            <w:gridSpan w:val="2"/>
          </w:tcPr>
          <w:p w14:paraId="3733B00B" w14:textId="77777777" w:rsidR="007F51CA" w:rsidRPr="0047306F" w:rsidRDefault="007F51CA" w:rsidP="00C36B43">
            <w:pPr>
              <w:jc w:val="center"/>
              <w:rPr>
                <w:spacing w:val="-2"/>
              </w:rPr>
            </w:pPr>
            <w:r w:rsidRPr="0047306F">
              <w:t>18</w:t>
            </w:r>
          </w:p>
        </w:tc>
        <w:tc>
          <w:tcPr>
            <w:tcW w:w="850" w:type="dxa"/>
          </w:tcPr>
          <w:p w14:paraId="54F56831" w14:textId="77777777" w:rsidR="007F51CA" w:rsidRPr="001505F9" w:rsidRDefault="007F51CA" w:rsidP="00C36B43">
            <w:pPr>
              <w:tabs>
                <w:tab w:val="decimal" w:pos="885"/>
              </w:tabs>
              <w:ind w:left="-108"/>
            </w:pPr>
            <w:r w:rsidRPr="001505F9">
              <w:t>8,000</w:t>
            </w:r>
          </w:p>
        </w:tc>
        <w:tc>
          <w:tcPr>
            <w:tcW w:w="1276" w:type="dxa"/>
            <w:gridSpan w:val="2"/>
          </w:tcPr>
          <w:p w14:paraId="65AB039A" w14:textId="77777777" w:rsidR="007F51CA" w:rsidRPr="00B65C0A" w:rsidRDefault="007F51CA" w:rsidP="00C36B43">
            <w:pPr>
              <w:tabs>
                <w:tab w:val="decimal" w:pos="885"/>
              </w:tabs>
              <w:ind w:left="-108"/>
            </w:pPr>
            <w:r w:rsidRPr="00B65C0A">
              <w:t>-</w:t>
            </w:r>
          </w:p>
        </w:tc>
        <w:tc>
          <w:tcPr>
            <w:tcW w:w="1134" w:type="dxa"/>
          </w:tcPr>
          <w:p w14:paraId="6CB6290C" w14:textId="77777777" w:rsidR="007F51CA" w:rsidRPr="00B65C0A" w:rsidRDefault="007F51CA" w:rsidP="00C36B43">
            <w:pPr>
              <w:tabs>
                <w:tab w:val="decimal" w:pos="885"/>
              </w:tabs>
              <w:ind w:left="-108"/>
            </w:pPr>
            <w:r w:rsidRPr="00B65C0A">
              <w:t>-</w:t>
            </w:r>
          </w:p>
        </w:tc>
        <w:tc>
          <w:tcPr>
            <w:tcW w:w="1134" w:type="dxa"/>
          </w:tcPr>
          <w:p w14:paraId="2351A61A" w14:textId="77777777" w:rsidR="007F51CA" w:rsidRPr="00B65C0A" w:rsidRDefault="007F51CA" w:rsidP="00C36B43">
            <w:pPr>
              <w:tabs>
                <w:tab w:val="decimal" w:pos="885"/>
              </w:tabs>
              <w:ind w:left="-108"/>
            </w:pPr>
            <w:r w:rsidRPr="00B65C0A">
              <w:t>-</w:t>
            </w:r>
          </w:p>
        </w:tc>
        <w:tc>
          <w:tcPr>
            <w:tcW w:w="1134" w:type="dxa"/>
          </w:tcPr>
          <w:p w14:paraId="0E5DE6ED" w14:textId="77777777" w:rsidR="007F51CA" w:rsidRPr="00B65C0A" w:rsidRDefault="007F51CA" w:rsidP="00C36B43">
            <w:pPr>
              <w:tabs>
                <w:tab w:val="decimal" w:pos="885"/>
              </w:tabs>
              <w:ind w:left="-108"/>
            </w:pPr>
            <w:r w:rsidRPr="00B65C0A">
              <w:t>-</w:t>
            </w:r>
          </w:p>
        </w:tc>
        <w:tc>
          <w:tcPr>
            <w:tcW w:w="1276" w:type="dxa"/>
          </w:tcPr>
          <w:p w14:paraId="4370BD68" w14:textId="77777777" w:rsidR="007F51CA" w:rsidRPr="00B65C0A" w:rsidRDefault="007F51CA" w:rsidP="00C36B43">
            <w:pPr>
              <w:tabs>
                <w:tab w:val="decimal" w:pos="885"/>
              </w:tabs>
              <w:ind w:left="-108"/>
            </w:pPr>
            <w:r w:rsidRPr="00B65C0A">
              <w:t>-</w:t>
            </w:r>
          </w:p>
        </w:tc>
        <w:tc>
          <w:tcPr>
            <w:tcW w:w="1134" w:type="dxa"/>
          </w:tcPr>
          <w:p w14:paraId="571F182B" w14:textId="77777777" w:rsidR="007F51CA" w:rsidRPr="001505F9" w:rsidRDefault="007F51CA" w:rsidP="00C36B43">
            <w:pPr>
              <w:tabs>
                <w:tab w:val="decimal" w:pos="885"/>
              </w:tabs>
              <w:ind w:left="-108"/>
            </w:pPr>
            <w:r w:rsidRPr="001505F9">
              <w:t>8,000</w:t>
            </w:r>
          </w:p>
        </w:tc>
      </w:tr>
      <w:tr w:rsidR="007F51CA" w:rsidRPr="00C328EF" w14:paraId="0C520578" w14:textId="77777777" w:rsidTr="00C36B43">
        <w:tc>
          <w:tcPr>
            <w:tcW w:w="2694" w:type="dxa"/>
            <w:gridSpan w:val="2"/>
          </w:tcPr>
          <w:p w14:paraId="1666C95F" w14:textId="77777777" w:rsidR="007F51CA" w:rsidRPr="00B65C0A" w:rsidRDefault="007F51CA" w:rsidP="00C36B43">
            <w:r w:rsidRPr="00B65C0A">
              <w:t>Dividends</w:t>
            </w:r>
          </w:p>
        </w:tc>
        <w:tc>
          <w:tcPr>
            <w:tcW w:w="567" w:type="dxa"/>
            <w:gridSpan w:val="2"/>
          </w:tcPr>
          <w:p w14:paraId="00480D7E" w14:textId="77777777" w:rsidR="007F51CA" w:rsidRPr="00B65C0A" w:rsidRDefault="007F51CA" w:rsidP="00C36B43">
            <w:pPr>
              <w:jc w:val="center"/>
              <w:rPr>
                <w:highlight w:val="yellow"/>
              </w:rPr>
            </w:pPr>
            <w:r>
              <w:t>29</w:t>
            </w:r>
          </w:p>
        </w:tc>
        <w:tc>
          <w:tcPr>
            <w:tcW w:w="850" w:type="dxa"/>
          </w:tcPr>
          <w:p w14:paraId="673A554A" w14:textId="77777777" w:rsidR="007F51CA" w:rsidRPr="001505F9" w:rsidRDefault="007F51CA" w:rsidP="00C36B43">
            <w:pPr>
              <w:tabs>
                <w:tab w:val="decimal" w:pos="885"/>
              </w:tabs>
              <w:ind w:left="-108"/>
            </w:pPr>
            <w:r w:rsidRPr="004E6DE4">
              <w:t>-</w:t>
            </w:r>
          </w:p>
        </w:tc>
        <w:tc>
          <w:tcPr>
            <w:tcW w:w="1276" w:type="dxa"/>
            <w:gridSpan w:val="2"/>
          </w:tcPr>
          <w:p w14:paraId="43E6F2C4" w14:textId="77777777" w:rsidR="007F51CA" w:rsidRPr="00B65C0A" w:rsidRDefault="007F51CA" w:rsidP="00C36B43">
            <w:pPr>
              <w:tabs>
                <w:tab w:val="decimal" w:pos="885"/>
              </w:tabs>
              <w:ind w:left="-108"/>
            </w:pPr>
            <w:r w:rsidRPr="00B65C0A">
              <w:t>-</w:t>
            </w:r>
          </w:p>
        </w:tc>
        <w:tc>
          <w:tcPr>
            <w:tcW w:w="1134" w:type="dxa"/>
          </w:tcPr>
          <w:p w14:paraId="0DFC2D3C" w14:textId="77777777" w:rsidR="007F51CA" w:rsidRPr="00B65C0A" w:rsidRDefault="007F51CA" w:rsidP="00C36B43">
            <w:pPr>
              <w:tabs>
                <w:tab w:val="decimal" w:pos="885"/>
              </w:tabs>
              <w:ind w:left="-108"/>
            </w:pPr>
            <w:r w:rsidRPr="00B65C0A">
              <w:t>-</w:t>
            </w:r>
          </w:p>
        </w:tc>
        <w:tc>
          <w:tcPr>
            <w:tcW w:w="1134" w:type="dxa"/>
          </w:tcPr>
          <w:p w14:paraId="1E601D15" w14:textId="77777777" w:rsidR="007F51CA" w:rsidRPr="00B65C0A" w:rsidRDefault="007F51CA" w:rsidP="00C36B43">
            <w:pPr>
              <w:tabs>
                <w:tab w:val="decimal" w:pos="885"/>
              </w:tabs>
              <w:ind w:left="-108"/>
            </w:pPr>
            <w:r w:rsidRPr="00B65C0A">
              <w:t>(2,912)</w:t>
            </w:r>
          </w:p>
        </w:tc>
        <w:tc>
          <w:tcPr>
            <w:tcW w:w="1134" w:type="dxa"/>
          </w:tcPr>
          <w:p w14:paraId="684870A3" w14:textId="77777777" w:rsidR="007F51CA" w:rsidRPr="00B65C0A" w:rsidRDefault="007F51CA" w:rsidP="00C36B43">
            <w:pPr>
              <w:tabs>
                <w:tab w:val="decimal" w:pos="885"/>
              </w:tabs>
              <w:ind w:left="-108"/>
            </w:pPr>
            <w:r w:rsidRPr="00B65C0A">
              <w:t>-</w:t>
            </w:r>
          </w:p>
        </w:tc>
        <w:tc>
          <w:tcPr>
            <w:tcW w:w="1276" w:type="dxa"/>
          </w:tcPr>
          <w:p w14:paraId="3E161E64" w14:textId="77777777" w:rsidR="007F51CA" w:rsidRPr="00B65C0A" w:rsidRDefault="007F51CA" w:rsidP="00C36B43">
            <w:pPr>
              <w:tabs>
                <w:tab w:val="decimal" w:pos="885"/>
              </w:tabs>
              <w:ind w:left="-108"/>
            </w:pPr>
            <w:r w:rsidRPr="00B65C0A">
              <w:t>-</w:t>
            </w:r>
          </w:p>
        </w:tc>
        <w:tc>
          <w:tcPr>
            <w:tcW w:w="1134" w:type="dxa"/>
          </w:tcPr>
          <w:p w14:paraId="7198C1DC" w14:textId="77777777" w:rsidR="007F51CA" w:rsidRPr="00002C01" w:rsidRDefault="007F51CA" w:rsidP="00C36B43">
            <w:pPr>
              <w:tabs>
                <w:tab w:val="decimal" w:pos="885"/>
              </w:tabs>
              <w:ind w:left="-108"/>
            </w:pPr>
            <w:r w:rsidRPr="00002C01">
              <w:t>(2,912)</w:t>
            </w:r>
          </w:p>
        </w:tc>
      </w:tr>
      <w:tr w:rsidR="007F51CA" w:rsidRPr="00C328EF" w14:paraId="048853FD" w14:textId="77777777" w:rsidTr="00C36B43">
        <w:tc>
          <w:tcPr>
            <w:tcW w:w="2694" w:type="dxa"/>
            <w:gridSpan w:val="2"/>
          </w:tcPr>
          <w:p w14:paraId="41A8797A" w14:textId="77777777" w:rsidR="007F51CA" w:rsidRPr="009B18E2" w:rsidRDefault="007F51CA" w:rsidP="00C36B43"/>
        </w:tc>
        <w:tc>
          <w:tcPr>
            <w:tcW w:w="425" w:type="dxa"/>
          </w:tcPr>
          <w:p w14:paraId="77490F97" w14:textId="77777777" w:rsidR="007F51CA" w:rsidRPr="00C328EF" w:rsidRDefault="007F51CA" w:rsidP="00C36B43">
            <w:pPr>
              <w:tabs>
                <w:tab w:val="decimal" w:pos="942"/>
              </w:tabs>
              <w:jc w:val="both"/>
              <w:rPr>
                <w:spacing w:val="-2"/>
                <w:highlight w:val="yellow"/>
              </w:rPr>
            </w:pPr>
          </w:p>
        </w:tc>
        <w:tc>
          <w:tcPr>
            <w:tcW w:w="1134" w:type="dxa"/>
            <w:gridSpan w:val="3"/>
          </w:tcPr>
          <w:p w14:paraId="48E7FEA1" w14:textId="77777777" w:rsidR="007F51CA" w:rsidRPr="00B65C0A" w:rsidRDefault="007F51CA" w:rsidP="00C36B43">
            <w:pPr>
              <w:tabs>
                <w:tab w:val="decimal" w:pos="885"/>
              </w:tabs>
              <w:ind w:left="-108"/>
            </w:pPr>
            <w:r w:rsidRPr="00B65C0A">
              <w:t>───────</w:t>
            </w:r>
          </w:p>
        </w:tc>
        <w:tc>
          <w:tcPr>
            <w:tcW w:w="1134" w:type="dxa"/>
          </w:tcPr>
          <w:p w14:paraId="07203A30" w14:textId="77777777" w:rsidR="007F51CA" w:rsidRPr="00B65C0A" w:rsidRDefault="007F51CA" w:rsidP="00C36B43">
            <w:pPr>
              <w:tabs>
                <w:tab w:val="decimal" w:pos="885"/>
              </w:tabs>
              <w:ind w:left="-108"/>
            </w:pPr>
            <w:r w:rsidRPr="00B65C0A">
              <w:t>───────</w:t>
            </w:r>
          </w:p>
        </w:tc>
        <w:tc>
          <w:tcPr>
            <w:tcW w:w="1134" w:type="dxa"/>
          </w:tcPr>
          <w:p w14:paraId="7A64F2CA" w14:textId="77777777" w:rsidR="007F51CA" w:rsidRPr="00B65C0A" w:rsidRDefault="007F51CA" w:rsidP="00C36B43">
            <w:pPr>
              <w:tabs>
                <w:tab w:val="decimal" w:pos="885"/>
              </w:tabs>
              <w:ind w:left="-108"/>
            </w:pPr>
            <w:r w:rsidRPr="00B65C0A">
              <w:t>───────</w:t>
            </w:r>
          </w:p>
        </w:tc>
        <w:tc>
          <w:tcPr>
            <w:tcW w:w="1134" w:type="dxa"/>
          </w:tcPr>
          <w:p w14:paraId="0DC327CC" w14:textId="77777777" w:rsidR="007F51CA" w:rsidRPr="00B65C0A" w:rsidRDefault="007F51CA" w:rsidP="00C36B43">
            <w:pPr>
              <w:tabs>
                <w:tab w:val="decimal" w:pos="885"/>
              </w:tabs>
              <w:ind w:left="-108"/>
            </w:pPr>
            <w:r w:rsidRPr="00B65C0A">
              <w:t>───────</w:t>
            </w:r>
          </w:p>
        </w:tc>
        <w:tc>
          <w:tcPr>
            <w:tcW w:w="1134" w:type="dxa"/>
          </w:tcPr>
          <w:p w14:paraId="12DA6CB1" w14:textId="77777777" w:rsidR="007F51CA" w:rsidRPr="00B65C0A" w:rsidRDefault="007F51CA" w:rsidP="00C36B43">
            <w:pPr>
              <w:tabs>
                <w:tab w:val="decimal" w:pos="885"/>
              </w:tabs>
              <w:ind w:left="-108"/>
            </w:pPr>
            <w:r w:rsidRPr="00B65C0A">
              <w:t>───────</w:t>
            </w:r>
          </w:p>
        </w:tc>
        <w:tc>
          <w:tcPr>
            <w:tcW w:w="1276" w:type="dxa"/>
          </w:tcPr>
          <w:p w14:paraId="608882E3" w14:textId="77777777" w:rsidR="007F51CA" w:rsidRPr="00B65C0A" w:rsidRDefault="007F51CA" w:rsidP="00C36B43">
            <w:pPr>
              <w:tabs>
                <w:tab w:val="decimal" w:pos="885"/>
              </w:tabs>
              <w:ind w:left="-108"/>
            </w:pPr>
            <w:r w:rsidRPr="00B65C0A">
              <w:t>───────</w:t>
            </w:r>
          </w:p>
        </w:tc>
        <w:tc>
          <w:tcPr>
            <w:tcW w:w="1134" w:type="dxa"/>
          </w:tcPr>
          <w:p w14:paraId="70122E55" w14:textId="77777777" w:rsidR="007F51CA" w:rsidRPr="00002C01" w:rsidRDefault="007F51CA" w:rsidP="00C36B43">
            <w:pPr>
              <w:tabs>
                <w:tab w:val="decimal" w:pos="885"/>
              </w:tabs>
              <w:ind w:left="-108"/>
            </w:pPr>
            <w:r w:rsidRPr="00002C01">
              <w:t>───────</w:t>
            </w:r>
          </w:p>
        </w:tc>
      </w:tr>
      <w:tr w:rsidR="007F51CA" w:rsidRPr="00C328EF" w14:paraId="4D85B50D" w14:textId="77777777" w:rsidTr="00C36B43">
        <w:tc>
          <w:tcPr>
            <w:tcW w:w="2694" w:type="dxa"/>
            <w:gridSpan w:val="2"/>
          </w:tcPr>
          <w:p w14:paraId="7D0AD3F8" w14:textId="77777777" w:rsidR="007F51CA" w:rsidRPr="009B18E2" w:rsidRDefault="007F51CA" w:rsidP="00C36B43">
            <w:pPr>
              <w:rPr>
                <w:b/>
              </w:rPr>
            </w:pPr>
            <w:r w:rsidRPr="009B18E2">
              <w:rPr>
                <w:b/>
              </w:rPr>
              <w:t>Balance at 28 December 2024</w:t>
            </w:r>
          </w:p>
        </w:tc>
        <w:tc>
          <w:tcPr>
            <w:tcW w:w="425" w:type="dxa"/>
          </w:tcPr>
          <w:p w14:paraId="2372C0BD" w14:textId="77777777" w:rsidR="007F51CA" w:rsidRPr="00C328EF" w:rsidRDefault="007F51CA" w:rsidP="00C36B43">
            <w:pPr>
              <w:tabs>
                <w:tab w:val="decimal" w:pos="942"/>
              </w:tabs>
              <w:jc w:val="both"/>
              <w:rPr>
                <w:highlight w:val="yellow"/>
              </w:rPr>
            </w:pPr>
          </w:p>
        </w:tc>
        <w:tc>
          <w:tcPr>
            <w:tcW w:w="1134" w:type="dxa"/>
            <w:gridSpan w:val="3"/>
          </w:tcPr>
          <w:p w14:paraId="0458DF04" w14:textId="77777777" w:rsidR="007F51CA" w:rsidRPr="00B65C0A" w:rsidRDefault="007F51CA" w:rsidP="00C36B43">
            <w:pPr>
              <w:tabs>
                <w:tab w:val="decimal" w:pos="885"/>
              </w:tabs>
              <w:ind w:left="-108"/>
            </w:pPr>
          </w:p>
          <w:p w14:paraId="60705373" w14:textId="77777777" w:rsidR="007F51CA" w:rsidRPr="00B65C0A" w:rsidRDefault="007F51CA" w:rsidP="00C36B43">
            <w:pPr>
              <w:tabs>
                <w:tab w:val="decimal" w:pos="885"/>
              </w:tabs>
              <w:ind w:left="-108"/>
            </w:pPr>
            <w:r w:rsidRPr="00B65C0A">
              <w:t>61,878</w:t>
            </w:r>
          </w:p>
        </w:tc>
        <w:tc>
          <w:tcPr>
            <w:tcW w:w="1134" w:type="dxa"/>
          </w:tcPr>
          <w:p w14:paraId="503E490E" w14:textId="77777777" w:rsidR="007F51CA" w:rsidRPr="00B65C0A" w:rsidRDefault="007F51CA" w:rsidP="00C36B43">
            <w:pPr>
              <w:tabs>
                <w:tab w:val="decimal" w:pos="885"/>
              </w:tabs>
              <w:ind w:left="-108"/>
            </w:pPr>
          </w:p>
          <w:p w14:paraId="0085759B" w14:textId="77777777" w:rsidR="007F51CA" w:rsidRPr="00B65C0A" w:rsidRDefault="008C0DE0" w:rsidP="00C36B43">
            <w:pPr>
              <w:tabs>
                <w:tab w:val="decimal" w:pos="885"/>
              </w:tabs>
              <w:ind w:left="-108"/>
            </w:pPr>
            <w:r w:rsidRPr="008C0DE0">
              <w:t>-</w:t>
            </w:r>
          </w:p>
        </w:tc>
        <w:tc>
          <w:tcPr>
            <w:tcW w:w="1134" w:type="dxa"/>
          </w:tcPr>
          <w:p w14:paraId="1AFD74C8" w14:textId="77777777" w:rsidR="007F51CA" w:rsidRPr="00B65C0A" w:rsidRDefault="007F51CA" w:rsidP="00C36B43">
            <w:pPr>
              <w:tabs>
                <w:tab w:val="decimal" w:pos="885"/>
              </w:tabs>
              <w:ind w:left="-108"/>
            </w:pPr>
          </w:p>
          <w:p w14:paraId="0875DC5A" w14:textId="77777777" w:rsidR="007F51CA" w:rsidRPr="00B65C0A" w:rsidRDefault="008C0DE0" w:rsidP="00C36B43">
            <w:pPr>
              <w:tabs>
                <w:tab w:val="decimal" w:pos="885"/>
              </w:tabs>
              <w:ind w:left="-108"/>
            </w:pPr>
            <w:r w:rsidRPr="008C0DE0">
              <w:t>-</w:t>
            </w:r>
          </w:p>
        </w:tc>
        <w:tc>
          <w:tcPr>
            <w:tcW w:w="1134" w:type="dxa"/>
          </w:tcPr>
          <w:p w14:paraId="2C931072" w14:textId="77777777" w:rsidR="007F51CA" w:rsidRPr="00B65C0A" w:rsidRDefault="007F51CA" w:rsidP="00C36B43">
            <w:pPr>
              <w:tabs>
                <w:tab w:val="decimal" w:pos="885"/>
              </w:tabs>
              <w:ind w:left="-108"/>
            </w:pPr>
          </w:p>
          <w:p w14:paraId="20EAB9E6" w14:textId="77777777" w:rsidR="007F51CA" w:rsidRPr="00B65C0A" w:rsidRDefault="007F51CA" w:rsidP="00C36B43">
            <w:pPr>
              <w:tabs>
                <w:tab w:val="decimal" w:pos="885"/>
              </w:tabs>
              <w:ind w:left="-108"/>
            </w:pPr>
            <w:r w:rsidRPr="00B65C0A">
              <w:t>(</w:t>
            </w:r>
            <w:r w:rsidR="008C0DE0">
              <w:t>55,756</w:t>
            </w:r>
            <w:r w:rsidRPr="00B65C0A">
              <w:t>)</w:t>
            </w:r>
          </w:p>
        </w:tc>
        <w:tc>
          <w:tcPr>
            <w:tcW w:w="1134" w:type="dxa"/>
          </w:tcPr>
          <w:p w14:paraId="67EA6B88" w14:textId="77777777" w:rsidR="007F51CA" w:rsidRPr="00B65C0A" w:rsidRDefault="007F51CA" w:rsidP="00C36B43">
            <w:pPr>
              <w:tabs>
                <w:tab w:val="decimal" w:pos="885"/>
              </w:tabs>
              <w:ind w:left="-108"/>
            </w:pPr>
          </w:p>
          <w:p w14:paraId="272C20BA" w14:textId="77777777" w:rsidR="007F51CA" w:rsidRPr="00B65C0A" w:rsidRDefault="008C0DE0" w:rsidP="00C36B43">
            <w:pPr>
              <w:tabs>
                <w:tab w:val="decimal" w:pos="885"/>
              </w:tabs>
              <w:ind w:left="-108"/>
            </w:pPr>
            <w:r w:rsidRPr="008C0DE0">
              <w:t>-</w:t>
            </w:r>
          </w:p>
        </w:tc>
        <w:tc>
          <w:tcPr>
            <w:tcW w:w="1276" w:type="dxa"/>
          </w:tcPr>
          <w:p w14:paraId="62F05955" w14:textId="77777777" w:rsidR="007F51CA" w:rsidRPr="00B65C0A" w:rsidRDefault="007F51CA" w:rsidP="00C36B43">
            <w:pPr>
              <w:tabs>
                <w:tab w:val="decimal" w:pos="885"/>
              </w:tabs>
              <w:ind w:left="-108"/>
            </w:pPr>
          </w:p>
          <w:p w14:paraId="39A002F2" w14:textId="77777777" w:rsidR="007F51CA" w:rsidRPr="00B65C0A" w:rsidRDefault="008C0DE0" w:rsidP="00C36B43">
            <w:pPr>
              <w:tabs>
                <w:tab w:val="decimal" w:pos="885"/>
              </w:tabs>
              <w:ind w:left="-108"/>
            </w:pPr>
            <w:r w:rsidRPr="008C0DE0">
              <w:t>-</w:t>
            </w:r>
          </w:p>
        </w:tc>
        <w:tc>
          <w:tcPr>
            <w:tcW w:w="1134" w:type="dxa"/>
          </w:tcPr>
          <w:p w14:paraId="4A9DDB6D" w14:textId="77777777" w:rsidR="007F51CA" w:rsidRPr="00002C01" w:rsidRDefault="007F51CA" w:rsidP="00C36B43">
            <w:pPr>
              <w:tabs>
                <w:tab w:val="decimal" w:pos="885"/>
              </w:tabs>
              <w:ind w:left="-108"/>
            </w:pPr>
          </w:p>
          <w:p w14:paraId="24F7B273" w14:textId="77777777" w:rsidR="007F51CA" w:rsidRPr="00002C01" w:rsidRDefault="00B97D79" w:rsidP="00C36B43">
            <w:pPr>
              <w:tabs>
                <w:tab w:val="decimal" w:pos="885"/>
              </w:tabs>
              <w:ind w:left="-108"/>
            </w:pPr>
            <w:r>
              <w:t>6,122</w:t>
            </w:r>
          </w:p>
        </w:tc>
      </w:tr>
      <w:tr w:rsidR="007F51CA" w:rsidRPr="00C328EF" w14:paraId="3DE9D6C7" w14:textId="77777777" w:rsidTr="00C36B43">
        <w:tc>
          <w:tcPr>
            <w:tcW w:w="2552" w:type="dxa"/>
          </w:tcPr>
          <w:p w14:paraId="1D7F944F" w14:textId="77777777" w:rsidR="007F51CA" w:rsidRPr="00C328EF" w:rsidRDefault="007F51CA" w:rsidP="00C36B43">
            <w:pPr>
              <w:jc w:val="both"/>
              <w:rPr>
                <w:highlight w:val="yellow"/>
              </w:rPr>
            </w:pPr>
          </w:p>
        </w:tc>
        <w:tc>
          <w:tcPr>
            <w:tcW w:w="567" w:type="dxa"/>
            <w:gridSpan w:val="2"/>
          </w:tcPr>
          <w:p w14:paraId="42695358" w14:textId="77777777" w:rsidR="007F51CA" w:rsidRPr="00C328EF" w:rsidRDefault="007F51CA" w:rsidP="00C36B43">
            <w:pPr>
              <w:tabs>
                <w:tab w:val="decimal" w:pos="942"/>
              </w:tabs>
              <w:jc w:val="both"/>
              <w:rPr>
                <w:highlight w:val="yellow"/>
              </w:rPr>
            </w:pPr>
          </w:p>
        </w:tc>
        <w:tc>
          <w:tcPr>
            <w:tcW w:w="1134" w:type="dxa"/>
            <w:gridSpan w:val="3"/>
          </w:tcPr>
          <w:p w14:paraId="5DAF3D18" w14:textId="77777777" w:rsidR="007F51CA" w:rsidRPr="00B65C0A" w:rsidRDefault="007F51CA" w:rsidP="00C36B43">
            <w:pPr>
              <w:tabs>
                <w:tab w:val="decimal" w:pos="885"/>
              </w:tabs>
              <w:ind w:left="-108"/>
            </w:pPr>
            <w:r w:rsidRPr="00B65C0A">
              <w:t>═══════</w:t>
            </w:r>
          </w:p>
        </w:tc>
        <w:tc>
          <w:tcPr>
            <w:tcW w:w="1134" w:type="dxa"/>
          </w:tcPr>
          <w:p w14:paraId="26C7B1AA" w14:textId="77777777" w:rsidR="007F51CA" w:rsidRPr="00B65C0A" w:rsidRDefault="007F51CA" w:rsidP="00C36B43">
            <w:pPr>
              <w:tabs>
                <w:tab w:val="decimal" w:pos="885"/>
              </w:tabs>
              <w:ind w:left="-108"/>
            </w:pPr>
            <w:r w:rsidRPr="00B65C0A">
              <w:t>═══════</w:t>
            </w:r>
          </w:p>
        </w:tc>
        <w:tc>
          <w:tcPr>
            <w:tcW w:w="1134" w:type="dxa"/>
          </w:tcPr>
          <w:p w14:paraId="55F78878" w14:textId="77777777" w:rsidR="007F51CA" w:rsidRPr="00B65C0A" w:rsidRDefault="007F51CA" w:rsidP="00C36B43">
            <w:pPr>
              <w:tabs>
                <w:tab w:val="decimal" w:pos="885"/>
              </w:tabs>
              <w:ind w:left="-108"/>
            </w:pPr>
            <w:r w:rsidRPr="00B65C0A">
              <w:t>═══════</w:t>
            </w:r>
          </w:p>
        </w:tc>
        <w:tc>
          <w:tcPr>
            <w:tcW w:w="1134" w:type="dxa"/>
          </w:tcPr>
          <w:p w14:paraId="143B48E6" w14:textId="77777777" w:rsidR="007F51CA" w:rsidRPr="00B65C0A" w:rsidRDefault="007F51CA" w:rsidP="00C36B43">
            <w:pPr>
              <w:tabs>
                <w:tab w:val="decimal" w:pos="885"/>
              </w:tabs>
              <w:ind w:left="-108"/>
            </w:pPr>
            <w:r w:rsidRPr="00B65C0A">
              <w:t>═══════</w:t>
            </w:r>
          </w:p>
        </w:tc>
        <w:tc>
          <w:tcPr>
            <w:tcW w:w="1134" w:type="dxa"/>
          </w:tcPr>
          <w:p w14:paraId="41686936" w14:textId="77777777" w:rsidR="007F51CA" w:rsidRPr="00B65C0A" w:rsidRDefault="007F51CA" w:rsidP="00C36B43">
            <w:pPr>
              <w:tabs>
                <w:tab w:val="decimal" w:pos="885"/>
              </w:tabs>
              <w:ind w:left="-108"/>
            </w:pPr>
            <w:r w:rsidRPr="00B65C0A">
              <w:t>═══════</w:t>
            </w:r>
          </w:p>
        </w:tc>
        <w:tc>
          <w:tcPr>
            <w:tcW w:w="1276" w:type="dxa"/>
          </w:tcPr>
          <w:p w14:paraId="5D99054C" w14:textId="77777777" w:rsidR="007F51CA" w:rsidRPr="00B65C0A" w:rsidRDefault="007F51CA" w:rsidP="00C36B43">
            <w:pPr>
              <w:tabs>
                <w:tab w:val="decimal" w:pos="885"/>
              </w:tabs>
              <w:ind w:left="-108"/>
            </w:pPr>
            <w:r w:rsidRPr="00B65C0A">
              <w:t>═══════</w:t>
            </w:r>
          </w:p>
        </w:tc>
        <w:tc>
          <w:tcPr>
            <w:tcW w:w="1134" w:type="dxa"/>
          </w:tcPr>
          <w:p w14:paraId="526D15CA" w14:textId="77777777" w:rsidR="007F51CA" w:rsidRPr="00002C01" w:rsidRDefault="007F51CA" w:rsidP="00C36B43">
            <w:pPr>
              <w:tabs>
                <w:tab w:val="decimal" w:pos="885"/>
              </w:tabs>
              <w:ind w:left="-108"/>
            </w:pPr>
            <w:r w:rsidRPr="00002C01">
              <w:t>═══════</w:t>
            </w:r>
          </w:p>
        </w:tc>
      </w:tr>
    </w:tbl>
    <w:p w14:paraId="4EE15574" w14:textId="77777777" w:rsidR="007F51CA" w:rsidRPr="00C328EF" w:rsidRDefault="007F51CA" w:rsidP="007F51CA">
      <w:pPr>
        <w:spacing w:after="120"/>
        <w:rPr>
          <w:highlight w:val="yellow"/>
        </w:rPr>
      </w:pPr>
    </w:p>
    <w:p w14:paraId="35980FB8" w14:textId="77777777" w:rsidR="007F51CA" w:rsidRDefault="007F51CA" w:rsidP="007F51CA">
      <w:pPr>
        <w:spacing w:after="120"/>
        <w:rPr>
          <w:highlight w:val="yellow"/>
        </w:rPr>
      </w:pPr>
    </w:p>
    <w:p w14:paraId="259FD1C0" w14:textId="77777777" w:rsidR="007F51CA" w:rsidRPr="008D25F6" w:rsidRDefault="007F51CA" w:rsidP="007F51CA">
      <w:pPr>
        <w:spacing w:after="120"/>
      </w:pPr>
    </w:p>
    <w:p w14:paraId="7F3E664C" w14:textId="5B04CA98" w:rsidR="00D1188F" w:rsidRPr="00C328EF" w:rsidRDefault="00D1188F" w:rsidP="00D1188F">
      <w:pPr>
        <w:spacing w:after="120"/>
        <w:jc w:val="center"/>
        <w:rPr>
          <w:highlight w:val="yellow"/>
        </w:rPr>
      </w:pPr>
      <w:r w:rsidRPr="008D25F6">
        <w:t>The accompanying notes on pages 3</w:t>
      </w:r>
      <w:r w:rsidR="007243EA">
        <w:t>7</w:t>
      </w:r>
      <w:r w:rsidRPr="008D25F6">
        <w:t xml:space="preserve"> to 7</w:t>
      </w:r>
      <w:r w:rsidR="007243EA">
        <w:t>2</w:t>
      </w:r>
      <w:r w:rsidRPr="008D25F6">
        <w:t xml:space="preserve"> form part of these financial</w:t>
      </w:r>
      <w:r w:rsidRPr="0025317F">
        <w:t xml:space="preserve"> statements</w:t>
      </w:r>
    </w:p>
    <w:p w14:paraId="17E7709E" w14:textId="77777777" w:rsidR="00D5132A" w:rsidRPr="00C328EF" w:rsidRDefault="00D5132A" w:rsidP="00A57490">
      <w:pPr>
        <w:spacing w:after="120"/>
        <w:jc w:val="center"/>
        <w:rPr>
          <w:highlight w:val="yellow"/>
        </w:rPr>
      </w:pPr>
    </w:p>
    <w:p w14:paraId="24D80C61" w14:textId="77777777" w:rsidR="008F4CC9" w:rsidRPr="001073FE" w:rsidRDefault="00E91380" w:rsidP="008F4CC9">
      <w:pPr>
        <w:jc w:val="center"/>
        <w:rPr>
          <w:b/>
        </w:rPr>
      </w:pPr>
      <w:r w:rsidRPr="00C328EF">
        <w:rPr>
          <w:b/>
          <w:highlight w:val="yellow"/>
        </w:rPr>
        <w:br w:type="page"/>
      </w:r>
      <w:r w:rsidR="008F4CC9" w:rsidRPr="001073FE">
        <w:rPr>
          <w:b/>
        </w:rPr>
        <w:lastRenderedPageBreak/>
        <w:t>TRANSPORT FOR EDINBURGH LIMITED</w:t>
      </w:r>
    </w:p>
    <w:p w14:paraId="0F5FBACF" w14:textId="77777777" w:rsidR="008F4CC9" w:rsidRPr="00417389" w:rsidRDefault="008F4CC9" w:rsidP="008F4CC9">
      <w:pPr>
        <w:jc w:val="center"/>
        <w:rPr>
          <w:b/>
          <w:sz w:val="16"/>
          <w:szCs w:val="16"/>
        </w:rPr>
      </w:pPr>
    </w:p>
    <w:p w14:paraId="668E5B4F" w14:textId="77777777" w:rsidR="008F4CC9" w:rsidRPr="001073FE" w:rsidRDefault="00741BA0" w:rsidP="008F4CC9">
      <w:pPr>
        <w:jc w:val="center"/>
        <w:rPr>
          <w:b/>
        </w:rPr>
      </w:pPr>
      <w:r w:rsidRPr="001073FE">
        <w:rPr>
          <w:b/>
        </w:rPr>
        <w:t xml:space="preserve">Consolidated and </w:t>
      </w:r>
      <w:r w:rsidR="00C33886">
        <w:rPr>
          <w:b/>
        </w:rPr>
        <w:t xml:space="preserve">Parent </w:t>
      </w:r>
      <w:r w:rsidRPr="001073FE">
        <w:rPr>
          <w:b/>
        </w:rPr>
        <w:t>Company Statement of Cash Flows</w:t>
      </w:r>
    </w:p>
    <w:p w14:paraId="7E51C3CE" w14:textId="77777777" w:rsidR="008F4CC9" w:rsidRPr="00417389" w:rsidRDefault="008F4CC9" w:rsidP="008F4CC9">
      <w:pPr>
        <w:jc w:val="center"/>
        <w:rPr>
          <w:b/>
          <w:sz w:val="16"/>
          <w:szCs w:val="16"/>
        </w:rPr>
      </w:pPr>
    </w:p>
    <w:p w14:paraId="21D1BB6F" w14:textId="77777777" w:rsidR="008F4CC9" w:rsidRPr="001073FE" w:rsidRDefault="008F4CC9" w:rsidP="008F4CC9">
      <w:pPr>
        <w:jc w:val="center"/>
      </w:pPr>
      <w:r w:rsidRPr="001073FE">
        <w:rPr>
          <w:b/>
        </w:rPr>
        <w:t xml:space="preserve">For the </w:t>
      </w:r>
      <w:r w:rsidR="00002C01">
        <w:rPr>
          <w:b/>
        </w:rPr>
        <w:t>period</w:t>
      </w:r>
      <w:r w:rsidRPr="001073FE">
        <w:rPr>
          <w:b/>
        </w:rPr>
        <w:t xml:space="preserve"> ended </w:t>
      </w:r>
      <w:r w:rsidR="00002C01">
        <w:rPr>
          <w:b/>
        </w:rPr>
        <w:t>28</w:t>
      </w:r>
      <w:r w:rsidRPr="001073FE">
        <w:rPr>
          <w:b/>
        </w:rPr>
        <w:t xml:space="preserve"> December 202</w:t>
      </w:r>
      <w:r w:rsidR="001073FE" w:rsidRPr="001073FE">
        <w:rPr>
          <w:b/>
        </w:rPr>
        <w:t>4</w:t>
      </w:r>
    </w:p>
    <w:tbl>
      <w:tblPr>
        <w:tblW w:w="11199" w:type="dxa"/>
        <w:tblInd w:w="-318" w:type="dxa"/>
        <w:tblLayout w:type="fixed"/>
        <w:tblLook w:val="0000" w:firstRow="0" w:lastRow="0" w:firstColumn="0" w:lastColumn="0" w:noHBand="0" w:noVBand="0"/>
      </w:tblPr>
      <w:tblGrid>
        <w:gridCol w:w="4077"/>
        <w:gridCol w:w="426"/>
        <w:gridCol w:w="283"/>
        <w:gridCol w:w="1559"/>
        <w:gridCol w:w="1560"/>
        <w:gridCol w:w="1559"/>
        <w:gridCol w:w="1735"/>
      </w:tblGrid>
      <w:tr w:rsidR="003C0D46" w:rsidRPr="0025317F" w14:paraId="0DCE94D9" w14:textId="77777777" w:rsidTr="00B50CEB">
        <w:tc>
          <w:tcPr>
            <w:tcW w:w="4503" w:type="dxa"/>
            <w:gridSpan w:val="2"/>
          </w:tcPr>
          <w:p w14:paraId="06106612" w14:textId="77777777" w:rsidR="003C0D46" w:rsidRPr="001073FE" w:rsidRDefault="003C0D46" w:rsidP="00370B96">
            <w:pPr>
              <w:jc w:val="both"/>
            </w:pPr>
          </w:p>
        </w:tc>
        <w:tc>
          <w:tcPr>
            <w:tcW w:w="283" w:type="dxa"/>
          </w:tcPr>
          <w:p w14:paraId="3E2884B9" w14:textId="77777777" w:rsidR="003C0D46" w:rsidRPr="001073FE" w:rsidRDefault="003C0D46" w:rsidP="00370B96">
            <w:pPr>
              <w:jc w:val="both"/>
            </w:pPr>
          </w:p>
        </w:tc>
        <w:tc>
          <w:tcPr>
            <w:tcW w:w="3119" w:type="dxa"/>
            <w:gridSpan w:val="2"/>
          </w:tcPr>
          <w:p w14:paraId="33789249" w14:textId="77777777" w:rsidR="003C0D46" w:rsidRPr="0025317F" w:rsidRDefault="003C0D46" w:rsidP="00370B96">
            <w:pPr>
              <w:ind w:left="87"/>
              <w:jc w:val="center"/>
              <w:rPr>
                <w:b/>
              </w:rPr>
            </w:pPr>
            <w:r w:rsidRPr="0025317F">
              <w:rPr>
                <w:b/>
              </w:rPr>
              <w:t>Consolidated</w:t>
            </w:r>
          </w:p>
          <w:p w14:paraId="3390D5A2" w14:textId="77777777" w:rsidR="003C0D46" w:rsidRPr="0025317F" w:rsidRDefault="003C0D46" w:rsidP="00370B96">
            <w:pPr>
              <w:ind w:left="87"/>
              <w:jc w:val="center"/>
              <w:rPr>
                <w:b/>
              </w:rPr>
            </w:pPr>
            <w:r w:rsidRPr="0025317F">
              <w:rPr>
                <w:b/>
              </w:rPr>
              <w:t>Group</w:t>
            </w:r>
          </w:p>
        </w:tc>
        <w:tc>
          <w:tcPr>
            <w:tcW w:w="3294" w:type="dxa"/>
            <w:gridSpan w:val="2"/>
          </w:tcPr>
          <w:p w14:paraId="56607CE5" w14:textId="77777777" w:rsidR="003C0D46" w:rsidRPr="0025317F" w:rsidRDefault="003C0D46" w:rsidP="00370B96">
            <w:pPr>
              <w:ind w:left="227"/>
              <w:jc w:val="center"/>
              <w:rPr>
                <w:b/>
              </w:rPr>
            </w:pPr>
            <w:r w:rsidRPr="0025317F">
              <w:rPr>
                <w:b/>
              </w:rPr>
              <w:t>Parent</w:t>
            </w:r>
          </w:p>
          <w:p w14:paraId="4EA43D40" w14:textId="77777777" w:rsidR="003C0D46" w:rsidRPr="0025317F" w:rsidRDefault="003C0D46" w:rsidP="00370B96">
            <w:pPr>
              <w:ind w:left="227"/>
              <w:jc w:val="center"/>
              <w:rPr>
                <w:b/>
              </w:rPr>
            </w:pPr>
            <w:r w:rsidRPr="0025317F">
              <w:rPr>
                <w:b/>
              </w:rPr>
              <w:t>Entity</w:t>
            </w:r>
          </w:p>
        </w:tc>
      </w:tr>
      <w:tr w:rsidR="00FC2ECA" w:rsidRPr="00C328EF" w14:paraId="2DD6EDC8" w14:textId="77777777" w:rsidTr="00B50CEB">
        <w:tc>
          <w:tcPr>
            <w:tcW w:w="4503" w:type="dxa"/>
            <w:gridSpan w:val="2"/>
          </w:tcPr>
          <w:p w14:paraId="4930FF14" w14:textId="77777777" w:rsidR="00FC2ECA" w:rsidRPr="00C328EF" w:rsidRDefault="00FC2ECA" w:rsidP="00FC2ECA">
            <w:pPr>
              <w:jc w:val="both"/>
              <w:rPr>
                <w:b/>
                <w:highlight w:val="yellow"/>
              </w:rPr>
            </w:pPr>
          </w:p>
        </w:tc>
        <w:tc>
          <w:tcPr>
            <w:tcW w:w="283" w:type="dxa"/>
          </w:tcPr>
          <w:p w14:paraId="77B68F95" w14:textId="77777777" w:rsidR="00FC2ECA" w:rsidRPr="00C328EF" w:rsidRDefault="00FC2ECA" w:rsidP="00FC2ECA">
            <w:pPr>
              <w:ind w:right="-170"/>
              <w:jc w:val="center"/>
              <w:rPr>
                <w:b/>
                <w:highlight w:val="yellow"/>
              </w:rPr>
            </w:pPr>
          </w:p>
        </w:tc>
        <w:tc>
          <w:tcPr>
            <w:tcW w:w="1559" w:type="dxa"/>
          </w:tcPr>
          <w:p w14:paraId="31AF47DB" w14:textId="77777777" w:rsidR="00A65A74" w:rsidRPr="00224B26" w:rsidRDefault="00FC2ECA" w:rsidP="00B50CEB">
            <w:pPr>
              <w:suppressAutoHyphens/>
              <w:ind w:right="-340"/>
              <w:rPr>
                <w:rFonts w:cs="Arial"/>
                <w:b/>
                <w:spacing w:val="-2"/>
                <w:sz w:val="18"/>
                <w:szCs w:val="18"/>
              </w:rPr>
            </w:pPr>
            <w:r w:rsidRPr="00224B26">
              <w:rPr>
                <w:rFonts w:cs="Arial"/>
                <w:b/>
                <w:spacing w:val="-2"/>
                <w:sz w:val="18"/>
                <w:szCs w:val="18"/>
              </w:rPr>
              <w:t>Period to</w:t>
            </w:r>
            <w:r w:rsidR="00B50CEB" w:rsidRPr="00224B26">
              <w:rPr>
                <w:rFonts w:cs="Arial"/>
                <w:b/>
                <w:spacing w:val="-2"/>
                <w:sz w:val="18"/>
                <w:szCs w:val="18"/>
              </w:rPr>
              <w:t xml:space="preserve"> </w:t>
            </w:r>
            <w:r w:rsidRPr="00224B26">
              <w:rPr>
                <w:rFonts w:cs="Arial"/>
                <w:b/>
                <w:spacing w:val="-2"/>
                <w:sz w:val="18"/>
                <w:szCs w:val="18"/>
              </w:rPr>
              <w:t>28</w:t>
            </w:r>
          </w:p>
          <w:p w14:paraId="2C6478CC" w14:textId="77777777" w:rsidR="00FC2ECA" w:rsidRPr="00224B26" w:rsidRDefault="00FC2ECA" w:rsidP="00B50CEB">
            <w:pPr>
              <w:suppressAutoHyphens/>
              <w:ind w:right="-105"/>
              <w:rPr>
                <w:rFonts w:cs="Arial"/>
                <w:b/>
                <w:spacing w:val="-2"/>
                <w:sz w:val="18"/>
                <w:szCs w:val="18"/>
              </w:rPr>
            </w:pPr>
            <w:r w:rsidRPr="00224B26">
              <w:rPr>
                <w:rFonts w:cs="Arial"/>
                <w:b/>
                <w:spacing w:val="-2"/>
                <w:sz w:val="18"/>
                <w:szCs w:val="18"/>
              </w:rPr>
              <w:t>December 2024</w:t>
            </w:r>
          </w:p>
        </w:tc>
        <w:tc>
          <w:tcPr>
            <w:tcW w:w="1560" w:type="dxa"/>
          </w:tcPr>
          <w:p w14:paraId="257AF497" w14:textId="77777777" w:rsidR="00FC2ECA" w:rsidRPr="00224B26" w:rsidRDefault="00FC2ECA" w:rsidP="00B50CEB">
            <w:pPr>
              <w:suppressAutoHyphens/>
              <w:ind w:left="-105"/>
              <w:rPr>
                <w:rFonts w:cs="Arial"/>
                <w:b/>
                <w:spacing w:val="-2"/>
                <w:sz w:val="18"/>
                <w:szCs w:val="18"/>
              </w:rPr>
            </w:pPr>
            <w:r w:rsidRPr="00224B26">
              <w:rPr>
                <w:rFonts w:cs="Arial"/>
                <w:b/>
                <w:spacing w:val="-2"/>
                <w:sz w:val="18"/>
                <w:szCs w:val="18"/>
              </w:rPr>
              <w:t xml:space="preserve">Period to </w:t>
            </w:r>
            <w:r w:rsidR="00B50CEB" w:rsidRPr="00224B26">
              <w:rPr>
                <w:rFonts w:cs="Arial"/>
                <w:b/>
                <w:spacing w:val="-2"/>
                <w:sz w:val="18"/>
                <w:szCs w:val="18"/>
              </w:rPr>
              <w:t>3</w:t>
            </w:r>
            <w:r w:rsidRPr="00224B26">
              <w:rPr>
                <w:rFonts w:cs="Arial"/>
                <w:b/>
                <w:spacing w:val="-2"/>
                <w:sz w:val="18"/>
                <w:szCs w:val="18"/>
              </w:rPr>
              <w:t>0 December</w:t>
            </w:r>
            <w:r w:rsidR="00B50CEB" w:rsidRPr="00224B26">
              <w:rPr>
                <w:rFonts w:cs="Arial"/>
                <w:b/>
                <w:spacing w:val="-2"/>
                <w:sz w:val="18"/>
                <w:szCs w:val="18"/>
              </w:rPr>
              <w:t xml:space="preserve"> </w:t>
            </w:r>
            <w:r w:rsidRPr="00224B26">
              <w:rPr>
                <w:rFonts w:cs="Arial"/>
                <w:b/>
                <w:spacing w:val="-2"/>
                <w:sz w:val="18"/>
                <w:szCs w:val="18"/>
              </w:rPr>
              <w:t>2023</w:t>
            </w:r>
          </w:p>
        </w:tc>
        <w:tc>
          <w:tcPr>
            <w:tcW w:w="1559" w:type="dxa"/>
          </w:tcPr>
          <w:p w14:paraId="79060D75" w14:textId="77777777" w:rsidR="00FC2ECA" w:rsidRPr="00224B26" w:rsidRDefault="00FC2ECA" w:rsidP="00B50CEB">
            <w:pPr>
              <w:suppressAutoHyphens/>
              <w:ind w:right="-340"/>
              <w:rPr>
                <w:rFonts w:cs="Arial"/>
                <w:b/>
                <w:spacing w:val="-2"/>
                <w:sz w:val="18"/>
                <w:szCs w:val="18"/>
              </w:rPr>
            </w:pPr>
            <w:r w:rsidRPr="00224B26">
              <w:rPr>
                <w:rFonts w:cs="Arial"/>
                <w:b/>
                <w:spacing w:val="-2"/>
                <w:sz w:val="18"/>
                <w:szCs w:val="18"/>
              </w:rPr>
              <w:t>Period to</w:t>
            </w:r>
            <w:r w:rsidR="00B50CEB" w:rsidRPr="00224B26">
              <w:rPr>
                <w:rFonts w:cs="Arial"/>
                <w:b/>
                <w:spacing w:val="-2"/>
                <w:sz w:val="18"/>
                <w:szCs w:val="18"/>
              </w:rPr>
              <w:t xml:space="preserve"> </w:t>
            </w:r>
            <w:r w:rsidRPr="00224B26">
              <w:rPr>
                <w:rFonts w:cs="Arial"/>
                <w:b/>
                <w:spacing w:val="-2"/>
                <w:sz w:val="18"/>
                <w:szCs w:val="18"/>
              </w:rPr>
              <w:t>28 December 2024</w:t>
            </w:r>
          </w:p>
        </w:tc>
        <w:tc>
          <w:tcPr>
            <w:tcW w:w="1735" w:type="dxa"/>
          </w:tcPr>
          <w:p w14:paraId="783F4214" w14:textId="77777777" w:rsidR="00FC2ECA" w:rsidRPr="00224B26" w:rsidRDefault="00FC2ECA" w:rsidP="00224B26">
            <w:pPr>
              <w:suppressAutoHyphens/>
              <w:ind w:left="-47"/>
              <w:rPr>
                <w:rFonts w:cs="Arial"/>
                <w:b/>
                <w:spacing w:val="-2"/>
                <w:sz w:val="18"/>
                <w:szCs w:val="18"/>
              </w:rPr>
            </w:pPr>
            <w:r w:rsidRPr="00224B26">
              <w:rPr>
                <w:rFonts w:cs="Arial"/>
                <w:b/>
                <w:spacing w:val="-2"/>
                <w:sz w:val="18"/>
                <w:szCs w:val="18"/>
              </w:rPr>
              <w:t>Period to 30</w:t>
            </w:r>
            <w:r w:rsidR="00B50CEB" w:rsidRPr="00224B26">
              <w:rPr>
                <w:rFonts w:cs="Arial"/>
                <w:b/>
                <w:spacing w:val="-2"/>
                <w:sz w:val="18"/>
                <w:szCs w:val="18"/>
              </w:rPr>
              <w:t xml:space="preserve"> </w:t>
            </w:r>
            <w:r w:rsidRPr="00224B26">
              <w:rPr>
                <w:rFonts w:cs="Arial"/>
                <w:b/>
                <w:spacing w:val="-2"/>
                <w:sz w:val="18"/>
                <w:szCs w:val="18"/>
              </w:rPr>
              <w:t>December</w:t>
            </w:r>
            <w:r w:rsidR="00B50CEB" w:rsidRPr="00224B26">
              <w:rPr>
                <w:rFonts w:cs="Arial"/>
                <w:b/>
                <w:spacing w:val="-2"/>
                <w:sz w:val="18"/>
                <w:szCs w:val="18"/>
              </w:rPr>
              <w:t xml:space="preserve"> </w:t>
            </w:r>
            <w:r w:rsidRPr="00224B26">
              <w:rPr>
                <w:rFonts w:cs="Arial"/>
                <w:b/>
                <w:spacing w:val="-2"/>
                <w:sz w:val="18"/>
                <w:szCs w:val="18"/>
              </w:rPr>
              <w:t>2023</w:t>
            </w:r>
          </w:p>
        </w:tc>
      </w:tr>
      <w:tr w:rsidR="003C0D46" w:rsidRPr="00C328EF" w14:paraId="25160C67" w14:textId="77777777" w:rsidTr="00B50CEB">
        <w:tc>
          <w:tcPr>
            <w:tcW w:w="4077" w:type="dxa"/>
          </w:tcPr>
          <w:p w14:paraId="296CD684" w14:textId="77777777" w:rsidR="003C0D46" w:rsidRPr="00C328EF" w:rsidRDefault="003C0D46" w:rsidP="00370B96">
            <w:pPr>
              <w:jc w:val="both"/>
              <w:rPr>
                <w:b/>
                <w:highlight w:val="yellow"/>
              </w:rPr>
            </w:pPr>
          </w:p>
        </w:tc>
        <w:tc>
          <w:tcPr>
            <w:tcW w:w="709" w:type="dxa"/>
            <w:gridSpan w:val="2"/>
          </w:tcPr>
          <w:p w14:paraId="4F6E5D05" w14:textId="77777777" w:rsidR="003C0D46" w:rsidRPr="0025317F" w:rsidRDefault="003C0D46" w:rsidP="00370B96">
            <w:pPr>
              <w:ind w:right="-170"/>
              <w:jc w:val="center"/>
              <w:rPr>
                <w:b/>
              </w:rPr>
            </w:pPr>
            <w:r w:rsidRPr="0025317F">
              <w:rPr>
                <w:b/>
              </w:rPr>
              <w:t>Note</w:t>
            </w:r>
          </w:p>
        </w:tc>
        <w:tc>
          <w:tcPr>
            <w:tcW w:w="1559" w:type="dxa"/>
          </w:tcPr>
          <w:p w14:paraId="57F36534" w14:textId="77777777" w:rsidR="003C0D46" w:rsidRPr="0025317F" w:rsidRDefault="003C0D46" w:rsidP="00370B96">
            <w:pPr>
              <w:suppressAutoHyphens/>
              <w:ind w:right="-340"/>
              <w:jc w:val="center"/>
              <w:rPr>
                <w:rFonts w:cs="Arial"/>
                <w:b/>
                <w:spacing w:val="-2"/>
              </w:rPr>
            </w:pPr>
            <w:r w:rsidRPr="0025317F">
              <w:rPr>
                <w:rFonts w:cs="Arial"/>
                <w:b/>
                <w:spacing w:val="-2"/>
              </w:rPr>
              <w:t>£’000</w:t>
            </w:r>
          </w:p>
        </w:tc>
        <w:tc>
          <w:tcPr>
            <w:tcW w:w="1560" w:type="dxa"/>
          </w:tcPr>
          <w:p w14:paraId="2F7E544F" w14:textId="77777777" w:rsidR="003C0D46" w:rsidRPr="0025317F" w:rsidRDefault="003C0D46" w:rsidP="00370B96">
            <w:pPr>
              <w:suppressAutoHyphens/>
              <w:jc w:val="center"/>
              <w:rPr>
                <w:rFonts w:cs="Arial"/>
                <w:b/>
                <w:spacing w:val="-2"/>
              </w:rPr>
            </w:pPr>
            <w:r w:rsidRPr="0025317F">
              <w:rPr>
                <w:rFonts w:cs="Arial"/>
                <w:b/>
                <w:spacing w:val="-2"/>
              </w:rPr>
              <w:t>£’000</w:t>
            </w:r>
          </w:p>
        </w:tc>
        <w:tc>
          <w:tcPr>
            <w:tcW w:w="1559" w:type="dxa"/>
          </w:tcPr>
          <w:p w14:paraId="1C751B11" w14:textId="77777777" w:rsidR="003C0D46" w:rsidRPr="0025317F" w:rsidRDefault="003C0D46" w:rsidP="00370B96">
            <w:pPr>
              <w:suppressAutoHyphens/>
              <w:ind w:right="-57"/>
              <w:jc w:val="center"/>
              <w:rPr>
                <w:rFonts w:cs="Arial"/>
                <w:b/>
                <w:spacing w:val="-2"/>
              </w:rPr>
            </w:pPr>
            <w:r w:rsidRPr="0025317F">
              <w:rPr>
                <w:rFonts w:cs="Arial"/>
                <w:b/>
                <w:spacing w:val="-2"/>
              </w:rPr>
              <w:t>£’000</w:t>
            </w:r>
          </w:p>
        </w:tc>
        <w:tc>
          <w:tcPr>
            <w:tcW w:w="1735" w:type="dxa"/>
          </w:tcPr>
          <w:p w14:paraId="539C0FC6" w14:textId="77777777" w:rsidR="003C0D46" w:rsidRPr="0025317F" w:rsidRDefault="003C0D46" w:rsidP="00370B96">
            <w:pPr>
              <w:suppressAutoHyphens/>
              <w:ind w:right="340"/>
              <w:jc w:val="center"/>
              <w:rPr>
                <w:rFonts w:cs="Arial"/>
                <w:b/>
                <w:spacing w:val="-2"/>
              </w:rPr>
            </w:pPr>
            <w:r w:rsidRPr="0025317F">
              <w:rPr>
                <w:rFonts w:cs="Arial"/>
                <w:b/>
                <w:spacing w:val="-2"/>
              </w:rPr>
              <w:t>£’000</w:t>
            </w:r>
          </w:p>
        </w:tc>
      </w:tr>
    </w:tbl>
    <w:p w14:paraId="59E68D5B" w14:textId="77777777" w:rsidR="003C0D46" w:rsidRPr="0025317F" w:rsidRDefault="003C0D46" w:rsidP="00107CF1">
      <w:pPr>
        <w:ind w:left="-284"/>
        <w:jc w:val="both"/>
      </w:pPr>
      <w:r w:rsidRPr="0025317F">
        <w:rPr>
          <w:b/>
        </w:rPr>
        <w:t>Cash flow from operating activities</w:t>
      </w:r>
    </w:p>
    <w:tbl>
      <w:tblPr>
        <w:tblW w:w="10808" w:type="dxa"/>
        <w:tblInd w:w="-318" w:type="dxa"/>
        <w:tblLayout w:type="fixed"/>
        <w:tblLook w:val="0000" w:firstRow="0" w:lastRow="0" w:firstColumn="0" w:lastColumn="0" w:noHBand="0" w:noVBand="0"/>
      </w:tblPr>
      <w:tblGrid>
        <w:gridCol w:w="4821"/>
        <w:gridCol w:w="1559"/>
        <w:gridCol w:w="1559"/>
        <w:gridCol w:w="1418"/>
        <w:gridCol w:w="1451"/>
      </w:tblGrid>
      <w:tr w:rsidR="0025317F" w:rsidRPr="008542CC" w14:paraId="74ABBA90" w14:textId="77777777" w:rsidTr="00224B26">
        <w:tc>
          <w:tcPr>
            <w:tcW w:w="4821" w:type="dxa"/>
          </w:tcPr>
          <w:p w14:paraId="7CC9AFE6" w14:textId="77777777" w:rsidR="0025317F" w:rsidRPr="008542CC" w:rsidRDefault="0025317F" w:rsidP="0025317F">
            <w:pPr>
              <w:jc w:val="both"/>
              <w:rPr>
                <w:b/>
              </w:rPr>
            </w:pPr>
            <w:r w:rsidRPr="008542CC">
              <w:rPr>
                <w:b/>
              </w:rPr>
              <w:t>Loss from operations</w:t>
            </w:r>
          </w:p>
        </w:tc>
        <w:tc>
          <w:tcPr>
            <w:tcW w:w="1559" w:type="dxa"/>
          </w:tcPr>
          <w:p w14:paraId="606E1492" w14:textId="77777777" w:rsidR="0025317F" w:rsidRPr="008542CC" w:rsidRDefault="0025317F" w:rsidP="0025317F">
            <w:pPr>
              <w:tabs>
                <w:tab w:val="left" w:pos="1307"/>
                <w:tab w:val="decimal" w:pos="1608"/>
              </w:tabs>
              <w:ind w:right="57"/>
              <w:jc w:val="right"/>
            </w:pPr>
            <w:r w:rsidRPr="008542CC">
              <w:t>(</w:t>
            </w:r>
            <w:r w:rsidR="008542CC" w:rsidRPr="008542CC">
              <w:t>9,532</w:t>
            </w:r>
            <w:r w:rsidRPr="008542CC">
              <w:t>)</w:t>
            </w:r>
          </w:p>
        </w:tc>
        <w:tc>
          <w:tcPr>
            <w:tcW w:w="1559" w:type="dxa"/>
          </w:tcPr>
          <w:p w14:paraId="7A18155A" w14:textId="77777777" w:rsidR="0025317F" w:rsidRPr="008542CC" w:rsidRDefault="0025317F" w:rsidP="0025317F">
            <w:pPr>
              <w:tabs>
                <w:tab w:val="left" w:pos="1307"/>
                <w:tab w:val="decimal" w:pos="1608"/>
              </w:tabs>
              <w:ind w:right="57"/>
              <w:jc w:val="right"/>
            </w:pPr>
            <w:r w:rsidRPr="008542CC">
              <w:t>(2,874)</w:t>
            </w:r>
          </w:p>
        </w:tc>
        <w:tc>
          <w:tcPr>
            <w:tcW w:w="1418" w:type="dxa"/>
          </w:tcPr>
          <w:p w14:paraId="08F8289E" w14:textId="77777777" w:rsidR="0025317F" w:rsidRPr="008542CC" w:rsidRDefault="0025317F" w:rsidP="0025317F">
            <w:pPr>
              <w:tabs>
                <w:tab w:val="left" w:pos="1307"/>
                <w:tab w:val="decimal" w:pos="1608"/>
              </w:tabs>
              <w:ind w:right="57"/>
              <w:jc w:val="right"/>
            </w:pPr>
            <w:r w:rsidRPr="008542CC">
              <w:t>(</w:t>
            </w:r>
            <w:r w:rsidR="00471249" w:rsidRPr="008542CC">
              <w:t>239</w:t>
            </w:r>
            <w:r w:rsidRPr="008542CC">
              <w:t>)</w:t>
            </w:r>
          </w:p>
        </w:tc>
        <w:tc>
          <w:tcPr>
            <w:tcW w:w="1451" w:type="dxa"/>
          </w:tcPr>
          <w:p w14:paraId="333ADFE2" w14:textId="77777777" w:rsidR="0025317F" w:rsidRPr="008542CC" w:rsidRDefault="0025317F" w:rsidP="004D2FFF">
            <w:pPr>
              <w:tabs>
                <w:tab w:val="left" w:pos="1307"/>
                <w:tab w:val="decimal" w:pos="1608"/>
              </w:tabs>
              <w:ind w:right="57"/>
              <w:jc w:val="right"/>
            </w:pPr>
            <w:r w:rsidRPr="008542CC">
              <w:t>(170)</w:t>
            </w:r>
          </w:p>
        </w:tc>
      </w:tr>
      <w:tr w:rsidR="0025317F" w:rsidRPr="008542CC" w14:paraId="66368094" w14:textId="77777777" w:rsidTr="00224B26">
        <w:tc>
          <w:tcPr>
            <w:tcW w:w="4821" w:type="dxa"/>
          </w:tcPr>
          <w:p w14:paraId="7B2121DE" w14:textId="77777777" w:rsidR="0025317F" w:rsidRPr="008542CC" w:rsidRDefault="0025317F" w:rsidP="0025317F">
            <w:pPr>
              <w:jc w:val="both"/>
            </w:pPr>
          </w:p>
        </w:tc>
        <w:tc>
          <w:tcPr>
            <w:tcW w:w="1559" w:type="dxa"/>
          </w:tcPr>
          <w:p w14:paraId="411D2FB8" w14:textId="77777777" w:rsidR="0025317F" w:rsidRPr="008542CC" w:rsidRDefault="0025317F" w:rsidP="0025317F">
            <w:pPr>
              <w:tabs>
                <w:tab w:val="left" w:pos="1307"/>
                <w:tab w:val="decimal" w:pos="1608"/>
              </w:tabs>
              <w:ind w:right="57"/>
              <w:jc w:val="right"/>
            </w:pPr>
          </w:p>
        </w:tc>
        <w:tc>
          <w:tcPr>
            <w:tcW w:w="1559" w:type="dxa"/>
          </w:tcPr>
          <w:p w14:paraId="17BC793E" w14:textId="77777777" w:rsidR="0025317F" w:rsidRPr="008542CC" w:rsidRDefault="0025317F" w:rsidP="0025317F">
            <w:pPr>
              <w:tabs>
                <w:tab w:val="left" w:pos="1307"/>
                <w:tab w:val="decimal" w:pos="1608"/>
              </w:tabs>
              <w:ind w:right="57"/>
              <w:jc w:val="right"/>
            </w:pPr>
          </w:p>
        </w:tc>
        <w:tc>
          <w:tcPr>
            <w:tcW w:w="1418" w:type="dxa"/>
          </w:tcPr>
          <w:p w14:paraId="3483F95E" w14:textId="77777777" w:rsidR="0025317F" w:rsidRPr="008542CC" w:rsidRDefault="0025317F" w:rsidP="0025317F">
            <w:pPr>
              <w:tabs>
                <w:tab w:val="left" w:pos="1307"/>
                <w:tab w:val="decimal" w:pos="1608"/>
              </w:tabs>
              <w:ind w:right="57"/>
              <w:jc w:val="right"/>
            </w:pPr>
          </w:p>
        </w:tc>
        <w:tc>
          <w:tcPr>
            <w:tcW w:w="1451" w:type="dxa"/>
          </w:tcPr>
          <w:p w14:paraId="46026DAE" w14:textId="77777777" w:rsidR="0025317F" w:rsidRPr="008542CC" w:rsidRDefault="0025317F" w:rsidP="004D2FFF">
            <w:pPr>
              <w:tabs>
                <w:tab w:val="left" w:pos="1307"/>
                <w:tab w:val="decimal" w:pos="1608"/>
              </w:tabs>
              <w:ind w:right="57"/>
              <w:jc w:val="right"/>
            </w:pPr>
          </w:p>
        </w:tc>
      </w:tr>
      <w:tr w:rsidR="0025317F" w:rsidRPr="008542CC" w14:paraId="5BE6E43D" w14:textId="77777777" w:rsidTr="00224B26">
        <w:tc>
          <w:tcPr>
            <w:tcW w:w="4821" w:type="dxa"/>
          </w:tcPr>
          <w:p w14:paraId="53EF9BD6" w14:textId="77777777" w:rsidR="0025317F" w:rsidRPr="008542CC" w:rsidRDefault="0025317F" w:rsidP="0025317F">
            <w:pPr>
              <w:jc w:val="both"/>
            </w:pPr>
            <w:r w:rsidRPr="008542CC">
              <w:t>Adjustments for:</w:t>
            </w:r>
          </w:p>
        </w:tc>
        <w:tc>
          <w:tcPr>
            <w:tcW w:w="1559" w:type="dxa"/>
          </w:tcPr>
          <w:p w14:paraId="2A3A3410" w14:textId="77777777" w:rsidR="0025317F" w:rsidRPr="008542CC" w:rsidRDefault="0025317F" w:rsidP="0025317F">
            <w:pPr>
              <w:tabs>
                <w:tab w:val="left" w:pos="1307"/>
                <w:tab w:val="decimal" w:pos="1608"/>
              </w:tabs>
              <w:ind w:right="57"/>
              <w:jc w:val="right"/>
            </w:pPr>
          </w:p>
        </w:tc>
        <w:tc>
          <w:tcPr>
            <w:tcW w:w="1559" w:type="dxa"/>
          </w:tcPr>
          <w:p w14:paraId="15EC230E" w14:textId="77777777" w:rsidR="0025317F" w:rsidRPr="008542CC" w:rsidRDefault="0025317F" w:rsidP="0025317F">
            <w:pPr>
              <w:tabs>
                <w:tab w:val="left" w:pos="1307"/>
                <w:tab w:val="decimal" w:pos="1608"/>
              </w:tabs>
              <w:ind w:right="57"/>
              <w:jc w:val="right"/>
            </w:pPr>
          </w:p>
        </w:tc>
        <w:tc>
          <w:tcPr>
            <w:tcW w:w="1418" w:type="dxa"/>
          </w:tcPr>
          <w:p w14:paraId="1F099060" w14:textId="77777777" w:rsidR="0025317F" w:rsidRPr="008542CC" w:rsidRDefault="0025317F" w:rsidP="0025317F">
            <w:pPr>
              <w:tabs>
                <w:tab w:val="left" w:pos="1307"/>
                <w:tab w:val="decimal" w:pos="1608"/>
              </w:tabs>
              <w:ind w:right="57"/>
              <w:jc w:val="right"/>
            </w:pPr>
          </w:p>
        </w:tc>
        <w:tc>
          <w:tcPr>
            <w:tcW w:w="1451" w:type="dxa"/>
          </w:tcPr>
          <w:p w14:paraId="4CF486DF" w14:textId="77777777" w:rsidR="0025317F" w:rsidRPr="008542CC" w:rsidRDefault="0025317F" w:rsidP="004D2FFF">
            <w:pPr>
              <w:tabs>
                <w:tab w:val="left" w:pos="1307"/>
                <w:tab w:val="decimal" w:pos="1608"/>
              </w:tabs>
              <w:ind w:right="57"/>
              <w:jc w:val="right"/>
            </w:pPr>
          </w:p>
        </w:tc>
      </w:tr>
      <w:tr w:rsidR="0025317F" w:rsidRPr="00C328EF" w14:paraId="5B6ECB2D" w14:textId="77777777" w:rsidTr="00224B26">
        <w:tc>
          <w:tcPr>
            <w:tcW w:w="4821" w:type="dxa"/>
          </w:tcPr>
          <w:p w14:paraId="43CEE016" w14:textId="77777777" w:rsidR="0025317F" w:rsidRPr="0025317F" w:rsidRDefault="0025317F" w:rsidP="006D194C">
            <w:r w:rsidRPr="0025317F">
              <w:t>Depreciation</w:t>
            </w:r>
            <w:r w:rsidR="008542CC">
              <w:t>, amortisation and goodwill written back</w:t>
            </w:r>
          </w:p>
        </w:tc>
        <w:tc>
          <w:tcPr>
            <w:tcW w:w="1559" w:type="dxa"/>
          </w:tcPr>
          <w:p w14:paraId="7277835B" w14:textId="77777777" w:rsidR="0025317F" w:rsidRPr="00AD687A" w:rsidRDefault="00552CC7" w:rsidP="0025317F">
            <w:pPr>
              <w:tabs>
                <w:tab w:val="left" w:pos="1307"/>
                <w:tab w:val="decimal" w:pos="1608"/>
              </w:tabs>
              <w:ind w:right="57"/>
              <w:jc w:val="right"/>
            </w:pPr>
            <w:r w:rsidRPr="00AD687A">
              <w:t>20,904</w:t>
            </w:r>
          </w:p>
        </w:tc>
        <w:tc>
          <w:tcPr>
            <w:tcW w:w="1559" w:type="dxa"/>
          </w:tcPr>
          <w:p w14:paraId="6DF73251" w14:textId="77777777" w:rsidR="0025317F" w:rsidRPr="0025317F" w:rsidRDefault="0025317F" w:rsidP="0025317F">
            <w:pPr>
              <w:tabs>
                <w:tab w:val="left" w:pos="1307"/>
                <w:tab w:val="decimal" w:pos="1608"/>
              </w:tabs>
              <w:ind w:right="57"/>
              <w:jc w:val="right"/>
            </w:pPr>
            <w:r w:rsidRPr="0025317F">
              <w:t>19,561</w:t>
            </w:r>
          </w:p>
        </w:tc>
        <w:tc>
          <w:tcPr>
            <w:tcW w:w="1418" w:type="dxa"/>
          </w:tcPr>
          <w:p w14:paraId="3F523BCC" w14:textId="77777777" w:rsidR="0025317F" w:rsidRPr="00CF22F4" w:rsidRDefault="0025317F" w:rsidP="0025317F">
            <w:pPr>
              <w:tabs>
                <w:tab w:val="left" w:pos="1307"/>
                <w:tab w:val="decimal" w:pos="1608"/>
              </w:tabs>
              <w:ind w:right="57"/>
              <w:jc w:val="right"/>
            </w:pPr>
            <w:r w:rsidRPr="00CF22F4">
              <w:rPr>
                <w:rFonts w:cs="Arial"/>
              </w:rPr>
              <w:t>-</w:t>
            </w:r>
          </w:p>
        </w:tc>
        <w:tc>
          <w:tcPr>
            <w:tcW w:w="1451" w:type="dxa"/>
          </w:tcPr>
          <w:p w14:paraId="50CCCA04" w14:textId="77777777" w:rsidR="0025317F" w:rsidRPr="0025317F" w:rsidRDefault="0025317F" w:rsidP="004D2FFF">
            <w:pPr>
              <w:tabs>
                <w:tab w:val="left" w:pos="1307"/>
                <w:tab w:val="decimal" w:pos="1608"/>
              </w:tabs>
              <w:ind w:right="57"/>
              <w:jc w:val="right"/>
            </w:pPr>
            <w:r w:rsidRPr="004D2FFF">
              <w:t>-</w:t>
            </w:r>
          </w:p>
        </w:tc>
      </w:tr>
      <w:tr w:rsidR="0025317F" w:rsidRPr="00C328EF" w14:paraId="52F877B8" w14:textId="77777777" w:rsidTr="00224B26">
        <w:tc>
          <w:tcPr>
            <w:tcW w:w="4821" w:type="dxa"/>
          </w:tcPr>
          <w:p w14:paraId="44756161" w14:textId="77777777" w:rsidR="0025317F" w:rsidRPr="0025317F" w:rsidRDefault="0025317F" w:rsidP="0025317F">
            <w:pPr>
              <w:jc w:val="both"/>
            </w:pPr>
            <w:r w:rsidRPr="0025317F">
              <w:t>Defined benefit pension current service costs</w:t>
            </w:r>
          </w:p>
        </w:tc>
        <w:tc>
          <w:tcPr>
            <w:tcW w:w="1559" w:type="dxa"/>
          </w:tcPr>
          <w:p w14:paraId="66258C85" w14:textId="77777777" w:rsidR="0025317F" w:rsidRPr="00AD687A" w:rsidRDefault="00552CC7" w:rsidP="0025317F">
            <w:pPr>
              <w:tabs>
                <w:tab w:val="left" w:pos="1307"/>
                <w:tab w:val="decimal" w:pos="1608"/>
              </w:tabs>
              <w:ind w:right="57"/>
              <w:jc w:val="right"/>
            </w:pPr>
            <w:r w:rsidRPr="00AD687A">
              <w:t>7</w:t>
            </w:r>
            <w:r w:rsidR="0025317F" w:rsidRPr="00AD687A">
              <w:t>,</w:t>
            </w:r>
            <w:r w:rsidRPr="00AD687A">
              <w:t>269</w:t>
            </w:r>
          </w:p>
        </w:tc>
        <w:tc>
          <w:tcPr>
            <w:tcW w:w="1559" w:type="dxa"/>
          </w:tcPr>
          <w:p w14:paraId="498CB2B1" w14:textId="77777777" w:rsidR="0025317F" w:rsidRPr="0025317F" w:rsidRDefault="0025317F" w:rsidP="0025317F">
            <w:pPr>
              <w:tabs>
                <w:tab w:val="left" w:pos="1307"/>
                <w:tab w:val="decimal" w:pos="1608"/>
              </w:tabs>
              <w:ind w:right="57"/>
              <w:jc w:val="right"/>
            </w:pPr>
            <w:r w:rsidRPr="0025317F">
              <w:t>5,284</w:t>
            </w:r>
          </w:p>
        </w:tc>
        <w:tc>
          <w:tcPr>
            <w:tcW w:w="1418" w:type="dxa"/>
          </w:tcPr>
          <w:p w14:paraId="35B00B1D" w14:textId="77777777" w:rsidR="0025317F" w:rsidRPr="00CF22F4" w:rsidRDefault="0025317F" w:rsidP="0025317F">
            <w:pPr>
              <w:tabs>
                <w:tab w:val="left" w:pos="1307"/>
                <w:tab w:val="decimal" w:pos="1608"/>
              </w:tabs>
              <w:ind w:right="57"/>
              <w:jc w:val="right"/>
            </w:pPr>
            <w:r w:rsidRPr="00CF22F4">
              <w:t>-</w:t>
            </w:r>
          </w:p>
        </w:tc>
        <w:tc>
          <w:tcPr>
            <w:tcW w:w="1451" w:type="dxa"/>
          </w:tcPr>
          <w:p w14:paraId="3DA73712" w14:textId="77777777" w:rsidR="0025317F" w:rsidRPr="0025317F" w:rsidRDefault="0025317F" w:rsidP="004D2FFF">
            <w:pPr>
              <w:tabs>
                <w:tab w:val="left" w:pos="1307"/>
                <w:tab w:val="decimal" w:pos="1608"/>
              </w:tabs>
              <w:ind w:right="57"/>
              <w:jc w:val="right"/>
            </w:pPr>
            <w:r w:rsidRPr="0025317F">
              <w:t>-</w:t>
            </w:r>
          </w:p>
        </w:tc>
      </w:tr>
      <w:tr w:rsidR="0025317F" w:rsidRPr="00C328EF" w14:paraId="598B306F" w14:textId="77777777" w:rsidTr="00224B26">
        <w:tc>
          <w:tcPr>
            <w:tcW w:w="4821" w:type="dxa"/>
          </w:tcPr>
          <w:p w14:paraId="2115A0F1" w14:textId="77777777" w:rsidR="0025317F" w:rsidRPr="0025317F" w:rsidRDefault="0025317F" w:rsidP="0025317F">
            <w:pPr>
              <w:jc w:val="both"/>
            </w:pPr>
            <w:r w:rsidRPr="0025317F">
              <w:t>Defined benefit pension contributions</w:t>
            </w:r>
          </w:p>
        </w:tc>
        <w:tc>
          <w:tcPr>
            <w:tcW w:w="1559" w:type="dxa"/>
          </w:tcPr>
          <w:p w14:paraId="55CC01E2" w14:textId="77777777" w:rsidR="0025317F" w:rsidRPr="00AD687A" w:rsidRDefault="0025317F" w:rsidP="0025317F">
            <w:pPr>
              <w:tabs>
                <w:tab w:val="left" w:pos="1307"/>
                <w:tab w:val="decimal" w:pos="1608"/>
              </w:tabs>
              <w:ind w:right="57"/>
              <w:jc w:val="right"/>
            </w:pPr>
            <w:r w:rsidRPr="00AD687A">
              <w:t>(2,</w:t>
            </w:r>
            <w:r w:rsidR="00552CC7" w:rsidRPr="00AD687A">
              <w:t>267</w:t>
            </w:r>
            <w:r w:rsidRPr="00AD687A">
              <w:t>)</w:t>
            </w:r>
          </w:p>
        </w:tc>
        <w:tc>
          <w:tcPr>
            <w:tcW w:w="1559" w:type="dxa"/>
          </w:tcPr>
          <w:p w14:paraId="0E712E1F" w14:textId="77777777" w:rsidR="0025317F" w:rsidRPr="0025317F" w:rsidRDefault="0025317F" w:rsidP="0025317F">
            <w:pPr>
              <w:tabs>
                <w:tab w:val="left" w:pos="1307"/>
                <w:tab w:val="decimal" w:pos="1608"/>
              </w:tabs>
              <w:ind w:right="57"/>
              <w:jc w:val="right"/>
            </w:pPr>
            <w:r w:rsidRPr="0025317F">
              <w:t>(2,400)</w:t>
            </w:r>
          </w:p>
        </w:tc>
        <w:tc>
          <w:tcPr>
            <w:tcW w:w="1418" w:type="dxa"/>
          </w:tcPr>
          <w:p w14:paraId="270307C5" w14:textId="77777777" w:rsidR="0025317F" w:rsidRPr="00CF22F4" w:rsidRDefault="0025317F" w:rsidP="0025317F">
            <w:pPr>
              <w:tabs>
                <w:tab w:val="left" w:pos="1307"/>
                <w:tab w:val="decimal" w:pos="1608"/>
              </w:tabs>
              <w:ind w:right="57"/>
              <w:jc w:val="right"/>
            </w:pPr>
            <w:r w:rsidRPr="00CF22F4">
              <w:t>-</w:t>
            </w:r>
          </w:p>
        </w:tc>
        <w:tc>
          <w:tcPr>
            <w:tcW w:w="1451" w:type="dxa"/>
          </w:tcPr>
          <w:p w14:paraId="3A4DE65C" w14:textId="77777777" w:rsidR="0025317F" w:rsidRPr="0025317F" w:rsidRDefault="0025317F" w:rsidP="004D2FFF">
            <w:pPr>
              <w:tabs>
                <w:tab w:val="left" w:pos="1307"/>
                <w:tab w:val="decimal" w:pos="1608"/>
              </w:tabs>
              <w:ind w:right="57"/>
              <w:jc w:val="right"/>
            </w:pPr>
            <w:r w:rsidRPr="0025317F">
              <w:t>-</w:t>
            </w:r>
          </w:p>
        </w:tc>
      </w:tr>
      <w:tr w:rsidR="00471249" w:rsidRPr="00C328EF" w14:paraId="345C0617" w14:textId="77777777" w:rsidTr="00224B26">
        <w:tc>
          <w:tcPr>
            <w:tcW w:w="4821" w:type="dxa"/>
          </w:tcPr>
          <w:p w14:paraId="4BCE0A6F" w14:textId="77777777" w:rsidR="00471249" w:rsidRPr="0025317F" w:rsidRDefault="00471249" w:rsidP="00471249">
            <w:pPr>
              <w:jc w:val="both"/>
            </w:pPr>
          </w:p>
        </w:tc>
        <w:tc>
          <w:tcPr>
            <w:tcW w:w="1559" w:type="dxa"/>
          </w:tcPr>
          <w:p w14:paraId="3A7324AF" w14:textId="77777777" w:rsidR="00471249" w:rsidRPr="00C328EF" w:rsidRDefault="00471249" w:rsidP="00471249">
            <w:pPr>
              <w:tabs>
                <w:tab w:val="left" w:pos="1307"/>
                <w:tab w:val="decimal" w:pos="1608"/>
              </w:tabs>
              <w:ind w:right="57"/>
              <w:jc w:val="right"/>
              <w:rPr>
                <w:highlight w:val="yellow"/>
              </w:rPr>
            </w:pPr>
          </w:p>
        </w:tc>
        <w:tc>
          <w:tcPr>
            <w:tcW w:w="1559" w:type="dxa"/>
          </w:tcPr>
          <w:p w14:paraId="6E5317AD" w14:textId="77777777" w:rsidR="00471249" w:rsidRPr="0025317F" w:rsidRDefault="00471249" w:rsidP="00471249">
            <w:pPr>
              <w:tabs>
                <w:tab w:val="left" w:pos="1307"/>
                <w:tab w:val="decimal" w:pos="1608"/>
              </w:tabs>
              <w:ind w:right="57"/>
              <w:jc w:val="right"/>
            </w:pPr>
          </w:p>
        </w:tc>
        <w:tc>
          <w:tcPr>
            <w:tcW w:w="1418" w:type="dxa"/>
          </w:tcPr>
          <w:p w14:paraId="04C03A58" w14:textId="77777777" w:rsidR="00471249" w:rsidRPr="00CF22F4" w:rsidRDefault="00471249" w:rsidP="00471249">
            <w:pPr>
              <w:tabs>
                <w:tab w:val="left" w:pos="1307"/>
                <w:tab w:val="decimal" w:pos="1608"/>
              </w:tabs>
              <w:ind w:right="57"/>
              <w:jc w:val="right"/>
            </w:pPr>
          </w:p>
        </w:tc>
        <w:tc>
          <w:tcPr>
            <w:tcW w:w="1451" w:type="dxa"/>
          </w:tcPr>
          <w:p w14:paraId="5D8AE40F" w14:textId="77777777" w:rsidR="00471249" w:rsidRPr="0025317F" w:rsidRDefault="00471249" w:rsidP="004D2FFF">
            <w:pPr>
              <w:tabs>
                <w:tab w:val="left" w:pos="1307"/>
                <w:tab w:val="decimal" w:pos="1608"/>
              </w:tabs>
              <w:ind w:right="57"/>
              <w:jc w:val="right"/>
            </w:pPr>
          </w:p>
        </w:tc>
      </w:tr>
      <w:tr w:rsidR="00471249" w:rsidRPr="00C328EF" w14:paraId="5CE58756" w14:textId="77777777" w:rsidTr="00224B26">
        <w:tc>
          <w:tcPr>
            <w:tcW w:w="4821" w:type="dxa"/>
          </w:tcPr>
          <w:p w14:paraId="496276BF" w14:textId="77777777" w:rsidR="00471249" w:rsidRPr="0025317F" w:rsidRDefault="00471249" w:rsidP="00471249">
            <w:pPr>
              <w:jc w:val="both"/>
            </w:pPr>
            <w:r w:rsidRPr="0025317F">
              <w:t>Changes in assets and liabilities:</w:t>
            </w:r>
          </w:p>
        </w:tc>
        <w:tc>
          <w:tcPr>
            <w:tcW w:w="1559" w:type="dxa"/>
          </w:tcPr>
          <w:p w14:paraId="617267C8" w14:textId="77777777" w:rsidR="00471249" w:rsidRPr="00C328EF" w:rsidRDefault="00471249" w:rsidP="00471249">
            <w:pPr>
              <w:tabs>
                <w:tab w:val="left" w:pos="1307"/>
                <w:tab w:val="decimal" w:pos="1608"/>
              </w:tabs>
              <w:ind w:right="57"/>
              <w:jc w:val="right"/>
              <w:rPr>
                <w:highlight w:val="yellow"/>
              </w:rPr>
            </w:pPr>
          </w:p>
        </w:tc>
        <w:tc>
          <w:tcPr>
            <w:tcW w:w="1559" w:type="dxa"/>
          </w:tcPr>
          <w:p w14:paraId="7D046128" w14:textId="77777777" w:rsidR="00471249" w:rsidRPr="0025317F" w:rsidRDefault="00471249" w:rsidP="00471249">
            <w:pPr>
              <w:tabs>
                <w:tab w:val="left" w:pos="1307"/>
                <w:tab w:val="decimal" w:pos="1608"/>
              </w:tabs>
              <w:ind w:right="57"/>
              <w:jc w:val="right"/>
            </w:pPr>
          </w:p>
        </w:tc>
        <w:tc>
          <w:tcPr>
            <w:tcW w:w="1418" w:type="dxa"/>
          </w:tcPr>
          <w:p w14:paraId="2C104540" w14:textId="77777777" w:rsidR="00471249" w:rsidRPr="00CF22F4" w:rsidRDefault="00471249" w:rsidP="00471249">
            <w:pPr>
              <w:tabs>
                <w:tab w:val="left" w:pos="1307"/>
                <w:tab w:val="decimal" w:pos="1608"/>
              </w:tabs>
              <w:ind w:right="57"/>
              <w:jc w:val="right"/>
            </w:pPr>
          </w:p>
        </w:tc>
        <w:tc>
          <w:tcPr>
            <w:tcW w:w="1451" w:type="dxa"/>
          </w:tcPr>
          <w:p w14:paraId="073D7CB3" w14:textId="77777777" w:rsidR="00471249" w:rsidRPr="0025317F" w:rsidRDefault="00471249" w:rsidP="004D2FFF">
            <w:pPr>
              <w:tabs>
                <w:tab w:val="left" w:pos="1307"/>
                <w:tab w:val="decimal" w:pos="1608"/>
              </w:tabs>
              <w:ind w:right="57"/>
              <w:jc w:val="right"/>
            </w:pPr>
          </w:p>
        </w:tc>
      </w:tr>
      <w:tr w:rsidR="00471249" w:rsidRPr="00C328EF" w14:paraId="0B384FD5" w14:textId="77777777" w:rsidTr="00224B26">
        <w:trPr>
          <w:trHeight w:val="185"/>
        </w:trPr>
        <w:tc>
          <w:tcPr>
            <w:tcW w:w="4821" w:type="dxa"/>
          </w:tcPr>
          <w:p w14:paraId="6C85E3CD" w14:textId="77777777" w:rsidR="00471249" w:rsidRPr="00AD687A" w:rsidRDefault="00AD687A" w:rsidP="00471249">
            <w:pPr>
              <w:jc w:val="both"/>
            </w:pPr>
            <w:r w:rsidRPr="00AD687A">
              <w:t>(Increase)/d</w:t>
            </w:r>
            <w:r w:rsidR="00471249" w:rsidRPr="00AD687A">
              <w:t>ecrease</w:t>
            </w:r>
            <w:r w:rsidRPr="00AD687A">
              <w:t xml:space="preserve"> </w:t>
            </w:r>
            <w:r w:rsidR="00471249" w:rsidRPr="00AD687A">
              <w:t>in receivables and other financial assets</w:t>
            </w:r>
          </w:p>
        </w:tc>
        <w:tc>
          <w:tcPr>
            <w:tcW w:w="1559" w:type="dxa"/>
          </w:tcPr>
          <w:p w14:paraId="67812F73" w14:textId="77777777" w:rsidR="00471249" w:rsidRPr="00AD687A" w:rsidRDefault="00AD687A" w:rsidP="00471249">
            <w:pPr>
              <w:tabs>
                <w:tab w:val="left" w:pos="1307"/>
                <w:tab w:val="decimal" w:pos="1608"/>
              </w:tabs>
              <w:ind w:right="57"/>
              <w:jc w:val="right"/>
            </w:pPr>
            <w:r w:rsidRPr="00AD687A">
              <w:t>(2,</w:t>
            </w:r>
            <w:r w:rsidR="00DD11BA">
              <w:t>338)</w:t>
            </w:r>
          </w:p>
        </w:tc>
        <w:tc>
          <w:tcPr>
            <w:tcW w:w="1559" w:type="dxa"/>
          </w:tcPr>
          <w:p w14:paraId="620631E8" w14:textId="77777777" w:rsidR="00471249" w:rsidRPr="0025317F" w:rsidRDefault="00471249" w:rsidP="00471249">
            <w:pPr>
              <w:tabs>
                <w:tab w:val="left" w:pos="1307"/>
                <w:tab w:val="decimal" w:pos="1608"/>
              </w:tabs>
              <w:ind w:right="57"/>
              <w:jc w:val="right"/>
            </w:pPr>
            <w:r w:rsidRPr="0025317F">
              <w:t>651</w:t>
            </w:r>
          </w:p>
        </w:tc>
        <w:tc>
          <w:tcPr>
            <w:tcW w:w="1418" w:type="dxa"/>
          </w:tcPr>
          <w:p w14:paraId="22B57709" w14:textId="77777777" w:rsidR="00471249" w:rsidRPr="00CF22F4" w:rsidRDefault="001B7C95" w:rsidP="00471249">
            <w:pPr>
              <w:tabs>
                <w:tab w:val="left" w:pos="1307"/>
                <w:tab w:val="decimal" w:pos="1608"/>
              </w:tabs>
              <w:ind w:right="57"/>
              <w:jc w:val="right"/>
            </w:pPr>
            <w:r w:rsidRPr="00CF22F4">
              <w:t>(43)</w:t>
            </w:r>
          </w:p>
        </w:tc>
        <w:tc>
          <w:tcPr>
            <w:tcW w:w="1451" w:type="dxa"/>
          </w:tcPr>
          <w:p w14:paraId="26A4615F" w14:textId="77777777" w:rsidR="00471249" w:rsidRPr="0025317F" w:rsidRDefault="00471249" w:rsidP="004D2FFF">
            <w:pPr>
              <w:tabs>
                <w:tab w:val="left" w:pos="1307"/>
                <w:tab w:val="decimal" w:pos="1608"/>
              </w:tabs>
              <w:ind w:right="57"/>
              <w:jc w:val="right"/>
            </w:pPr>
            <w:r w:rsidRPr="0025317F">
              <w:t>19</w:t>
            </w:r>
          </w:p>
        </w:tc>
      </w:tr>
      <w:tr w:rsidR="00471249" w:rsidRPr="00C328EF" w14:paraId="63456EAA" w14:textId="77777777" w:rsidTr="00224B26">
        <w:tc>
          <w:tcPr>
            <w:tcW w:w="4821" w:type="dxa"/>
          </w:tcPr>
          <w:p w14:paraId="0A5B5B73" w14:textId="77777777" w:rsidR="00471249" w:rsidRPr="00AD687A" w:rsidRDefault="00AD687A" w:rsidP="00471249">
            <w:pPr>
              <w:jc w:val="both"/>
            </w:pPr>
            <w:r w:rsidRPr="00AD687A">
              <w:t>(Decrease)/i</w:t>
            </w:r>
            <w:r w:rsidR="00471249" w:rsidRPr="00AD687A">
              <w:t>ncrease in payables</w:t>
            </w:r>
          </w:p>
        </w:tc>
        <w:tc>
          <w:tcPr>
            <w:tcW w:w="1559" w:type="dxa"/>
          </w:tcPr>
          <w:p w14:paraId="6DCFFFAD" w14:textId="77777777" w:rsidR="00471249" w:rsidRPr="00AD687A" w:rsidRDefault="00AD687A" w:rsidP="00471249">
            <w:pPr>
              <w:tabs>
                <w:tab w:val="left" w:pos="1307"/>
                <w:tab w:val="decimal" w:pos="1608"/>
              </w:tabs>
              <w:ind w:right="57"/>
              <w:jc w:val="right"/>
            </w:pPr>
            <w:r w:rsidRPr="00AD687A">
              <w:t>(</w:t>
            </w:r>
            <w:r w:rsidR="00DD11BA">
              <w:t>930)</w:t>
            </w:r>
          </w:p>
        </w:tc>
        <w:tc>
          <w:tcPr>
            <w:tcW w:w="1559" w:type="dxa"/>
          </w:tcPr>
          <w:p w14:paraId="5F9072D4" w14:textId="77777777" w:rsidR="00471249" w:rsidRPr="0025317F" w:rsidRDefault="00471249" w:rsidP="00471249">
            <w:pPr>
              <w:tabs>
                <w:tab w:val="left" w:pos="1307"/>
                <w:tab w:val="decimal" w:pos="1608"/>
              </w:tabs>
              <w:ind w:right="57"/>
              <w:jc w:val="right"/>
            </w:pPr>
            <w:r w:rsidRPr="0025317F">
              <w:t>2,706</w:t>
            </w:r>
          </w:p>
        </w:tc>
        <w:tc>
          <w:tcPr>
            <w:tcW w:w="1418" w:type="dxa"/>
          </w:tcPr>
          <w:p w14:paraId="439206E8" w14:textId="77777777" w:rsidR="00471249" w:rsidRPr="00CF22F4" w:rsidRDefault="001B7C95" w:rsidP="00471249">
            <w:pPr>
              <w:tabs>
                <w:tab w:val="left" w:pos="1307"/>
                <w:tab w:val="decimal" w:pos="1608"/>
              </w:tabs>
              <w:ind w:right="57"/>
              <w:jc w:val="right"/>
            </w:pPr>
            <w:r w:rsidRPr="00CF22F4">
              <w:t>3</w:t>
            </w:r>
          </w:p>
        </w:tc>
        <w:tc>
          <w:tcPr>
            <w:tcW w:w="1451" w:type="dxa"/>
          </w:tcPr>
          <w:p w14:paraId="541FCE98" w14:textId="77777777" w:rsidR="00471249" w:rsidRPr="0025317F" w:rsidRDefault="00471249" w:rsidP="004D2FFF">
            <w:pPr>
              <w:tabs>
                <w:tab w:val="left" w:pos="1307"/>
                <w:tab w:val="decimal" w:pos="1608"/>
              </w:tabs>
              <w:ind w:right="57"/>
              <w:jc w:val="right"/>
            </w:pPr>
            <w:r w:rsidRPr="0025317F">
              <w:t>(48)</w:t>
            </w:r>
          </w:p>
        </w:tc>
      </w:tr>
      <w:tr w:rsidR="00471249" w:rsidRPr="00C328EF" w14:paraId="35A46160" w14:textId="77777777" w:rsidTr="00224B26">
        <w:tc>
          <w:tcPr>
            <w:tcW w:w="4821" w:type="dxa"/>
          </w:tcPr>
          <w:p w14:paraId="79B35A9A" w14:textId="77777777" w:rsidR="00471249" w:rsidRPr="00AD687A" w:rsidRDefault="00AD687A" w:rsidP="00471249">
            <w:pPr>
              <w:jc w:val="both"/>
            </w:pPr>
            <w:r w:rsidRPr="00AD687A">
              <w:t>(Increase)/decrease</w:t>
            </w:r>
            <w:r w:rsidR="00471249" w:rsidRPr="00AD687A">
              <w:t xml:space="preserve"> in inventories</w:t>
            </w:r>
          </w:p>
        </w:tc>
        <w:tc>
          <w:tcPr>
            <w:tcW w:w="1559" w:type="dxa"/>
          </w:tcPr>
          <w:p w14:paraId="70A7C6E5" w14:textId="77777777" w:rsidR="00471249" w:rsidRPr="00AD687A" w:rsidRDefault="00AD687A" w:rsidP="00471249">
            <w:pPr>
              <w:tabs>
                <w:tab w:val="left" w:pos="1307"/>
                <w:tab w:val="decimal" w:pos="1608"/>
              </w:tabs>
              <w:ind w:right="57"/>
              <w:jc w:val="right"/>
              <w:rPr>
                <w:spacing w:val="-2"/>
              </w:rPr>
            </w:pPr>
            <w:r w:rsidRPr="00AD687A">
              <w:rPr>
                <w:spacing w:val="-2"/>
              </w:rPr>
              <w:t>(258)</w:t>
            </w:r>
          </w:p>
        </w:tc>
        <w:tc>
          <w:tcPr>
            <w:tcW w:w="1559" w:type="dxa"/>
          </w:tcPr>
          <w:p w14:paraId="6F863041" w14:textId="77777777" w:rsidR="00471249" w:rsidRPr="0025317F" w:rsidRDefault="00471249" w:rsidP="00471249">
            <w:pPr>
              <w:tabs>
                <w:tab w:val="left" w:pos="1307"/>
                <w:tab w:val="decimal" w:pos="1608"/>
              </w:tabs>
              <w:ind w:right="57"/>
              <w:jc w:val="right"/>
              <w:rPr>
                <w:spacing w:val="-2"/>
              </w:rPr>
            </w:pPr>
            <w:r w:rsidRPr="0025317F">
              <w:rPr>
                <w:spacing w:val="-2"/>
              </w:rPr>
              <w:t>3</w:t>
            </w:r>
          </w:p>
        </w:tc>
        <w:tc>
          <w:tcPr>
            <w:tcW w:w="1418" w:type="dxa"/>
          </w:tcPr>
          <w:p w14:paraId="09F63191" w14:textId="77777777" w:rsidR="00471249" w:rsidRPr="00CF22F4" w:rsidRDefault="00471249" w:rsidP="00471249">
            <w:pPr>
              <w:tabs>
                <w:tab w:val="left" w:pos="1307"/>
                <w:tab w:val="decimal" w:pos="1608"/>
              </w:tabs>
              <w:ind w:right="57"/>
              <w:jc w:val="right"/>
              <w:rPr>
                <w:spacing w:val="-2"/>
              </w:rPr>
            </w:pPr>
            <w:r w:rsidRPr="00CF22F4">
              <w:rPr>
                <w:spacing w:val="-2"/>
              </w:rPr>
              <w:t>-</w:t>
            </w:r>
          </w:p>
        </w:tc>
        <w:tc>
          <w:tcPr>
            <w:tcW w:w="1451" w:type="dxa"/>
          </w:tcPr>
          <w:p w14:paraId="44D83635" w14:textId="77777777" w:rsidR="00471249" w:rsidRPr="004D2FFF" w:rsidRDefault="00471249" w:rsidP="004D2FFF">
            <w:pPr>
              <w:tabs>
                <w:tab w:val="left" w:pos="1307"/>
                <w:tab w:val="decimal" w:pos="1608"/>
              </w:tabs>
              <w:ind w:right="57"/>
              <w:jc w:val="right"/>
            </w:pPr>
            <w:r w:rsidRPr="004D2FFF">
              <w:t>-</w:t>
            </w:r>
          </w:p>
        </w:tc>
      </w:tr>
      <w:tr w:rsidR="00471249" w:rsidRPr="00C328EF" w14:paraId="38FC1C16" w14:textId="77777777" w:rsidTr="00224B26">
        <w:tc>
          <w:tcPr>
            <w:tcW w:w="4821" w:type="dxa"/>
          </w:tcPr>
          <w:p w14:paraId="7E387CB5" w14:textId="77777777" w:rsidR="00471249" w:rsidRPr="00AD687A" w:rsidRDefault="00471249" w:rsidP="00471249">
            <w:pPr>
              <w:jc w:val="both"/>
            </w:pPr>
            <w:r w:rsidRPr="00AD687A">
              <w:t>Increase in provisions</w:t>
            </w:r>
          </w:p>
        </w:tc>
        <w:tc>
          <w:tcPr>
            <w:tcW w:w="1559" w:type="dxa"/>
          </w:tcPr>
          <w:p w14:paraId="58152DFA" w14:textId="77777777" w:rsidR="00471249" w:rsidRPr="00AD687A" w:rsidRDefault="00AD687A" w:rsidP="00471249">
            <w:pPr>
              <w:tabs>
                <w:tab w:val="left" w:pos="1307"/>
                <w:tab w:val="decimal" w:pos="1608"/>
              </w:tabs>
              <w:ind w:right="57"/>
              <w:jc w:val="right"/>
              <w:rPr>
                <w:spacing w:val="-2"/>
              </w:rPr>
            </w:pPr>
            <w:r w:rsidRPr="00AD687A">
              <w:rPr>
                <w:spacing w:val="-2"/>
              </w:rPr>
              <w:t>303</w:t>
            </w:r>
          </w:p>
        </w:tc>
        <w:tc>
          <w:tcPr>
            <w:tcW w:w="1559" w:type="dxa"/>
          </w:tcPr>
          <w:p w14:paraId="3F91C456" w14:textId="77777777" w:rsidR="00471249" w:rsidRPr="0025317F" w:rsidRDefault="00471249" w:rsidP="00471249">
            <w:pPr>
              <w:tabs>
                <w:tab w:val="left" w:pos="1307"/>
                <w:tab w:val="decimal" w:pos="1608"/>
              </w:tabs>
              <w:ind w:right="57"/>
              <w:jc w:val="right"/>
              <w:rPr>
                <w:spacing w:val="-2"/>
              </w:rPr>
            </w:pPr>
            <w:r w:rsidRPr="0025317F">
              <w:rPr>
                <w:spacing w:val="-2"/>
              </w:rPr>
              <w:t>41</w:t>
            </w:r>
          </w:p>
        </w:tc>
        <w:tc>
          <w:tcPr>
            <w:tcW w:w="1418" w:type="dxa"/>
          </w:tcPr>
          <w:p w14:paraId="5625DC06" w14:textId="77777777" w:rsidR="00471249" w:rsidRPr="00CF22F4" w:rsidRDefault="00471249" w:rsidP="00471249">
            <w:pPr>
              <w:tabs>
                <w:tab w:val="left" w:pos="1307"/>
                <w:tab w:val="decimal" w:pos="1608"/>
              </w:tabs>
              <w:ind w:right="57"/>
              <w:jc w:val="right"/>
              <w:rPr>
                <w:spacing w:val="-2"/>
              </w:rPr>
            </w:pPr>
            <w:r w:rsidRPr="00CF22F4">
              <w:rPr>
                <w:spacing w:val="-2"/>
              </w:rPr>
              <w:t>-</w:t>
            </w:r>
          </w:p>
        </w:tc>
        <w:tc>
          <w:tcPr>
            <w:tcW w:w="1451" w:type="dxa"/>
          </w:tcPr>
          <w:p w14:paraId="0576C8A5" w14:textId="77777777" w:rsidR="00471249" w:rsidRPr="004D2FFF" w:rsidRDefault="00471249" w:rsidP="004D2FFF">
            <w:pPr>
              <w:tabs>
                <w:tab w:val="left" w:pos="1307"/>
                <w:tab w:val="decimal" w:pos="1608"/>
              </w:tabs>
              <w:ind w:right="57"/>
              <w:jc w:val="right"/>
            </w:pPr>
            <w:r w:rsidRPr="004D2FFF">
              <w:t>-</w:t>
            </w:r>
          </w:p>
        </w:tc>
      </w:tr>
      <w:tr w:rsidR="00471249" w:rsidRPr="00C328EF" w14:paraId="3CA5DD71" w14:textId="77777777" w:rsidTr="00224B26">
        <w:tc>
          <w:tcPr>
            <w:tcW w:w="4821" w:type="dxa"/>
          </w:tcPr>
          <w:p w14:paraId="3ACE5009" w14:textId="77777777" w:rsidR="00471249" w:rsidRPr="00C328EF" w:rsidRDefault="00471249" w:rsidP="00471249">
            <w:pPr>
              <w:jc w:val="both"/>
              <w:rPr>
                <w:highlight w:val="yellow"/>
              </w:rPr>
            </w:pPr>
          </w:p>
        </w:tc>
        <w:tc>
          <w:tcPr>
            <w:tcW w:w="1559" w:type="dxa"/>
          </w:tcPr>
          <w:p w14:paraId="17E12D28" w14:textId="77777777" w:rsidR="00471249" w:rsidRPr="00AD687A" w:rsidRDefault="00471249" w:rsidP="00471249">
            <w:pPr>
              <w:tabs>
                <w:tab w:val="left" w:pos="1307"/>
                <w:tab w:val="decimal" w:pos="1608"/>
              </w:tabs>
              <w:ind w:right="57"/>
              <w:jc w:val="right"/>
            </w:pPr>
            <w:r w:rsidRPr="00AD687A">
              <w:rPr>
                <w:spacing w:val="-2"/>
              </w:rPr>
              <w:t>─────</w:t>
            </w:r>
          </w:p>
        </w:tc>
        <w:tc>
          <w:tcPr>
            <w:tcW w:w="1559" w:type="dxa"/>
          </w:tcPr>
          <w:p w14:paraId="348E20BD" w14:textId="77777777" w:rsidR="00471249" w:rsidRPr="0025317F" w:rsidRDefault="00471249" w:rsidP="00471249">
            <w:pPr>
              <w:tabs>
                <w:tab w:val="left" w:pos="1307"/>
                <w:tab w:val="decimal" w:pos="1608"/>
              </w:tabs>
              <w:ind w:right="57"/>
              <w:jc w:val="right"/>
              <w:rPr>
                <w:spacing w:val="-2"/>
              </w:rPr>
            </w:pPr>
            <w:r w:rsidRPr="0025317F">
              <w:rPr>
                <w:spacing w:val="-2"/>
              </w:rPr>
              <w:t>─────</w:t>
            </w:r>
          </w:p>
        </w:tc>
        <w:tc>
          <w:tcPr>
            <w:tcW w:w="1418" w:type="dxa"/>
          </w:tcPr>
          <w:p w14:paraId="4B8AB7E5" w14:textId="77777777" w:rsidR="00471249" w:rsidRPr="00CF22F4" w:rsidRDefault="00471249" w:rsidP="00471249">
            <w:pPr>
              <w:tabs>
                <w:tab w:val="left" w:pos="1307"/>
                <w:tab w:val="decimal" w:pos="1608"/>
              </w:tabs>
              <w:ind w:right="57"/>
              <w:jc w:val="right"/>
            </w:pPr>
            <w:r w:rsidRPr="00CF22F4">
              <w:rPr>
                <w:spacing w:val="-2"/>
              </w:rPr>
              <w:t>─────</w:t>
            </w:r>
          </w:p>
        </w:tc>
        <w:tc>
          <w:tcPr>
            <w:tcW w:w="1451" w:type="dxa"/>
          </w:tcPr>
          <w:p w14:paraId="23BD9FBD" w14:textId="77777777" w:rsidR="00471249" w:rsidRPr="004D2FFF" w:rsidRDefault="00471249" w:rsidP="004D2FFF">
            <w:pPr>
              <w:tabs>
                <w:tab w:val="left" w:pos="1307"/>
                <w:tab w:val="decimal" w:pos="1608"/>
              </w:tabs>
              <w:ind w:right="57"/>
              <w:jc w:val="right"/>
            </w:pPr>
            <w:r w:rsidRPr="004D2FFF">
              <w:t>─────</w:t>
            </w:r>
          </w:p>
        </w:tc>
      </w:tr>
      <w:tr w:rsidR="00471249" w:rsidRPr="00C328EF" w14:paraId="799C4642" w14:textId="77777777" w:rsidTr="00224B26">
        <w:tc>
          <w:tcPr>
            <w:tcW w:w="4821" w:type="dxa"/>
          </w:tcPr>
          <w:p w14:paraId="422D1257" w14:textId="77777777" w:rsidR="00471249" w:rsidRPr="0025317F" w:rsidRDefault="00471249" w:rsidP="00471249">
            <w:pPr>
              <w:jc w:val="both"/>
              <w:rPr>
                <w:b/>
              </w:rPr>
            </w:pPr>
            <w:r w:rsidRPr="0025317F">
              <w:rPr>
                <w:b/>
              </w:rPr>
              <w:t>Cash flows from operations</w:t>
            </w:r>
          </w:p>
        </w:tc>
        <w:tc>
          <w:tcPr>
            <w:tcW w:w="1559" w:type="dxa"/>
          </w:tcPr>
          <w:p w14:paraId="562568B9" w14:textId="77777777" w:rsidR="00471249" w:rsidRPr="00AD687A" w:rsidRDefault="00AD687A" w:rsidP="00471249">
            <w:pPr>
              <w:tabs>
                <w:tab w:val="left" w:pos="1307"/>
                <w:tab w:val="decimal" w:pos="1608"/>
              </w:tabs>
              <w:ind w:right="57"/>
              <w:jc w:val="right"/>
            </w:pPr>
            <w:r w:rsidRPr="00AD687A">
              <w:t>13</w:t>
            </w:r>
            <w:r w:rsidR="00471249" w:rsidRPr="00AD687A">
              <w:t>,</w:t>
            </w:r>
            <w:r w:rsidRPr="00AD687A">
              <w:t>151</w:t>
            </w:r>
          </w:p>
        </w:tc>
        <w:tc>
          <w:tcPr>
            <w:tcW w:w="1559" w:type="dxa"/>
          </w:tcPr>
          <w:p w14:paraId="742F683B" w14:textId="77777777" w:rsidR="00471249" w:rsidRPr="0025317F" w:rsidRDefault="00471249" w:rsidP="00471249">
            <w:pPr>
              <w:tabs>
                <w:tab w:val="left" w:pos="1307"/>
                <w:tab w:val="decimal" w:pos="1608"/>
              </w:tabs>
              <w:ind w:right="57"/>
              <w:jc w:val="right"/>
            </w:pPr>
            <w:r w:rsidRPr="0025317F">
              <w:t>22,972</w:t>
            </w:r>
          </w:p>
        </w:tc>
        <w:tc>
          <w:tcPr>
            <w:tcW w:w="1418" w:type="dxa"/>
          </w:tcPr>
          <w:p w14:paraId="59BE9645" w14:textId="77777777" w:rsidR="00471249" w:rsidRPr="00CF22F4" w:rsidRDefault="00471249" w:rsidP="00471249">
            <w:pPr>
              <w:tabs>
                <w:tab w:val="left" w:pos="1307"/>
                <w:tab w:val="decimal" w:pos="1608"/>
              </w:tabs>
              <w:ind w:right="57"/>
              <w:jc w:val="right"/>
            </w:pPr>
            <w:r w:rsidRPr="00CF22F4">
              <w:t>(2</w:t>
            </w:r>
            <w:r w:rsidR="001B7C95" w:rsidRPr="00CF22F4">
              <w:t>7</w:t>
            </w:r>
            <w:r w:rsidRPr="00CF22F4">
              <w:t>9</w:t>
            </w:r>
            <w:r w:rsidR="00CC0D8F" w:rsidRPr="00CF22F4">
              <w:t>)</w:t>
            </w:r>
          </w:p>
        </w:tc>
        <w:tc>
          <w:tcPr>
            <w:tcW w:w="1451" w:type="dxa"/>
          </w:tcPr>
          <w:p w14:paraId="7F97B233" w14:textId="77777777" w:rsidR="00471249" w:rsidRPr="0025317F" w:rsidRDefault="00471249" w:rsidP="004D2FFF">
            <w:pPr>
              <w:tabs>
                <w:tab w:val="left" w:pos="1307"/>
                <w:tab w:val="decimal" w:pos="1608"/>
              </w:tabs>
              <w:ind w:right="57"/>
              <w:jc w:val="right"/>
            </w:pPr>
            <w:r w:rsidRPr="0025317F">
              <w:t>(199)</w:t>
            </w:r>
          </w:p>
        </w:tc>
      </w:tr>
      <w:tr w:rsidR="00471249" w:rsidRPr="00C328EF" w14:paraId="2C0CEE55" w14:textId="77777777" w:rsidTr="00224B26">
        <w:tc>
          <w:tcPr>
            <w:tcW w:w="4821" w:type="dxa"/>
          </w:tcPr>
          <w:p w14:paraId="7B405C5E" w14:textId="77777777" w:rsidR="00471249" w:rsidRPr="0025317F" w:rsidRDefault="00471249" w:rsidP="00471249">
            <w:pPr>
              <w:jc w:val="both"/>
            </w:pPr>
          </w:p>
        </w:tc>
        <w:tc>
          <w:tcPr>
            <w:tcW w:w="1559" w:type="dxa"/>
          </w:tcPr>
          <w:p w14:paraId="6F246EDE" w14:textId="77777777" w:rsidR="00471249" w:rsidRPr="00C328EF" w:rsidRDefault="00471249" w:rsidP="00471249">
            <w:pPr>
              <w:tabs>
                <w:tab w:val="left" w:pos="1307"/>
                <w:tab w:val="decimal" w:pos="1608"/>
              </w:tabs>
              <w:ind w:right="57"/>
              <w:jc w:val="right"/>
              <w:rPr>
                <w:highlight w:val="yellow"/>
              </w:rPr>
            </w:pPr>
          </w:p>
        </w:tc>
        <w:tc>
          <w:tcPr>
            <w:tcW w:w="1559" w:type="dxa"/>
          </w:tcPr>
          <w:p w14:paraId="63BE2A11" w14:textId="77777777" w:rsidR="00471249" w:rsidRPr="0025317F" w:rsidRDefault="00471249" w:rsidP="00471249">
            <w:pPr>
              <w:tabs>
                <w:tab w:val="left" w:pos="1307"/>
                <w:tab w:val="decimal" w:pos="1608"/>
              </w:tabs>
              <w:ind w:right="57"/>
              <w:jc w:val="right"/>
            </w:pPr>
          </w:p>
        </w:tc>
        <w:tc>
          <w:tcPr>
            <w:tcW w:w="1418" w:type="dxa"/>
          </w:tcPr>
          <w:p w14:paraId="1160ABEA" w14:textId="77777777" w:rsidR="00471249" w:rsidRPr="00CF22F4" w:rsidRDefault="00471249" w:rsidP="00471249">
            <w:pPr>
              <w:tabs>
                <w:tab w:val="left" w:pos="1307"/>
                <w:tab w:val="decimal" w:pos="1608"/>
              </w:tabs>
              <w:ind w:right="57"/>
              <w:jc w:val="right"/>
            </w:pPr>
          </w:p>
        </w:tc>
        <w:tc>
          <w:tcPr>
            <w:tcW w:w="1451" w:type="dxa"/>
          </w:tcPr>
          <w:p w14:paraId="44AFEC66" w14:textId="77777777" w:rsidR="00471249" w:rsidRPr="0025317F" w:rsidRDefault="00471249" w:rsidP="004D2FFF">
            <w:pPr>
              <w:tabs>
                <w:tab w:val="left" w:pos="1307"/>
                <w:tab w:val="decimal" w:pos="1608"/>
              </w:tabs>
              <w:ind w:right="57"/>
              <w:jc w:val="right"/>
            </w:pPr>
          </w:p>
        </w:tc>
      </w:tr>
      <w:tr w:rsidR="00471249" w:rsidRPr="00C328EF" w14:paraId="1E675036" w14:textId="77777777" w:rsidTr="00224B26">
        <w:tc>
          <w:tcPr>
            <w:tcW w:w="4821" w:type="dxa"/>
          </w:tcPr>
          <w:p w14:paraId="071FEE3A" w14:textId="77777777" w:rsidR="00471249" w:rsidRPr="0025317F" w:rsidRDefault="00471249" w:rsidP="00471249">
            <w:pPr>
              <w:jc w:val="both"/>
            </w:pPr>
            <w:r w:rsidRPr="0025317F">
              <w:t>Interest paid</w:t>
            </w:r>
          </w:p>
        </w:tc>
        <w:tc>
          <w:tcPr>
            <w:tcW w:w="1559" w:type="dxa"/>
          </w:tcPr>
          <w:p w14:paraId="6F02D526" w14:textId="77777777" w:rsidR="00471249" w:rsidRPr="00AD687A" w:rsidRDefault="00471249" w:rsidP="00471249">
            <w:pPr>
              <w:tabs>
                <w:tab w:val="left" w:pos="1307"/>
                <w:tab w:val="decimal" w:pos="1608"/>
              </w:tabs>
              <w:ind w:right="57"/>
              <w:jc w:val="right"/>
            </w:pPr>
            <w:r w:rsidRPr="00AD687A">
              <w:t>(1</w:t>
            </w:r>
            <w:r w:rsidR="00AD687A" w:rsidRPr="00AD687A">
              <w:t>67</w:t>
            </w:r>
            <w:r w:rsidRPr="00AD687A">
              <w:t>)</w:t>
            </w:r>
          </w:p>
        </w:tc>
        <w:tc>
          <w:tcPr>
            <w:tcW w:w="1559" w:type="dxa"/>
          </w:tcPr>
          <w:p w14:paraId="5AB807D7" w14:textId="77777777" w:rsidR="00471249" w:rsidRPr="0025317F" w:rsidRDefault="00471249" w:rsidP="00471249">
            <w:pPr>
              <w:tabs>
                <w:tab w:val="left" w:pos="1307"/>
                <w:tab w:val="decimal" w:pos="1608"/>
              </w:tabs>
              <w:ind w:right="57"/>
              <w:jc w:val="right"/>
            </w:pPr>
            <w:r w:rsidRPr="0025317F">
              <w:t>(196)</w:t>
            </w:r>
          </w:p>
        </w:tc>
        <w:tc>
          <w:tcPr>
            <w:tcW w:w="1418" w:type="dxa"/>
          </w:tcPr>
          <w:p w14:paraId="6111B8D1" w14:textId="77777777" w:rsidR="00471249" w:rsidRPr="00CF22F4" w:rsidRDefault="00471249" w:rsidP="00471249">
            <w:pPr>
              <w:tabs>
                <w:tab w:val="left" w:pos="1307"/>
                <w:tab w:val="decimal" w:pos="1608"/>
              </w:tabs>
              <w:ind w:right="57"/>
              <w:jc w:val="right"/>
            </w:pPr>
            <w:r w:rsidRPr="00CF22F4">
              <w:t>-</w:t>
            </w:r>
          </w:p>
        </w:tc>
        <w:tc>
          <w:tcPr>
            <w:tcW w:w="1451" w:type="dxa"/>
          </w:tcPr>
          <w:p w14:paraId="7FEC1179" w14:textId="77777777" w:rsidR="00471249" w:rsidRPr="0025317F" w:rsidRDefault="00471249" w:rsidP="004D2FFF">
            <w:pPr>
              <w:tabs>
                <w:tab w:val="left" w:pos="1307"/>
                <w:tab w:val="decimal" w:pos="1608"/>
              </w:tabs>
              <w:ind w:right="57"/>
              <w:jc w:val="right"/>
            </w:pPr>
            <w:r w:rsidRPr="0025317F">
              <w:t>-</w:t>
            </w:r>
          </w:p>
        </w:tc>
      </w:tr>
      <w:tr w:rsidR="00471249" w:rsidRPr="00C328EF" w14:paraId="6416980F" w14:textId="77777777" w:rsidTr="00224B26">
        <w:tc>
          <w:tcPr>
            <w:tcW w:w="4821" w:type="dxa"/>
          </w:tcPr>
          <w:p w14:paraId="7C7CE7D4" w14:textId="77777777" w:rsidR="00471249" w:rsidRPr="00C328EF" w:rsidRDefault="00471249" w:rsidP="00471249">
            <w:pPr>
              <w:jc w:val="both"/>
              <w:rPr>
                <w:highlight w:val="yellow"/>
              </w:rPr>
            </w:pPr>
            <w:r w:rsidRPr="0025317F">
              <w:t xml:space="preserve">Income tax </w:t>
            </w:r>
            <w:r w:rsidR="00AD687A">
              <w:t>(</w:t>
            </w:r>
            <w:r w:rsidR="00AD687A" w:rsidRPr="00AD687A">
              <w:t>paid)/</w:t>
            </w:r>
            <w:r w:rsidRPr="00AD687A">
              <w:t>received</w:t>
            </w:r>
          </w:p>
        </w:tc>
        <w:tc>
          <w:tcPr>
            <w:tcW w:w="1559" w:type="dxa"/>
          </w:tcPr>
          <w:p w14:paraId="5ED6A367" w14:textId="77777777" w:rsidR="00471249" w:rsidRPr="00AD687A" w:rsidRDefault="00AD687A" w:rsidP="00471249">
            <w:pPr>
              <w:tabs>
                <w:tab w:val="left" w:pos="1307"/>
                <w:tab w:val="decimal" w:pos="1608"/>
              </w:tabs>
              <w:ind w:right="57"/>
              <w:jc w:val="right"/>
            </w:pPr>
            <w:r w:rsidRPr="00AD687A">
              <w:t>(110)</w:t>
            </w:r>
          </w:p>
        </w:tc>
        <w:tc>
          <w:tcPr>
            <w:tcW w:w="1559" w:type="dxa"/>
          </w:tcPr>
          <w:p w14:paraId="6B479C21" w14:textId="77777777" w:rsidR="00471249" w:rsidRPr="0025317F" w:rsidRDefault="00471249" w:rsidP="00471249">
            <w:pPr>
              <w:tabs>
                <w:tab w:val="left" w:pos="1307"/>
                <w:tab w:val="decimal" w:pos="1608"/>
              </w:tabs>
              <w:ind w:right="57"/>
              <w:jc w:val="right"/>
            </w:pPr>
            <w:r w:rsidRPr="0025317F">
              <w:t>308</w:t>
            </w:r>
          </w:p>
        </w:tc>
        <w:tc>
          <w:tcPr>
            <w:tcW w:w="1418" w:type="dxa"/>
          </w:tcPr>
          <w:p w14:paraId="353D858A" w14:textId="77777777" w:rsidR="00471249" w:rsidRPr="00CF22F4" w:rsidRDefault="001B7C95" w:rsidP="00471249">
            <w:pPr>
              <w:tabs>
                <w:tab w:val="left" w:pos="1307"/>
                <w:tab w:val="decimal" w:pos="1608"/>
              </w:tabs>
              <w:ind w:right="57"/>
              <w:jc w:val="right"/>
            </w:pPr>
            <w:r w:rsidRPr="00CF22F4">
              <w:t>40</w:t>
            </w:r>
          </w:p>
        </w:tc>
        <w:tc>
          <w:tcPr>
            <w:tcW w:w="1451" w:type="dxa"/>
          </w:tcPr>
          <w:p w14:paraId="1438DA2C" w14:textId="77777777" w:rsidR="00471249" w:rsidRPr="0025317F" w:rsidRDefault="00471249" w:rsidP="004D2FFF">
            <w:pPr>
              <w:tabs>
                <w:tab w:val="left" w:pos="1307"/>
                <w:tab w:val="decimal" w:pos="1608"/>
              </w:tabs>
              <w:ind w:right="57"/>
              <w:jc w:val="right"/>
            </w:pPr>
            <w:r w:rsidRPr="0025317F">
              <w:t>2</w:t>
            </w:r>
          </w:p>
        </w:tc>
      </w:tr>
      <w:tr w:rsidR="00471249" w:rsidRPr="00C328EF" w14:paraId="1C099F9B" w14:textId="77777777" w:rsidTr="00224B26">
        <w:tc>
          <w:tcPr>
            <w:tcW w:w="4821" w:type="dxa"/>
          </w:tcPr>
          <w:p w14:paraId="51D45BA1" w14:textId="77777777" w:rsidR="00471249" w:rsidRPr="00C328EF" w:rsidRDefault="00471249" w:rsidP="00471249">
            <w:pPr>
              <w:jc w:val="both"/>
              <w:rPr>
                <w:highlight w:val="yellow"/>
              </w:rPr>
            </w:pPr>
          </w:p>
        </w:tc>
        <w:tc>
          <w:tcPr>
            <w:tcW w:w="1559" w:type="dxa"/>
          </w:tcPr>
          <w:p w14:paraId="5ACC03B5" w14:textId="77777777" w:rsidR="00471249" w:rsidRPr="00AD687A" w:rsidRDefault="00471249" w:rsidP="00471249">
            <w:pPr>
              <w:tabs>
                <w:tab w:val="left" w:pos="1307"/>
                <w:tab w:val="decimal" w:pos="1608"/>
              </w:tabs>
              <w:ind w:right="57"/>
              <w:jc w:val="right"/>
            </w:pPr>
            <w:r w:rsidRPr="00AD687A">
              <w:rPr>
                <w:spacing w:val="-2"/>
              </w:rPr>
              <w:t>─────</w:t>
            </w:r>
          </w:p>
        </w:tc>
        <w:tc>
          <w:tcPr>
            <w:tcW w:w="1559" w:type="dxa"/>
          </w:tcPr>
          <w:p w14:paraId="5FB716E3" w14:textId="77777777" w:rsidR="00471249" w:rsidRPr="0025317F" w:rsidRDefault="00471249" w:rsidP="00471249">
            <w:pPr>
              <w:tabs>
                <w:tab w:val="left" w:pos="1307"/>
                <w:tab w:val="decimal" w:pos="1608"/>
              </w:tabs>
              <w:ind w:right="57"/>
              <w:jc w:val="right"/>
              <w:rPr>
                <w:spacing w:val="-2"/>
              </w:rPr>
            </w:pPr>
            <w:r w:rsidRPr="0025317F">
              <w:rPr>
                <w:spacing w:val="-2"/>
              </w:rPr>
              <w:t>─────</w:t>
            </w:r>
          </w:p>
        </w:tc>
        <w:tc>
          <w:tcPr>
            <w:tcW w:w="1418" w:type="dxa"/>
          </w:tcPr>
          <w:p w14:paraId="0DF5DE08" w14:textId="77777777" w:rsidR="00471249" w:rsidRPr="00CF22F4" w:rsidRDefault="00471249" w:rsidP="00471249">
            <w:pPr>
              <w:tabs>
                <w:tab w:val="left" w:pos="1307"/>
                <w:tab w:val="decimal" w:pos="1608"/>
              </w:tabs>
              <w:ind w:right="57"/>
              <w:jc w:val="right"/>
            </w:pPr>
            <w:r w:rsidRPr="00CF22F4">
              <w:rPr>
                <w:spacing w:val="-2"/>
              </w:rPr>
              <w:t>─────</w:t>
            </w:r>
          </w:p>
        </w:tc>
        <w:tc>
          <w:tcPr>
            <w:tcW w:w="1451" w:type="dxa"/>
          </w:tcPr>
          <w:p w14:paraId="2C538B09" w14:textId="77777777" w:rsidR="00471249" w:rsidRPr="004D2FFF" w:rsidRDefault="00471249" w:rsidP="004D2FFF">
            <w:pPr>
              <w:tabs>
                <w:tab w:val="left" w:pos="1307"/>
                <w:tab w:val="decimal" w:pos="1608"/>
              </w:tabs>
              <w:ind w:right="57"/>
              <w:jc w:val="right"/>
            </w:pPr>
            <w:r w:rsidRPr="004D2FFF">
              <w:t>─────</w:t>
            </w:r>
          </w:p>
        </w:tc>
      </w:tr>
      <w:tr w:rsidR="00471249" w:rsidRPr="00C328EF" w14:paraId="6102C6E7" w14:textId="77777777" w:rsidTr="00224B26">
        <w:tc>
          <w:tcPr>
            <w:tcW w:w="4821" w:type="dxa"/>
          </w:tcPr>
          <w:p w14:paraId="383CADCA" w14:textId="77777777" w:rsidR="00471249" w:rsidRPr="0025317F" w:rsidRDefault="00471249" w:rsidP="00471249">
            <w:pPr>
              <w:jc w:val="both"/>
              <w:rPr>
                <w:b/>
              </w:rPr>
            </w:pPr>
            <w:r w:rsidRPr="0025317F">
              <w:rPr>
                <w:b/>
              </w:rPr>
              <w:t>Net cash flows from operating activities</w:t>
            </w:r>
          </w:p>
        </w:tc>
        <w:tc>
          <w:tcPr>
            <w:tcW w:w="1559" w:type="dxa"/>
          </w:tcPr>
          <w:p w14:paraId="0AE3E5DE" w14:textId="77777777" w:rsidR="00471249" w:rsidRPr="00AD687A" w:rsidRDefault="00AD687A" w:rsidP="00471249">
            <w:pPr>
              <w:tabs>
                <w:tab w:val="left" w:pos="1307"/>
                <w:tab w:val="decimal" w:pos="1608"/>
              </w:tabs>
              <w:ind w:right="57"/>
              <w:jc w:val="right"/>
            </w:pPr>
            <w:r w:rsidRPr="00AD687A">
              <w:t>12</w:t>
            </w:r>
            <w:r w:rsidR="00471249" w:rsidRPr="00AD687A">
              <w:t>,</w:t>
            </w:r>
            <w:r w:rsidRPr="00AD687A">
              <w:t>874</w:t>
            </w:r>
          </w:p>
        </w:tc>
        <w:tc>
          <w:tcPr>
            <w:tcW w:w="1559" w:type="dxa"/>
          </w:tcPr>
          <w:p w14:paraId="63F63410" w14:textId="77777777" w:rsidR="00471249" w:rsidRPr="0025317F" w:rsidRDefault="00471249" w:rsidP="00471249">
            <w:pPr>
              <w:tabs>
                <w:tab w:val="left" w:pos="1307"/>
                <w:tab w:val="decimal" w:pos="1608"/>
              </w:tabs>
              <w:ind w:right="57"/>
              <w:jc w:val="right"/>
            </w:pPr>
            <w:r w:rsidRPr="0025317F">
              <w:t>23,084</w:t>
            </w:r>
          </w:p>
        </w:tc>
        <w:tc>
          <w:tcPr>
            <w:tcW w:w="1418" w:type="dxa"/>
          </w:tcPr>
          <w:p w14:paraId="77382F6A" w14:textId="77777777" w:rsidR="00471249" w:rsidRPr="00CF22F4" w:rsidRDefault="00471249" w:rsidP="00471249">
            <w:pPr>
              <w:tabs>
                <w:tab w:val="left" w:pos="1307"/>
                <w:tab w:val="decimal" w:pos="1608"/>
              </w:tabs>
              <w:ind w:right="57"/>
              <w:jc w:val="right"/>
            </w:pPr>
            <w:r w:rsidRPr="00CF22F4">
              <w:t>(239)</w:t>
            </w:r>
          </w:p>
        </w:tc>
        <w:tc>
          <w:tcPr>
            <w:tcW w:w="1451" w:type="dxa"/>
          </w:tcPr>
          <w:p w14:paraId="417FDB09" w14:textId="77777777" w:rsidR="00471249" w:rsidRPr="0025317F" w:rsidRDefault="00471249" w:rsidP="004D2FFF">
            <w:pPr>
              <w:tabs>
                <w:tab w:val="left" w:pos="1307"/>
                <w:tab w:val="decimal" w:pos="1608"/>
              </w:tabs>
              <w:ind w:right="57"/>
              <w:jc w:val="right"/>
            </w:pPr>
            <w:r w:rsidRPr="0025317F">
              <w:t>(197)</w:t>
            </w:r>
          </w:p>
        </w:tc>
      </w:tr>
      <w:tr w:rsidR="00471249" w:rsidRPr="00C328EF" w14:paraId="508ADDDC" w14:textId="77777777" w:rsidTr="00224B26">
        <w:tc>
          <w:tcPr>
            <w:tcW w:w="4821" w:type="dxa"/>
          </w:tcPr>
          <w:p w14:paraId="42957591" w14:textId="77777777" w:rsidR="00471249" w:rsidRPr="0025317F" w:rsidRDefault="00471249" w:rsidP="00471249">
            <w:pPr>
              <w:jc w:val="both"/>
            </w:pPr>
          </w:p>
        </w:tc>
        <w:tc>
          <w:tcPr>
            <w:tcW w:w="1559" w:type="dxa"/>
          </w:tcPr>
          <w:p w14:paraId="7ACC19DB" w14:textId="77777777" w:rsidR="00471249" w:rsidRPr="00AD687A" w:rsidRDefault="00471249" w:rsidP="00471249">
            <w:pPr>
              <w:tabs>
                <w:tab w:val="left" w:pos="1307"/>
                <w:tab w:val="decimal" w:pos="1608"/>
              </w:tabs>
              <w:ind w:right="57"/>
              <w:jc w:val="right"/>
            </w:pPr>
            <w:r w:rsidRPr="00AD687A">
              <w:t>═════</w:t>
            </w:r>
          </w:p>
        </w:tc>
        <w:tc>
          <w:tcPr>
            <w:tcW w:w="1559" w:type="dxa"/>
          </w:tcPr>
          <w:p w14:paraId="0308F321" w14:textId="77777777" w:rsidR="00471249" w:rsidRPr="0025317F" w:rsidRDefault="00471249" w:rsidP="00471249">
            <w:pPr>
              <w:tabs>
                <w:tab w:val="left" w:pos="1307"/>
                <w:tab w:val="decimal" w:pos="1608"/>
              </w:tabs>
              <w:ind w:right="57"/>
              <w:jc w:val="right"/>
            </w:pPr>
            <w:r w:rsidRPr="0025317F">
              <w:t>═════</w:t>
            </w:r>
          </w:p>
        </w:tc>
        <w:tc>
          <w:tcPr>
            <w:tcW w:w="1418" w:type="dxa"/>
          </w:tcPr>
          <w:p w14:paraId="0963E32D" w14:textId="77777777" w:rsidR="00471249" w:rsidRPr="00CF22F4" w:rsidRDefault="00471249" w:rsidP="00471249">
            <w:pPr>
              <w:tabs>
                <w:tab w:val="left" w:pos="1307"/>
                <w:tab w:val="decimal" w:pos="1608"/>
              </w:tabs>
              <w:ind w:right="57"/>
              <w:jc w:val="right"/>
            </w:pPr>
            <w:r w:rsidRPr="00CF22F4">
              <w:t>═════</w:t>
            </w:r>
          </w:p>
        </w:tc>
        <w:tc>
          <w:tcPr>
            <w:tcW w:w="1451" w:type="dxa"/>
          </w:tcPr>
          <w:p w14:paraId="580EF2F1" w14:textId="77777777" w:rsidR="00471249" w:rsidRPr="0025317F" w:rsidRDefault="00471249" w:rsidP="004D2FFF">
            <w:pPr>
              <w:tabs>
                <w:tab w:val="left" w:pos="1307"/>
                <w:tab w:val="decimal" w:pos="1608"/>
              </w:tabs>
              <w:ind w:right="57"/>
              <w:jc w:val="right"/>
            </w:pPr>
            <w:r w:rsidRPr="0025317F">
              <w:t>═════</w:t>
            </w:r>
          </w:p>
        </w:tc>
      </w:tr>
      <w:tr w:rsidR="00471249" w:rsidRPr="00C328EF" w14:paraId="3AFF1D17" w14:textId="77777777" w:rsidTr="00224B26">
        <w:tc>
          <w:tcPr>
            <w:tcW w:w="4821" w:type="dxa"/>
          </w:tcPr>
          <w:p w14:paraId="7A6E1510" w14:textId="77777777" w:rsidR="00471249" w:rsidRPr="0025317F" w:rsidRDefault="00471249" w:rsidP="00471249">
            <w:pPr>
              <w:jc w:val="both"/>
              <w:rPr>
                <w:b/>
              </w:rPr>
            </w:pPr>
            <w:r w:rsidRPr="0025317F">
              <w:rPr>
                <w:b/>
              </w:rPr>
              <w:t>Cash flow from investing activities</w:t>
            </w:r>
          </w:p>
        </w:tc>
        <w:tc>
          <w:tcPr>
            <w:tcW w:w="1559" w:type="dxa"/>
          </w:tcPr>
          <w:p w14:paraId="6C2B0657" w14:textId="77777777" w:rsidR="00471249" w:rsidRPr="00C328EF" w:rsidRDefault="00471249" w:rsidP="00471249">
            <w:pPr>
              <w:tabs>
                <w:tab w:val="decimal" w:pos="1026"/>
                <w:tab w:val="left" w:pos="1307"/>
              </w:tabs>
              <w:ind w:right="57"/>
              <w:jc w:val="right"/>
              <w:rPr>
                <w:highlight w:val="yellow"/>
              </w:rPr>
            </w:pPr>
          </w:p>
        </w:tc>
        <w:tc>
          <w:tcPr>
            <w:tcW w:w="1559" w:type="dxa"/>
          </w:tcPr>
          <w:p w14:paraId="499F1770" w14:textId="77777777" w:rsidR="00471249" w:rsidRPr="00C328EF" w:rsidRDefault="00471249" w:rsidP="00471249">
            <w:pPr>
              <w:tabs>
                <w:tab w:val="decimal" w:pos="1026"/>
                <w:tab w:val="left" w:pos="1307"/>
              </w:tabs>
              <w:ind w:right="57"/>
              <w:jc w:val="right"/>
              <w:rPr>
                <w:highlight w:val="yellow"/>
              </w:rPr>
            </w:pPr>
          </w:p>
        </w:tc>
        <w:tc>
          <w:tcPr>
            <w:tcW w:w="1418" w:type="dxa"/>
          </w:tcPr>
          <w:p w14:paraId="775309D0" w14:textId="77777777" w:rsidR="00471249" w:rsidRPr="00C328EF" w:rsidRDefault="00471249" w:rsidP="00471249">
            <w:pPr>
              <w:tabs>
                <w:tab w:val="decimal" w:pos="1026"/>
                <w:tab w:val="left" w:pos="1307"/>
              </w:tabs>
              <w:ind w:right="57"/>
              <w:jc w:val="right"/>
              <w:rPr>
                <w:highlight w:val="yellow"/>
              </w:rPr>
            </w:pPr>
          </w:p>
        </w:tc>
        <w:tc>
          <w:tcPr>
            <w:tcW w:w="1451" w:type="dxa"/>
          </w:tcPr>
          <w:p w14:paraId="47AC6081" w14:textId="77777777" w:rsidR="00471249" w:rsidRPr="004D2FFF" w:rsidRDefault="00471249" w:rsidP="004D2FFF">
            <w:pPr>
              <w:tabs>
                <w:tab w:val="left" w:pos="1307"/>
                <w:tab w:val="decimal" w:pos="1608"/>
              </w:tabs>
              <w:ind w:right="57"/>
              <w:jc w:val="right"/>
            </w:pPr>
          </w:p>
        </w:tc>
      </w:tr>
      <w:tr w:rsidR="00471249" w:rsidRPr="00C328EF" w14:paraId="0DC1D5A2" w14:textId="77777777" w:rsidTr="00224B26">
        <w:tc>
          <w:tcPr>
            <w:tcW w:w="4821" w:type="dxa"/>
          </w:tcPr>
          <w:p w14:paraId="680BC83B" w14:textId="77777777" w:rsidR="00471249" w:rsidRPr="0025317F" w:rsidRDefault="00471249" w:rsidP="00471249">
            <w:pPr>
              <w:jc w:val="both"/>
            </w:pPr>
          </w:p>
        </w:tc>
        <w:tc>
          <w:tcPr>
            <w:tcW w:w="1559" w:type="dxa"/>
          </w:tcPr>
          <w:p w14:paraId="270D6736" w14:textId="77777777" w:rsidR="00471249" w:rsidRPr="00C328EF" w:rsidRDefault="00471249" w:rsidP="00471249">
            <w:pPr>
              <w:tabs>
                <w:tab w:val="decimal" w:pos="1026"/>
                <w:tab w:val="left" w:pos="1307"/>
              </w:tabs>
              <w:ind w:right="57"/>
              <w:jc w:val="right"/>
              <w:rPr>
                <w:highlight w:val="yellow"/>
              </w:rPr>
            </w:pPr>
          </w:p>
        </w:tc>
        <w:tc>
          <w:tcPr>
            <w:tcW w:w="1559" w:type="dxa"/>
          </w:tcPr>
          <w:p w14:paraId="483D4C0C" w14:textId="77777777" w:rsidR="00471249" w:rsidRPr="00C328EF" w:rsidRDefault="00471249" w:rsidP="00471249">
            <w:pPr>
              <w:tabs>
                <w:tab w:val="decimal" w:pos="1026"/>
                <w:tab w:val="left" w:pos="1307"/>
              </w:tabs>
              <w:ind w:right="57"/>
              <w:jc w:val="right"/>
              <w:rPr>
                <w:highlight w:val="yellow"/>
              </w:rPr>
            </w:pPr>
          </w:p>
        </w:tc>
        <w:tc>
          <w:tcPr>
            <w:tcW w:w="1418" w:type="dxa"/>
          </w:tcPr>
          <w:p w14:paraId="729B427F" w14:textId="77777777" w:rsidR="00471249" w:rsidRPr="00C328EF" w:rsidRDefault="00471249" w:rsidP="00471249">
            <w:pPr>
              <w:tabs>
                <w:tab w:val="decimal" w:pos="1026"/>
                <w:tab w:val="left" w:pos="1307"/>
              </w:tabs>
              <w:ind w:right="57"/>
              <w:jc w:val="right"/>
              <w:rPr>
                <w:highlight w:val="yellow"/>
              </w:rPr>
            </w:pPr>
          </w:p>
        </w:tc>
        <w:tc>
          <w:tcPr>
            <w:tcW w:w="1451" w:type="dxa"/>
          </w:tcPr>
          <w:p w14:paraId="4952EFAF" w14:textId="77777777" w:rsidR="00471249" w:rsidRPr="004D2FFF" w:rsidRDefault="00471249" w:rsidP="004D2FFF">
            <w:pPr>
              <w:tabs>
                <w:tab w:val="left" w:pos="1307"/>
                <w:tab w:val="decimal" w:pos="1608"/>
              </w:tabs>
              <w:ind w:right="57"/>
              <w:jc w:val="right"/>
            </w:pPr>
          </w:p>
        </w:tc>
      </w:tr>
      <w:tr w:rsidR="00471249" w:rsidRPr="00C328EF" w14:paraId="09E28601" w14:textId="77777777" w:rsidTr="00224B26">
        <w:tc>
          <w:tcPr>
            <w:tcW w:w="4821" w:type="dxa"/>
          </w:tcPr>
          <w:p w14:paraId="602D5F26" w14:textId="77777777" w:rsidR="00471249" w:rsidRPr="0025317F" w:rsidRDefault="00471249" w:rsidP="00471249">
            <w:pPr>
              <w:jc w:val="both"/>
            </w:pPr>
            <w:r w:rsidRPr="0025317F">
              <w:t>Purchase of property plant and equipment</w:t>
            </w:r>
          </w:p>
        </w:tc>
        <w:tc>
          <w:tcPr>
            <w:tcW w:w="1559" w:type="dxa"/>
          </w:tcPr>
          <w:p w14:paraId="47A81097" w14:textId="77777777" w:rsidR="00471249" w:rsidRPr="00AD687A" w:rsidRDefault="00471249" w:rsidP="00471249">
            <w:pPr>
              <w:tabs>
                <w:tab w:val="left" w:pos="1307"/>
                <w:tab w:val="decimal" w:pos="1608"/>
              </w:tabs>
              <w:ind w:right="57"/>
              <w:jc w:val="right"/>
            </w:pPr>
            <w:r w:rsidRPr="00AD687A">
              <w:t>(</w:t>
            </w:r>
            <w:r w:rsidR="00AD687A" w:rsidRPr="00AD687A">
              <w:t>16</w:t>
            </w:r>
            <w:r w:rsidRPr="00AD687A">
              <w:t>,</w:t>
            </w:r>
            <w:r w:rsidR="00AD687A" w:rsidRPr="00AD687A">
              <w:t>278</w:t>
            </w:r>
            <w:r w:rsidRPr="00AD687A">
              <w:t>)</w:t>
            </w:r>
          </w:p>
        </w:tc>
        <w:tc>
          <w:tcPr>
            <w:tcW w:w="1559" w:type="dxa"/>
          </w:tcPr>
          <w:p w14:paraId="15915E41" w14:textId="77777777" w:rsidR="00471249" w:rsidRPr="0025317F" w:rsidRDefault="00471249" w:rsidP="00471249">
            <w:pPr>
              <w:tabs>
                <w:tab w:val="left" w:pos="1307"/>
                <w:tab w:val="decimal" w:pos="1608"/>
              </w:tabs>
              <w:ind w:right="57"/>
              <w:jc w:val="right"/>
            </w:pPr>
            <w:r w:rsidRPr="0025317F">
              <w:t>(7,141)</w:t>
            </w:r>
          </w:p>
        </w:tc>
        <w:tc>
          <w:tcPr>
            <w:tcW w:w="1418" w:type="dxa"/>
          </w:tcPr>
          <w:p w14:paraId="04D99E96" w14:textId="77777777" w:rsidR="00471249" w:rsidRPr="00471249" w:rsidRDefault="00471249" w:rsidP="00471249">
            <w:pPr>
              <w:tabs>
                <w:tab w:val="left" w:pos="1307"/>
                <w:tab w:val="decimal" w:pos="1608"/>
              </w:tabs>
              <w:ind w:right="57"/>
              <w:jc w:val="right"/>
            </w:pPr>
            <w:r w:rsidRPr="00471249">
              <w:t>-</w:t>
            </w:r>
          </w:p>
        </w:tc>
        <w:tc>
          <w:tcPr>
            <w:tcW w:w="1451" w:type="dxa"/>
          </w:tcPr>
          <w:p w14:paraId="2BA59219" w14:textId="77777777" w:rsidR="00471249" w:rsidRPr="0025317F" w:rsidRDefault="00471249" w:rsidP="004D2FFF">
            <w:pPr>
              <w:tabs>
                <w:tab w:val="left" w:pos="1307"/>
                <w:tab w:val="decimal" w:pos="1608"/>
              </w:tabs>
              <w:ind w:right="57"/>
              <w:jc w:val="right"/>
            </w:pPr>
            <w:r w:rsidRPr="0025317F">
              <w:t>-</w:t>
            </w:r>
          </w:p>
        </w:tc>
      </w:tr>
      <w:tr w:rsidR="00471249" w:rsidRPr="00C328EF" w14:paraId="66A9D58A" w14:textId="77777777" w:rsidTr="00224B26">
        <w:tc>
          <w:tcPr>
            <w:tcW w:w="4821" w:type="dxa"/>
          </w:tcPr>
          <w:p w14:paraId="523B7B53" w14:textId="77777777" w:rsidR="00471249" w:rsidRPr="0025317F" w:rsidRDefault="00471249" w:rsidP="006D194C">
            <w:r w:rsidRPr="0025317F">
              <w:t>Proceeds from disposal of property, plant and equipment</w:t>
            </w:r>
          </w:p>
        </w:tc>
        <w:tc>
          <w:tcPr>
            <w:tcW w:w="1559" w:type="dxa"/>
          </w:tcPr>
          <w:p w14:paraId="4EF70A60" w14:textId="77777777" w:rsidR="00471249" w:rsidRPr="00AD687A" w:rsidRDefault="00AD687A" w:rsidP="00471249">
            <w:pPr>
              <w:tabs>
                <w:tab w:val="left" w:pos="1307"/>
                <w:tab w:val="decimal" w:pos="1608"/>
              </w:tabs>
              <w:ind w:right="57"/>
              <w:jc w:val="right"/>
            </w:pPr>
            <w:r w:rsidRPr="00AD687A">
              <w:t>188</w:t>
            </w:r>
          </w:p>
        </w:tc>
        <w:tc>
          <w:tcPr>
            <w:tcW w:w="1559" w:type="dxa"/>
          </w:tcPr>
          <w:p w14:paraId="7655DBF0" w14:textId="77777777" w:rsidR="00471249" w:rsidRPr="0025317F" w:rsidRDefault="00471249" w:rsidP="00471249">
            <w:pPr>
              <w:tabs>
                <w:tab w:val="left" w:pos="1307"/>
                <w:tab w:val="decimal" w:pos="1608"/>
              </w:tabs>
              <w:ind w:right="57"/>
              <w:jc w:val="right"/>
            </w:pPr>
            <w:r w:rsidRPr="0025317F">
              <w:t>727</w:t>
            </w:r>
          </w:p>
        </w:tc>
        <w:tc>
          <w:tcPr>
            <w:tcW w:w="1418" w:type="dxa"/>
          </w:tcPr>
          <w:p w14:paraId="56E388F0" w14:textId="77777777" w:rsidR="00471249" w:rsidRPr="00471249" w:rsidRDefault="00471249" w:rsidP="00471249">
            <w:pPr>
              <w:tabs>
                <w:tab w:val="left" w:pos="1307"/>
                <w:tab w:val="decimal" w:pos="1608"/>
              </w:tabs>
              <w:ind w:right="57"/>
              <w:jc w:val="right"/>
            </w:pPr>
            <w:r w:rsidRPr="00471249">
              <w:t>-</w:t>
            </w:r>
          </w:p>
        </w:tc>
        <w:tc>
          <w:tcPr>
            <w:tcW w:w="1451" w:type="dxa"/>
          </w:tcPr>
          <w:p w14:paraId="720937AD" w14:textId="77777777" w:rsidR="00471249" w:rsidRPr="0025317F" w:rsidRDefault="00471249" w:rsidP="004D2FFF">
            <w:pPr>
              <w:tabs>
                <w:tab w:val="left" w:pos="1307"/>
                <w:tab w:val="decimal" w:pos="1608"/>
              </w:tabs>
              <w:ind w:right="57"/>
              <w:jc w:val="right"/>
            </w:pPr>
            <w:r w:rsidRPr="0025317F">
              <w:t>-</w:t>
            </w:r>
          </w:p>
        </w:tc>
      </w:tr>
      <w:tr w:rsidR="00471249" w:rsidRPr="00C328EF" w14:paraId="68B0DB5D" w14:textId="77777777" w:rsidTr="00224B26">
        <w:tc>
          <w:tcPr>
            <w:tcW w:w="4821" w:type="dxa"/>
          </w:tcPr>
          <w:p w14:paraId="1C720C57" w14:textId="77777777" w:rsidR="00471249" w:rsidRPr="0025317F" w:rsidRDefault="00471249" w:rsidP="00471249">
            <w:pPr>
              <w:jc w:val="both"/>
            </w:pPr>
            <w:r w:rsidRPr="0025317F">
              <w:t>Interest received</w:t>
            </w:r>
          </w:p>
        </w:tc>
        <w:tc>
          <w:tcPr>
            <w:tcW w:w="1559" w:type="dxa"/>
          </w:tcPr>
          <w:p w14:paraId="5E502D16" w14:textId="77777777" w:rsidR="00471249" w:rsidRPr="00AD687A" w:rsidRDefault="00AD687A" w:rsidP="00471249">
            <w:pPr>
              <w:tabs>
                <w:tab w:val="left" w:pos="1307"/>
                <w:tab w:val="decimal" w:pos="1608"/>
              </w:tabs>
              <w:ind w:right="57"/>
              <w:jc w:val="right"/>
            </w:pPr>
            <w:r w:rsidRPr="00AD687A">
              <w:t>1,164</w:t>
            </w:r>
          </w:p>
        </w:tc>
        <w:tc>
          <w:tcPr>
            <w:tcW w:w="1559" w:type="dxa"/>
          </w:tcPr>
          <w:p w14:paraId="44DE89C5" w14:textId="77777777" w:rsidR="00471249" w:rsidRPr="0025317F" w:rsidRDefault="00471249" w:rsidP="00471249">
            <w:pPr>
              <w:tabs>
                <w:tab w:val="left" w:pos="1307"/>
                <w:tab w:val="decimal" w:pos="1608"/>
              </w:tabs>
              <w:ind w:right="57"/>
              <w:jc w:val="right"/>
            </w:pPr>
            <w:r w:rsidRPr="0025317F">
              <w:t>868</w:t>
            </w:r>
          </w:p>
        </w:tc>
        <w:tc>
          <w:tcPr>
            <w:tcW w:w="1418" w:type="dxa"/>
          </w:tcPr>
          <w:p w14:paraId="2858302C" w14:textId="77777777" w:rsidR="00471249" w:rsidRPr="00471249" w:rsidRDefault="00471249" w:rsidP="00471249">
            <w:pPr>
              <w:tabs>
                <w:tab w:val="left" w:pos="1307"/>
                <w:tab w:val="decimal" w:pos="1608"/>
              </w:tabs>
              <w:ind w:right="57"/>
              <w:jc w:val="right"/>
            </w:pPr>
            <w:r w:rsidRPr="00471249">
              <w:t>-</w:t>
            </w:r>
          </w:p>
        </w:tc>
        <w:tc>
          <w:tcPr>
            <w:tcW w:w="1451" w:type="dxa"/>
          </w:tcPr>
          <w:p w14:paraId="5A3CC726" w14:textId="77777777" w:rsidR="00471249" w:rsidRPr="0025317F" w:rsidRDefault="00471249" w:rsidP="004D2FFF">
            <w:pPr>
              <w:tabs>
                <w:tab w:val="left" w:pos="1307"/>
                <w:tab w:val="decimal" w:pos="1608"/>
              </w:tabs>
              <w:ind w:right="57"/>
              <w:jc w:val="right"/>
            </w:pPr>
            <w:r w:rsidRPr="0025317F">
              <w:t>-</w:t>
            </w:r>
          </w:p>
        </w:tc>
      </w:tr>
      <w:tr w:rsidR="00471249" w:rsidRPr="00C328EF" w14:paraId="5D5817E8" w14:textId="77777777" w:rsidTr="00224B26">
        <w:tc>
          <w:tcPr>
            <w:tcW w:w="4821" w:type="dxa"/>
          </w:tcPr>
          <w:p w14:paraId="63DC6177" w14:textId="77777777" w:rsidR="00471249" w:rsidRPr="0025317F" w:rsidRDefault="00471249" w:rsidP="00471249">
            <w:pPr>
              <w:jc w:val="both"/>
            </w:pPr>
            <w:r>
              <w:t>Dividend received from subsidiary</w:t>
            </w:r>
          </w:p>
        </w:tc>
        <w:tc>
          <w:tcPr>
            <w:tcW w:w="1559" w:type="dxa"/>
          </w:tcPr>
          <w:p w14:paraId="1893F48A" w14:textId="77777777" w:rsidR="00471249" w:rsidRPr="00AD687A" w:rsidRDefault="00471249" w:rsidP="00471249">
            <w:pPr>
              <w:tabs>
                <w:tab w:val="left" w:pos="1307"/>
                <w:tab w:val="decimal" w:pos="1608"/>
              </w:tabs>
              <w:ind w:right="57"/>
              <w:jc w:val="right"/>
            </w:pPr>
            <w:r w:rsidRPr="00AD687A">
              <w:t>-</w:t>
            </w:r>
          </w:p>
        </w:tc>
        <w:tc>
          <w:tcPr>
            <w:tcW w:w="1559" w:type="dxa"/>
          </w:tcPr>
          <w:p w14:paraId="7F191198" w14:textId="77777777" w:rsidR="00471249" w:rsidRPr="0025317F" w:rsidRDefault="00471249" w:rsidP="00471249">
            <w:pPr>
              <w:tabs>
                <w:tab w:val="left" w:pos="1307"/>
                <w:tab w:val="decimal" w:pos="1608"/>
              </w:tabs>
              <w:ind w:right="57"/>
              <w:jc w:val="right"/>
            </w:pPr>
            <w:r>
              <w:t>-</w:t>
            </w:r>
          </w:p>
        </w:tc>
        <w:tc>
          <w:tcPr>
            <w:tcW w:w="1418" w:type="dxa"/>
          </w:tcPr>
          <w:p w14:paraId="7FC4EEA6" w14:textId="77777777" w:rsidR="00471249" w:rsidRPr="00471249" w:rsidRDefault="00471249" w:rsidP="00471249">
            <w:pPr>
              <w:tabs>
                <w:tab w:val="left" w:pos="1307"/>
                <w:tab w:val="decimal" w:pos="1608"/>
              </w:tabs>
              <w:ind w:right="57"/>
              <w:jc w:val="right"/>
            </w:pPr>
            <w:r>
              <w:t>2,912</w:t>
            </w:r>
          </w:p>
        </w:tc>
        <w:tc>
          <w:tcPr>
            <w:tcW w:w="1451" w:type="dxa"/>
          </w:tcPr>
          <w:p w14:paraId="41044F04" w14:textId="77777777" w:rsidR="00471249" w:rsidRPr="0025317F" w:rsidRDefault="00471249" w:rsidP="004D2FFF">
            <w:pPr>
              <w:tabs>
                <w:tab w:val="left" w:pos="1307"/>
                <w:tab w:val="decimal" w:pos="1608"/>
              </w:tabs>
              <w:ind w:right="57"/>
              <w:jc w:val="right"/>
            </w:pPr>
            <w:r>
              <w:t>-</w:t>
            </w:r>
          </w:p>
        </w:tc>
      </w:tr>
      <w:tr w:rsidR="00AD687A" w:rsidRPr="00C328EF" w14:paraId="41F297EA" w14:textId="77777777" w:rsidTr="00224B26">
        <w:tc>
          <w:tcPr>
            <w:tcW w:w="4821" w:type="dxa"/>
          </w:tcPr>
          <w:p w14:paraId="1799F5C0" w14:textId="77777777" w:rsidR="00AD687A" w:rsidRDefault="00AD687A" w:rsidP="00AD687A">
            <w:pPr>
              <w:jc w:val="both"/>
            </w:pPr>
            <w:r>
              <w:t>Purchase of subsidiary (net of cash acquired)</w:t>
            </w:r>
          </w:p>
        </w:tc>
        <w:tc>
          <w:tcPr>
            <w:tcW w:w="1559" w:type="dxa"/>
          </w:tcPr>
          <w:p w14:paraId="087591C2" w14:textId="77777777" w:rsidR="00AD687A" w:rsidRPr="00AD687A" w:rsidRDefault="00AD687A" w:rsidP="00AD687A">
            <w:pPr>
              <w:tabs>
                <w:tab w:val="left" w:pos="1307"/>
                <w:tab w:val="decimal" w:pos="1608"/>
              </w:tabs>
              <w:ind w:right="57"/>
              <w:jc w:val="right"/>
            </w:pPr>
            <w:r w:rsidRPr="00AD687A">
              <w:t>(2,870)</w:t>
            </w:r>
          </w:p>
        </w:tc>
        <w:tc>
          <w:tcPr>
            <w:tcW w:w="1559" w:type="dxa"/>
          </w:tcPr>
          <w:p w14:paraId="21656C23" w14:textId="77777777" w:rsidR="00AD687A" w:rsidRDefault="00AD687A" w:rsidP="00AD687A">
            <w:pPr>
              <w:tabs>
                <w:tab w:val="left" w:pos="1307"/>
                <w:tab w:val="decimal" w:pos="1608"/>
              </w:tabs>
              <w:ind w:right="57"/>
              <w:jc w:val="right"/>
            </w:pPr>
            <w:r>
              <w:t>-</w:t>
            </w:r>
          </w:p>
        </w:tc>
        <w:tc>
          <w:tcPr>
            <w:tcW w:w="1418" w:type="dxa"/>
          </w:tcPr>
          <w:p w14:paraId="4AF23815" w14:textId="77777777" w:rsidR="00AD687A" w:rsidRDefault="00AD687A" w:rsidP="00AD687A">
            <w:pPr>
              <w:tabs>
                <w:tab w:val="left" w:pos="1307"/>
                <w:tab w:val="decimal" w:pos="1608"/>
              </w:tabs>
              <w:ind w:right="57"/>
              <w:jc w:val="right"/>
            </w:pPr>
            <w:r>
              <w:t>-</w:t>
            </w:r>
          </w:p>
        </w:tc>
        <w:tc>
          <w:tcPr>
            <w:tcW w:w="1451" w:type="dxa"/>
          </w:tcPr>
          <w:p w14:paraId="495E4E67" w14:textId="77777777" w:rsidR="00AD687A" w:rsidRDefault="00AD687A" w:rsidP="004D2FFF">
            <w:pPr>
              <w:tabs>
                <w:tab w:val="left" w:pos="1307"/>
                <w:tab w:val="decimal" w:pos="1608"/>
              </w:tabs>
              <w:ind w:right="57"/>
              <w:jc w:val="right"/>
            </w:pPr>
            <w:r>
              <w:t>-</w:t>
            </w:r>
          </w:p>
        </w:tc>
      </w:tr>
      <w:tr w:rsidR="00AD687A" w:rsidRPr="00C328EF" w14:paraId="7542A68D" w14:textId="77777777" w:rsidTr="00224B26">
        <w:tc>
          <w:tcPr>
            <w:tcW w:w="4821" w:type="dxa"/>
          </w:tcPr>
          <w:p w14:paraId="12BAC553" w14:textId="77777777" w:rsidR="00AD687A" w:rsidRPr="0025317F" w:rsidRDefault="00AD687A" w:rsidP="00AD687A">
            <w:pPr>
              <w:jc w:val="both"/>
            </w:pPr>
          </w:p>
        </w:tc>
        <w:tc>
          <w:tcPr>
            <w:tcW w:w="1559" w:type="dxa"/>
          </w:tcPr>
          <w:p w14:paraId="2230C869" w14:textId="77777777" w:rsidR="00AD687A" w:rsidRPr="00AD687A" w:rsidRDefault="00AD687A" w:rsidP="00AD687A">
            <w:pPr>
              <w:tabs>
                <w:tab w:val="left" w:pos="1307"/>
                <w:tab w:val="decimal" w:pos="1608"/>
              </w:tabs>
              <w:ind w:right="57"/>
              <w:jc w:val="right"/>
            </w:pPr>
            <w:r w:rsidRPr="00AD687A">
              <w:t>─────</w:t>
            </w:r>
          </w:p>
        </w:tc>
        <w:tc>
          <w:tcPr>
            <w:tcW w:w="1559" w:type="dxa"/>
          </w:tcPr>
          <w:p w14:paraId="44853405" w14:textId="77777777" w:rsidR="00AD687A" w:rsidRPr="0025317F" w:rsidRDefault="00AD687A" w:rsidP="00AD687A">
            <w:pPr>
              <w:tabs>
                <w:tab w:val="left" w:pos="1307"/>
                <w:tab w:val="decimal" w:pos="1608"/>
              </w:tabs>
              <w:ind w:right="57"/>
              <w:jc w:val="right"/>
            </w:pPr>
            <w:r w:rsidRPr="0025317F">
              <w:t>─────</w:t>
            </w:r>
          </w:p>
        </w:tc>
        <w:tc>
          <w:tcPr>
            <w:tcW w:w="1418" w:type="dxa"/>
          </w:tcPr>
          <w:p w14:paraId="45296F6B" w14:textId="77777777" w:rsidR="00AD687A" w:rsidRPr="00471249" w:rsidRDefault="00AD687A" w:rsidP="00AD687A">
            <w:pPr>
              <w:tabs>
                <w:tab w:val="left" w:pos="1307"/>
                <w:tab w:val="decimal" w:pos="1608"/>
              </w:tabs>
              <w:ind w:right="57"/>
              <w:jc w:val="right"/>
            </w:pPr>
            <w:r w:rsidRPr="00471249">
              <w:t>─────</w:t>
            </w:r>
          </w:p>
        </w:tc>
        <w:tc>
          <w:tcPr>
            <w:tcW w:w="1451" w:type="dxa"/>
          </w:tcPr>
          <w:p w14:paraId="61A44046" w14:textId="77777777" w:rsidR="00AD687A" w:rsidRPr="0025317F" w:rsidRDefault="00AD687A" w:rsidP="004D2FFF">
            <w:pPr>
              <w:tabs>
                <w:tab w:val="left" w:pos="1307"/>
                <w:tab w:val="decimal" w:pos="1608"/>
              </w:tabs>
              <w:ind w:right="57"/>
              <w:jc w:val="right"/>
            </w:pPr>
            <w:r w:rsidRPr="0025317F">
              <w:t>─────</w:t>
            </w:r>
          </w:p>
        </w:tc>
      </w:tr>
      <w:tr w:rsidR="00AD687A" w:rsidRPr="00C328EF" w14:paraId="6EDFAC3B" w14:textId="77777777" w:rsidTr="00224B26">
        <w:tc>
          <w:tcPr>
            <w:tcW w:w="4821" w:type="dxa"/>
          </w:tcPr>
          <w:p w14:paraId="18FC695C" w14:textId="77777777" w:rsidR="00AD687A" w:rsidRPr="0025317F" w:rsidRDefault="00AD687A" w:rsidP="00AD687A">
            <w:pPr>
              <w:jc w:val="both"/>
              <w:rPr>
                <w:b/>
              </w:rPr>
            </w:pPr>
            <w:r w:rsidRPr="0025317F">
              <w:rPr>
                <w:b/>
              </w:rPr>
              <w:t>Net cash flows from investing activities</w:t>
            </w:r>
          </w:p>
        </w:tc>
        <w:tc>
          <w:tcPr>
            <w:tcW w:w="1559" w:type="dxa"/>
          </w:tcPr>
          <w:p w14:paraId="2662A4E6" w14:textId="77777777" w:rsidR="00AD687A" w:rsidRPr="00AD687A" w:rsidRDefault="00AD687A" w:rsidP="00AD687A">
            <w:pPr>
              <w:tabs>
                <w:tab w:val="left" w:pos="1307"/>
                <w:tab w:val="decimal" w:pos="1608"/>
              </w:tabs>
              <w:ind w:right="57"/>
              <w:jc w:val="right"/>
            </w:pPr>
            <w:r w:rsidRPr="00AD687A">
              <w:t>(17,796)</w:t>
            </w:r>
          </w:p>
        </w:tc>
        <w:tc>
          <w:tcPr>
            <w:tcW w:w="1559" w:type="dxa"/>
          </w:tcPr>
          <w:p w14:paraId="315CC10E" w14:textId="77777777" w:rsidR="00AD687A" w:rsidRPr="0025317F" w:rsidRDefault="00AD687A" w:rsidP="00AD687A">
            <w:pPr>
              <w:tabs>
                <w:tab w:val="left" w:pos="1307"/>
                <w:tab w:val="decimal" w:pos="1608"/>
              </w:tabs>
              <w:ind w:right="57"/>
              <w:jc w:val="right"/>
            </w:pPr>
            <w:r w:rsidRPr="0025317F">
              <w:t>(5,546)</w:t>
            </w:r>
          </w:p>
        </w:tc>
        <w:tc>
          <w:tcPr>
            <w:tcW w:w="1418" w:type="dxa"/>
          </w:tcPr>
          <w:p w14:paraId="4E670416" w14:textId="77777777" w:rsidR="00AD687A" w:rsidRPr="00471249" w:rsidRDefault="00AD687A" w:rsidP="00AD687A">
            <w:pPr>
              <w:tabs>
                <w:tab w:val="left" w:pos="1307"/>
                <w:tab w:val="decimal" w:pos="1608"/>
              </w:tabs>
              <w:ind w:right="57"/>
              <w:jc w:val="right"/>
            </w:pPr>
            <w:r>
              <w:t>2,912</w:t>
            </w:r>
          </w:p>
        </w:tc>
        <w:tc>
          <w:tcPr>
            <w:tcW w:w="1451" w:type="dxa"/>
          </w:tcPr>
          <w:p w14:paraId="61149D34" w14:textId="77777777" w:rsidR="00AD687A" w:rsidRPr="0025317F" w:rsidRDefault="00AD687A" w:rsidP="004D2FFF">
            <w:pPr>
              <w:tabs>
                <w:tab w:val="left" w:pos="1307"/>
                <w:tab w:val="decimal" w:pos="1608"/>
              </w:tabs>
              <w:ind w:right="57"/>
              <w:jc w:val="right"/>
            </w:pPr>
            <w:r w:rsidRPr="0025317F">
              <w:t>-</w:t>
            </w:r>
          </w:p>
        </w:tc>
      </w:tr>
      <w:tr w:rsidR="00AD687A" w:rsidRPr="00C328EF" w14:paraId="729F7B06" w14:textId="77777777" w:rsidTr="00224B26">
        <w:tc>
          <w:tcPr>
            <w:tcW w:w="4821" w:type="dxa"/>
          </w:tcPr>
          <w:p w14:paraId="15DF3332" w14:textId="77777777" w:rsidR="00AD687A" w:rsidRPr="0025317F" w:rsidRDefault="00AD687A" w:rsidP="00AD687A">
            <w:pPr>
              <w:jc w:val="both"/>
            </w:pPr>
          </w:p>
        </w:tc>
        <w:tc>
          <w:tcPr>
            <w:tcW w:w="1559" w:type="dxa"/>
          </w:tcPr>
          <w:p w14:paraId="2EBBBE09" w14:textId="77777777" w:rsidR="00AD687A" w:rsidRPr="00AD687A" w:rsidRDefault="00AD687A" w:rsidP="00AD687A">
            <w:pPr>
              <w:tabs>
                <w:tab w:val="left" w:pos="1307"/>
                <w:tab w:val="decimal" w:pos="1608"/>
              </w:tabs>
              <w:ind w:right="57"/>
              <w:jc w:val="right"/>
            </w:pPr>
            <w:r w:rsidRPr="00AD687A">
              <w:t>═════</w:t>
            </w:r>
          </w:p>
        </w:tc>
        <w:tc>
          <w:tcPr>
            <w:tcW w:w="1559" w:type="dxa"/>
          </w:tcPr>
          <w:p w14:paraId="737633F0" w14:textId="77777777" w:rsidR="00AD687A" w:rsidRPr="0025317F" w:rsidRDefault="00AD687A" w:rsidP="00AD687A">
            <w:pPr>
              <w:tabs>
                <w:tab w:val="left" w:pos="1307"/>
                <w:tab w:val="decimal" w:pos="1608"/>
              </w:tabs>
              <w:ind w:right="57"/>
              <w:jc w:val="right"/>
            </w:pPr>
            <w:r w:rsidRPr="0025317F">
              <w:t>═════</w:t>
            </w:r>
          </w:p>
        </w:tc>
        <w:tc>
          <w:tcPr>
            <w:tcW w:w="1418" w:type="dxa"/>
          </w:tcPr>
          <w:p w14:paraId="18B361C5" w14:textId="77777777" w:rsidR="00AD687A" w:rsidRPr="00471249" w:rsidRDefault="00AD687A" w:rsidP="00AD687A">
            <w:pPr>
              <w:tabs>
                <w:tab w:val="left" w:pos="1307"/>
                <w:tab w:val="decimal" w:pos="1608"/>
              </w:tabs>
              <w:ind w:right="57"/>
              <w:jc w:val="right"/>
            </w:pPr>
            <w:r w:rsidRPr="00471249">
              <w:t>═════</w:t>
            </w:r>
          </w:p>
        </w:tc>
        <w:tc>
          <w:tcPr>
            <w:tcW w:w="1451" w:type="dxa"/>
          </w:tcPr>
          <w:p w14:paraId="34BA857A" w14:textId="77777777" w:rsidR="00AD687A" w:rsidRPr="0025317F" w:rsidRDefault="00AD687A" w:rsidP="004D2FFF">
            <w:pPr>
              <w:tabs>
                <w:tab w:val="left" w:pos="1307"/>
                <w:tab w:val="decimal" w:pos="1608"/>
              </w:tabs>
              <w:ind w:right="57"/>
              <w:jc w:val="right"/>
            </w:pPr>
            <w:r w:rsidRPr="0025317F">
              <w:t>═════</w:t>
            </w:r>
          </w:p>
        </w:tc>
      </w:tr>
      <w:tr w:rsidR="00AD687A" w:rsidRPr="00C328EF" w14:paraId="726B5B40" w14:textId="77777777" w:rsidTr="00224B26">
        <w:tc>
          <w:tcPr>
            <w:tcW w:w="4821" w:type="dxa"/>
          </w:tcPr>
          <w:p w14:paraId="6B3F8FFC" w14:textId="77777777" w:rsidR="00AD687A" w:rsidRPr="0025317F" w:rsidRDefault="00AD687A" w:rsidP="00AD687A">
            <w:pPr>
              <w:jc w:val="both"/>
              <w:rPr>
                <w:b/>
              </w:rPr>
            </w:pPr>
            <w:r w:rsidRPr="0025317F">
              <w:rPr>
                <w:b/>
              </w:rPr>
              <w:t>Cash flow from financing activities</w:t>
            </w:r>
          </w:p>
        </w:tc>
        <w:tc>
          <w:tcPr>
            <w:tcW w:w="1559" w:type="dxa"/>
          </w:tcPr>
          <w:p w14:paraId="0083ABAA" w14:textId="77777777" w:rsidR="00AD687A" w:rsidRPr="00C328EF" w:rsidRDefault="00AD687A" w:rsidP="00AD687A">
            <w:pPr>
              <w:tabs>
                <w:tab w:val="left" w:pos="1307"/>
                <w:tab w:val="decimal" w:pos="1608"/>
              </w:tabs>
              <w:ind w:right="57"/>
              <w:jc w:val="right"/>
              <w:rPr>
                <w:highlight w:val="yellow"/>
              </w:rPr>
            </w:pPr>
          </w:p>
        </w:tc>
        <w:tc>
          <w:tcPr>
            <w:tcW w:w="1559" w:type="dxa"/>
          </w:tcPr>
          <w:p w14:paraId="565D48A3" w14:textId="77777777" w:rsidR="00AD687A" w:rsidRPr="0025317F" w:rsidRDefault="00AD687A" w:rsidP="00AD687A">
            <w:pPr>
              <w:tabs>
                <w:tab w:val="left" w:pos="1307"/>
                <w:tab w:val="decimal" w:pos="1608"/>
              </w:tabs>
              <w:ind w:right="57"/>
              <w:jc w:val="right"/>
            </w:pPr>
          </w:p>
        </w:tc>
        <w:tc>
          <w:tcPr>
            <w:tcW w:w="1418" w:type="dxa"/>
          </w:tcPr>
          <w:p w14:paraId="53B871AD" w14:textId="77777777" w:rsidR="00AD687A" w:rsidRPr="00C328EF" w:rsidRDefault="00AD687A" w:rsidP="00AD687A">
            <w:pPr>
              <w:tabs>
                <w:tab w:val="left" w:pos="1307"/>
                <w:tab w:val="decimal" w:pos="1608"/>
              </w:tabs>
              <w:ind w:right="57"/>
              <w:jc w:val="right"/>
              <w:rPr>
                <w:highlight w:val="yellow"/>
              </w:rPr>
            </w:pPr>
          </w:p>
        </w:tc>
        <w:tc>
          <w:tcPr>
            <w:tcW w:w="1451" w:type="dxa"/>
          </w:tcPr>
          <w:p w14:paraId="65EDE4B2" w14:textId="77777777" w:rsidR="00AD687A" w:rsidRPr="004D2FFF" w:rsidRDefault="00AD687A" w:rsidP="004D2FFF">
            <w:pPr>
              <w:tabs>
                <w:tab w:val="left" w:pos="1307"/>
                <w:tab w:val="decimal" w:pos="1608"/>
              </w:tabs>
              <w:ind w:right="57"/>
              <w:jc w:val="right"/>
            </w:pPr>
          </w:p>
        </w:tc>
      </w:tr>
      <w:tr w:rsidR="00AD687A" w:rsidRPr="00C328EF" w14:paraId="31AC3064" w14:textId="77777777" w:rsidTr="00224B26">
        <w:tc>
          <w:tcPr>
            <w:tcW w:w="4821" w:type="dxa"/>
          </w:tcPr>
          <w:p w14:paraId="1B98973F" w14:textId="77777777" w:rsidR="00AD687A" w:rsidRPr="0025317F" w:rsidRDefault="00AD687A" w:rsidP="00AD687A">
            <w:pPr>
              <w:jc w:val="both"/>
            </w:pPr>
          </w:p>
        </w:tc>
        <w:tc>
          <w:tcPr>
            <w:tcW w:w="1559" w:type="dxa"/>
          </w:tcPr>
          <w:p w14:paraId="47EEFC11" w14:textId="77777777" w:rsidR="00AD687A" w:rsidRPr="00C328EF" w:rsidRDefault="00AD687A" w:rsidP="00AD687A">
            <w:pPr>
              <w:tabs>
                <w:tab w:val="left" w:pos="1307"/>
                <w:tab w:val="decimal" w:pos="1608"/>
              </w:tabs>
              <w:ind w:right="57"/>
              <w:jc w:val="right"/>
              <w:rPr>
                <w:highlight w:val="yellow"/>
              </w:rPr>
            </w:pPr>
          </w:p>
        </w:tc>
        <w:tc>
          <w:tcPr>
            <w:tcW w:w="1559" w:type="dxa"/>
          </w:tcPr>
          <w:p w14:paraId="3648EA26" w14:textId="77777777" w:rsidR="00AD687A" w:rsidRPr="0025317F" w:rsidRDefault="00AD687A" w:rsidP="00AD687A">
            <w:pPr>
              <w:tabs>
                <w:tab w:val="left" w:pos="1307"/>
                <w:tab w:val="decimal" w:pos="1608"/>
              </w:tabs>
              <w:ind w:right="57"/>
              <w:jc w:val="right"/>
            </w:pPr>
          </w:p>
        </w:tc>
        <w:tc>
          <w:tcPr>
            <w:tcW w:w="1418" w:type="dxa"/>
          </w:tcPr>
          <w:p w14:paraId="264B82B5" w14:textId="77777777" w:rsidR="00AD687A" w:rsidRPr="00C328EF" w:rsidRDefault="00AD687A" w:rsidP="00AD687A">
            <w:pPr>
              <w:tabs>
                <w:tab w:val="left" w:pos="1307"/>
                <w:tab w:val="decimal" w:pos="1608"/>
              </w:tabs>
              <w:ind w:right="57"/>
              <w:jc w:val="right"/>
              <w:rPr>
                <w:highlight w:val="yellow"/>
              </w:rPr>
            </w:pPr>
          </w:p>
        </w:tc>
        <w:tc>
          <w:tcPr>
            <w:tcW w:w="1451" w:type="dxa"/>
          </w:tcPr>
          <w:p w14:paraId="39E2177F" w14:textId="77777777" w:rsidR="00AD687A" w:rsidRPr="004D2FFF" w:rsidRDefault="00AD687A" w:rsidP="004D2FFF">
            <w:pPr>
              <w:tabs>
                <w:tab w:val="left" w:pos="1307"/>
                <w:tab w:val="decimal" w:pos="1608"/>
              </w:tabs>
              <w:ind w:right="57"/>
              <w:jc w:val="right"/>
            </w:pPr>
          </w:p>
        </w:tc>
      </w:tr>
      <w:tr w:rsidR="00AD687A" w:rsidRPr="00C328EF" w14:paraId="192D3EDD" w14:textId="77777777" w:rsidTr="00224B26">
        <w:tc>
          <w:tcPr>
            <w:tcW w:w="4821" w:type="dxa"/>
          </w:tcPr>
          <w:p w14:paraId="35C92A38" w14:textId="77777777" w:rsidR="00AD687A" w:rsidRPr="0025317F" w:rsidRDefault="00AD687A" w:rsidP="00AD687A">
            <w:pPr>
              <w:jc w:val="both"/>
            </w:pPr>
            <w:r w:rsidRPr="0025317F">
              <w:t>Issue of share capital</w:t>
            </w:r>
          </w:p>
        </w:tc>
        <w:tc>
          <w:tcPr>
            <w:tcW w:w="1559" w:type="dxa"/>
          </w:tcPr>
          <w:p w14:paraId="01658189" w14:textId="77777777" w:rsidR="00AD687A" w:rsidRPr="00F41DF0" w:rsidRDefault="00AD687A" w:rsidP="00AD687A">
            <w:pPr>
              <w:tabs>
                <w:tab w:val="left" w:pos="1307"/>
                <w:tab w:val="decimal" w:pos="1608"/>
              </w:tabs>
              <w:ind w:right="57"/>
              <w:jc w:val="right"/>
            </w:pPr>
            <w:r w:rsidRPr="00F41DF0">
              <w:t>8,000</w:t>
            </w:r>
          </w:p>
        </w:tc>
        <w:tc>
          <w:tcPr>
            <w:tcW w:w="1559" w:type="dxa"/>
          </w:tcPr>
          <w:p w14:paraId="2E271A6B" w14:textId="77777777" w:rsidR="00AD687A" w:rsidRPr="0025317F" w:rsidRDefault="00AD687A" w:rsidP="00AD687A">
            <w:pPr>
              <w:tabs>
                <w:tab w:val="left" w:pos="1307"/>
                <w:tab w:val="decimal" w:pos="1608"/>
              </w:tabs>
              <w:ind w:right="57"/>
              <w:jc w:val="right"/>
            </w:pPr>
            <w:r w:rsidRPr="0025317F">
              <w:t>12,000</w:t>
            </w:r>
          </w:p>
        </w:tc>
        <w:tc>
          <w:tcPr>
            <w:tcW w:w="1418" w:type="dxa"/>
          </w:tcPr>
          <w:p w14:paraId="2D2D56D0" w14:textId="77777777" w:rsidR="00AD687A" w:rsidRPr="00471249" w:rsidRDefault="00AD687A" w:rsidP="00AD687A">
            <w:pPr>
              <w:tabs>
                <w:tab w:val="left" w:pos="1307"/>
                <w:tab w:val="decimal" w:pos="1608"/>
              </w:tabs>
              <w:ind w:right="57"/>
              <w:jc w:val="right"/>
            </w:pPr>
            <w:r w:rsidRPr="00471249">
              <w:t>8,000</w:t>
            </w:r>
          </w:p>
        </w:tc>
        <w:tc>
          <w:tcPr>
            <w:tcW w:w="1451" w:type="dxa"/>
          </w:tcPr>
          <w:p w14:paraId="3F6823AB" w14:textId="77777777" w:rsidR="00AD687A" w:rsidRPr="0025317F" w:rsidRDefault="00AD687A" w:rsidP="004D2FFF">
            <w:pPr>
              <w:tabs>
                <w:tab w:val="left" w:pos="1307"/>
                <w:tab w:val="decimal" w:pos="1608"/>
              </w:tabs>
              <w:ind w:right="57"/>
              <w:jc w:val="right"/>
            </w:pPr>
            <w:r w:rsidRPr="0025317F">
              <w:t>12,000</w:t>
            </w:r>
          </w:p>
        </w:tc>
      </w:tr>
      <w:tr w:rsidR="00AD687A" w:rsidRPr="00C328EF" w14:paraId="27DB5E94" w14:textId="77777777" w:rsidTr="00224B26">
        <w:tc>
          <w:tcPr>
            <w:tcW w:w="4821" w:type="dxa"/>
          </w:tcPr>
          <w:p w14:paraId="77D15715" w14:textId="77777777" w:rsidR="00AD687A" w:rsidRPr="0025317F" w:rsidRDefault="00AD687A" w:rsidP="00AD687A">
            <w:pPr>
              <w:jc w:val="both"/>
            </w:pPr>
            <w:r w:rsidRPr="0025317F">
              <w:t>New share capital in subsidiary</w:t>
            </w:r>
          </w:p>
        </w:tc>
        <w:tc>
          <w:tcPr>
            <w:tcW w:w="1559" w:type="dxa"/>
          </w:tcPr>
          <w:p w14:paraId="3506C6AD" w14:textId="77777777" w:rsidR="00AD687A" w:rsidRPr="00F41DF0" w:rsidRDefault="00AD687A" w:rsidP="00AD687A">
            <w:pPr>
              <w:tabs>
                <w:tab w:val="left" w:pos="1307"/>
                <w:tab w:val="decimal" w:pos="1608"/>
              </w:tabs>
              <w:ind w:right="57"/>
              <w:jc w:val="right"/>
            </w:pPr>
            <w:r w:rsidRPr="00F41DF0">
              <w:t>-</w:t>
            </w:r>
          </w:p>
        </w:tc>
        <w:tc>
          <w:tcPr>
            <w:tcW w:w="1559" w:type="dxa"/>
          </w:tcPr>
          <w:p w14:paraId="6000B309" w14:textId="77777777" w:rsidR="00AD687A" w:rsidRPr="0025317F" w:rsidRDefault="00AD687A" w:rsidP="00AD687A">
            <w:pPr>
              <w:tabs>
                <w:tab w:val="left" w:pos="1307"/>
                <w:tab w:val="decimal" w:pos="1608"/>
              </w:tabs>
              <w:ind w:right="57"/>
              <w:jc w:val="right"/>
            </w:pPr>
            <w:r w:rsidRPr="0025317F">
              <w:t>-</w:t>
            </w:r>
          </w:p>
        </w:tc>
        <w:tc>
          <w:tcPr>
            <w:tcW w:w="1418" w:type="dxa"/>
          </w:tcPr>
          <w:p w14:paraId="15E15875" w14:textId="77777777" w:rsidR="00AD687A" w:rsidRPr="00471249" w:rsidRDefault="00AD687A" w:rsidP="00AD687A">
            <w:pPr>
              <w:tabs>
                <w:tab w:val="left" w:pos="1307"/>
                <w:tab w:val="decimal" w:pos="1608"/>
              </w:tabs>
              <w:ind w:right="57"/>
              <w:jc w:val="right"/>
            </w:pPr>
            <w:r w:rsidRPr="00471249">
              <w:t>(8,000)</w:t>
            </w:r>
          </w:p>
        </w:tc>
        <w:tc>
          <w:tcPr>
            <w:tcW w:w="1451" w:type="dxa"/>
          </w:tcPr>
          <w:p w14:paraId="010B4179" w14:textId="77777777" w:rsidR="00AD687A" w:rsidRPr="0025317F" w:rsidRDefault="00AD687A" w:rsidP="004D2FFF">
            <w:pPr>
              <w:tabs>
                <w:tab w:val="left" w:pos="1307"/>
                <w:tab w:val="decimal" w:pos="1608"/>
              </w:tabs>
              <w:ind w:right="57"/>
              <w:jc w:val="right"/>
            </w:pPr>
            <w:r w:rsidRPr="0025317F">
              <w:t>(12,000)</w:t>
            </w:r>
          </w:p>
        </w:tc>
      </w:tr>
      <w:tr w:rsidR="00AD687A" w:rsidRPr="00C328EF" w14:paraId="55DC9F4B" w14:textId="77777777" w:rsidTr="00224B26">
        <w:tc>
          <w:tcPr>
            <w:tcW w:w="4821" w:type="dxa"/>
          </w:tcPr>
          <w:p w14:paraId="25C82045" w14:textId="77777777" w:rsidR="00AD687A" w:rsidRPr="0025317F" w:rsidRDefault="00AD687A" w:rsidP="00AD687A">
            <w:pPr>
              <w:jc w:val="both"/>
            </w:pPr>
            <w:r w:rsidRPr="0025317F">
              <w:t>New hire purchase lease liabilities</w:t>
            </w:r>
          </w:p>
        </w:tc>
        <w:tc>
          <w:tcPr>
            <w:tcW w:w="1559" w:type="dxa"/>
          </w:tcPr>
          <w:p w14:paraId="098AC781" w14:textId="77777777" w:rsidR="00AD687A" w:rsidRPr="00F41DF0" w:rsidRDefault="00AD687A" w:rsidP="00AD687A">
            <w:pPr>
              <w:tabs>
                <w:tab w:val="left" w:pos="1307"/>
                <w:tab w:val="decimal" w:pos="1608"/>
              </w:tabs>
              <w:ind w:right="57"/>
              <w:jc w:val="right"/>
            </w:pPr>
            <w:r w:rsidRPr="00F41DF0">
              <w:t>-</w:t>
            </w:r>
          </w:p>
        </w:tc>
        <w:tc>
          <w:tcPr>
            <w:tcW w:w="1559" w:type="dxa"/>
          </w:tcPr>
          <w:p w14:paraId="2C14662F" w14:textId="77777777" w:rsidR="00AD687A" w:rsidRPr="0025317F" w:rsidRDefault="00AD687A" w:rsidP="00AD687A">
            <w:pPr>
              <w:tabs>
                <w:tab w:val="left" w:pos="1307"/>
                <w:tab w:val="decimal" w:pos="1608"/>
              </w:tabs>
              <w:ind w:right="57"/>
              <w:jc w:val="right"/>
            </w:pPr>
            <w:r w:rsidRPr="0025317F">
              <w:t>-</w:t>
            </w:r>
          </w:p>
        </w:tc>
        <w:tc>
          <w:tcPr>
            <w:tcW w:w="1418" w:type="dxa"/>
          </w:tcPr>
          <w:p w14:paraId="25A0F1C1" w14:textId="77777777" w:rsidR="00AD687A" w:rsidRPr="00471249" w:rsidRDefault="00AD687A" w:rsidP="00AD687A">
            <w:pPr>
              <w:tabs>
                <w:tab w:val="left" w:pos="1307"/>
                <w:tab w:val="decimal" w:pos="1608"/>
              </w:tabs>
              <w:ind w:right="57"/>
              <w:jc w:val="right"/>
            </w:pPr>
            <w:r w:rsidRPr="00471249">
              <w:t>-</w:t>
            </w:r>
          </w:p>
        </w:tc>
        <w:tc>
          <w:tcPr>
            <w:tcW w:w="1451" w:type="dxa"/>
          </w:tcPr>
          <w:p w14:paraId="2A673EB0" w14:textId="77777777" w:rsidR="00AD687A" w:rsidRPr="0025317F" w:rsidRDefault="00AD687A" w:rsidP="004D2FFF">
            <w:pPr>
              <w:tabs>
                <w:tab w:val="left" w:pos="1307"/>
                <w:tab w:val="decimal" w:pos="1608"/>
              </w:tabs>
              <w:ind w:right="57"/>
              <w:jc w:val="right"/>
            </w:pPr>
            <w:r w:rsidRPr="0025317F">
              <w:t>-</w:t>
            </w:r>
          </w:p>
        </w:tc>
      </w:tr>
      <w:tr w:rsidR="00AD687A" w:rsidRPr="00C328EF" w14:paraId="2689E54D" w14:textId="77777777" w:rsidTr="00224B26">
        <w:tc>
          <w:tcPr>
            <w:tcW w:w="4821" w:type="dxa"/>
          </w:tcPr>
          <w:p w14:paraId="0BD7EF08" w14:textId="77777777" w:rsidR="00AD687A" w:rsidRPr="0025317F" w:rsidRDefault="00AD687A" w:rsidP="00AD687A">
            <w:pPr>
              <w:jc w:val="both"/>
            </w:pPr>
            <w:r w:rsidRPr="0025317F">
              <w:t>Payments of lease liabilities</w:t>
            </w:r>
          </w:p>
        </w:tc>
        <w:tc>
          <w:tcPr>
            <w:tcW w:w="1559" w:type="dxa"/>
          </w:tcPr>
          <w:p w14:paraId="75F9BB8D" w14:textId="77777777" w:rsidR="00AD687A" w:rsidRPr="00F41DF0" w:rsidRDefault="00AD687A" w:rsidP="00AD687A">
            <w:pPr>
              <w:tabs>
                <w:tab w:val="left" w:pos="1307"/>
                <w:tab w:val="decimal" w:pos="1608"/>
              </w:tabs>
              <w:ind w:right="57"/>
              <w:jc w:val="right"/>
            </w:pPr>
            <w:r w:rsidRPr="00F41DF0">
              <w:t>(13,</w:t>
            </w:r>
            <w:r w:rsidR="00F41DF0" w:rsidRPr="00F41DF0">
              <w:t>881</w:t>
            </w:r>
            <w:r w:rsidRPr="00F41DF0">
              <w:t>)</w:t>
            </w:r>
          </w:p>
        </w:tc>
        <w:tc>
          <w:tcPr>
            <w:tcW w:w="1559" w:type="dxa"/>
          </w:tcPr>
          <w:p w14:paraId="089D1287" w14:textId="77777777" w:rsidR="00AD687A" w:rsidRPr="0025317F" w:rsidRDefault="00AD687A" w:rsidP="00AD687A">
            <w:pPr>
              <w:tabs>
                <w:tab w:val="left" w:pos="1307"/>
                <w:tab w:val="decimal" w:pos="1608"/>
              </w:tabs>
              <w:ind w:right="57"/>
              <w:jc w:val="right"/>
            </w:pPr>
            <w:r w:rsidRPr="0025317F">
              <w:t>(14,323)</w:t>
            </w:r>
          </w:p>
        </w:tc>
        <w:tc>
          <w:tcPr>
            <w:tcW w:w="1418" w:type="dxa"/>
          </w:tcPr>
          <w:p w14:paraId="0CDC73BA" w14:textId="77777777" w:rsidR="00AD687A" w:rsidRPr="00471249" w:rsidRDefault="00AD687A" w:rsidP="00AD687A">
            <w:pPr>
              <w:tabs>
                <w:tab w:val="left" w:pos="1307"/>
                <w:tab w:val="decimal" w:pos="1608"/>
              </w:tabs>
              <w:ind w:right="57"/>
              <w:jc w:val="right"/>
            </w:pPr>
            <w:r w:rsidRPr="00471249">
              <w:t>-</w:t>
            </w:r>
          </w:p>
        </w:tc>
        <w:tc>
          <w:tcPr>
            <w:tcW w:w="1451" w:type="dxa"/>
          </w:tcPr>
          <w:p w14:paraId="00506045" w14:textId="77777777" w:rsidR="00AD687A" w:rsidRPr="0025317F" w:rsidRDefault="00AD687A" w:rsidP="004D2FFF">
            <w:pPr>
              <w:tabs>
                <w:tab w:val="left" w:pos="1307"/>
                <w:tab w:val="decimal" w:pos="1608"/>
              </w:tabs>
              <w:ind w:right="57"/>
              <w:jc w:val="right"/>
            </w:pPr>
            <w:r w:rsidRPr="0025317F">
              <w:t>-</w:t>
            </w:r>
          </w:p>
        </w:tc>
      </w:tr>
      <w:tr w:rsidR="00AD687A" w:rsidRPr="00C328EF" w14:paraId="4994AFA3" w14:textId="77777777" w:rsidTr="00224B26">
        <w:tc>
          <w:tcPr>
            <w:tcW w:w="4821" w:type="dxa"/>
          </w:tcPr>
          <w:p w14:paraId="132E713A" w14:textId="77777777" w:rsidR="00AD687A" w:rsidRPr="0025317F" w:rsidRDefault="00AD687A" w:rsidP="00AD687A">
            <w:pPr>
              <w:jc w:val="both"/>
            </w:pPr>
            <w:r>
              <w:t>Dividends paid</w:t>
            </w:r>
          </w:p>
        </w:tc>
        <w:tc>
          <w:tcPr>
            <w:tcW w:w="1559" w:type="dxa"/>
          </w:tcPr>
          <w:p w14:paraId="77BA6D0C" w14:textId="77777777" w:rsidR="00AD687A" w:rsidRPr="00F41DF0" w:rsidRDefault="00AD687A" w:rsidP="00AD687A">
            <w:pPr>
              <w:tabs>
                <w:tab w:val="left" w:pos="1307"/>
                <w:tab w:val="decimal" w:pos="1608"/>
              </w:tabs>
              <w:ind w:right="57"/>
              <w:jc w:val="right"/>
            </w:pPr>
            <w:r w:rsidRPr="00F41DF0">
              <w:t>(2,912)</w:t>
            </w:r>
          </w:p>
        </w:tc>
        <w:tc>
          <w:tcPr>
            <w:tcW w:w="1559" w:type="dxa"/>
          </w:tcPr>
          <w:p w14:paraId="45F6614A" w14:textId="77777777" w:rsidR="00AD687A" w:rsidRPr="0025317F" w:rsidRDefault="00AD687A" w:rsidP="00AD687A">
            <w:pPr>
              <w:tabs>
                <w:tab w:val="left" w:pos="1307"/>
                <w:tab w:val="decimal" w:pos="1608"/>
              </w:tabs>
              <w:ind w:right="57"/>
              <w:jc w:val="right"/>
            </w:pPr>
            <w:r>
              <w:t>-</w:t>
            </w:r>
          </w:p>
        </w:tc>
        <w:tc>
          <w:tcPr>
            <w:tcW w:w="1418" w:type="dxa"/>
          </w:tcPr>
          <w:p w14:paraId="17FF3E82" w14:textId="77777777" w:rsidR="00AD687A" w:rsidRPr="00471249" w:rsidRDefault="00AD687A" w:rsidP="00AD687A">
            <w:pPr>
              <w:tabs>
                <w:tab w:val="left" w:pos="1307"/>
                <w:tab w:val="decimal" w:pos="1608"/>
              </w:tabs>
              <w:ind w:right="57"/>
              <w:jc w:val="right"/>
            </w:pPr>
            <w:r>
              <w:t>(2,912)</w:t>
            </w:r>
          </w:p>
        </w:tc>
        <w:tc>
          <w:tcPr>
            <w:tcW w:w="1451" w:type="dxa"/>
          </w:tcPr>
          <w:p w14:paraId="360DC6E9" w14:textId="77777777" w:rsidR="00AD687A" w:rsidRPr="0025317F" w:rsidRDefault="00AD687A" w:rsidP="004D2FFF">
            <w:pPr>
              <w:tabs>
                <w:tab w:val="left" w:pos="1307"/>
                <w:tab w:val="decimal" w:pos="1608"/>
              </w:tabs>
              <w:ind w:right="57"/>
              <w:jc w:val="right"/>
            </w:pPr>
            <w:r w:rsidRPr="0025317F">
              <w:t>-</w:t>
            </w:r>
          </w:p>
        </w:tc>
      </w:tr>
      <w:tr w:rsidR="00AD687A" w:rsidRPr="00C328EF" w14:paraId="71B4B07C" w14:textId="77777777" w:rsidTr="00224B26">
        <w:tc>
          <w:tcPr>
            <w:tcW w:w="4821" w:type="dxa"/>
          </w:tcPr>
          <w:p w14:paraId="6822D5A2" w14:textId="77777777" w:rsidR="00AD687A" w:rsidRPr="0025317F" w:rsidRDefault="00AD687A" w:rsidP="00AD687A">
            <w:pPr>
              <w:jc w:val="both"/>
            </w:pPr>
          </w:p>
        </w:tc>
        <w:tc>
          <w:tcPr>
            <w:tcW w:w="1559" w:type="dxa"/>
          </w:tcPr>
          <w:p w14:paraId="1B6A8464" w14:textId="77777777" w:rsidR="00AD687A" w:rsidRPr="00F41DF0" w:rsidRDefault="00AD687A" w:rsidP="00AD687A">
            <w:pPr>
              <w:tabs>
                <w:tab w:val="left" w:pos="1307"/>
                <w:tab w:val="decimal" w:pos="1608"/>
              </w:tabs>
              <w:ind w:right="57"/>
              <w:jc w:val="right"/>
            </w:pPr>
            <w:r w:rsidRPr="00F41DF0">
              <w:t>─────</w:t>
            </w:r>
          </w:p>
        </w:tc>
        <w:tc>
          <w:tcPr>
            <w:tcW w:w="1559" w:type="dxa"/>
          </w:tcPr>
          <w:p w14:paraId="6065B051" w14:textId="77777777" w:rsidR="00AD687A" w:rsidRPr="0025317F" w:rsidRDefault="00AD687A" w:rsidP="00AD687A">
            <w:pPr>
              <w:tabs>
                <w:tab w:val="left" w:pos="1307"/>
                <w:tab w:val="decimal" w:pos="1608"/>
              </w:tabs>
              <w:ind w:right="57"/>
              <w:jc w:val="right"/>
            </w:pPr>
            <w:r w:rsidRPr="0025317F">
              <w:t>─────</w:t>
            </w:r>
          </w:p>
        </w:tc>
        <w:tc>
          <w:tcPr>
            <w:tcW w:w="1418" w:type="dxa"/>
          </w:tcPr>
          <w:p w14:paraId="3829F1E9" w14:textId="77777777" w:rsidR="00AD687A" w:rsidRPr="00471249" w:rsidRDefault="00AD687A" w:rsidP="00AD687A">
            <w:pPr>
              <w:tabs>
                <w:tab w:val="left" w:pos="1307"/>
                <w:tab w:val="decimal" w:pos="1608"/>
              </w:tabs>
              <w:ind w:right="57"/>
              <w:jc w:val="right"/>
            </w:pPr>
            <w:r w:rsidRPr="00471249">
              <w:t>─────</w:t>
            </w:r>
          </w:p>
        </w:tc>
        <w:tc>
          <w:tcPr>
            <w:tcW w:w="1451" w:type="dxa"/>
          </w:tcPr>
          <w:p w14:paraId="3C32535B" w14:textId="77777777" w:rsidR="00AD687A" w:rsidRPr="0025317F" w:rsidRDefault="00AD687A" w:rsidP="004D2FFF">
            <w:pPr>
              <w:tabs>
                <w:tab w:val="left" w:pos="1307"/>
                <w:tab w:val="decimal" w:pos="1608"/>
              </w:tabs>
              <w:ind w:right="57"/>
              <w:jc w:val="right"/>
            </w:pPr>
            <w:r w:rsidRPr="0025317F">
              <w:t>─────</w:t>
            </w:r>
          </w:p>
        </w:tc>
      </w:tr>
      <w:tr w:rsidR="00AD687A" w:rsidRPr="00C328EF" w14:paraId="4CFFB265" w14:textId="77777777" w:rsidTr="00224B26">
        <w:tc>
          <w:tcPr>
            <w:tcW w:w="4821" w:type="dxa"/>
          </w:tcPr>
          <w:p w14:paraId="3BE36A80" w14:textId="77777777" w:rsidR="00AD687A" w:rsidRPr="0025317F" w:rsidRDefault="00AD687A" w:rsidP="00AD687A">
            <w:pPr>
              <w:jc w:val="both"/>
              <w:rPr>
                <w:b/>
              </w:rPr>
            </w:pPr>
            <w:r w:rsidRPr="0025317F">
              <w:rPr>
                <w:b/>
              </w:rPr>
              <w:t>Net cash flows from financing activities</w:t>
            </w:r>
          </w:p>
        </w:tc>
        <w:tc>
          <w:tcPr>
            <w:tcW w:w="1559" w:type="dxa"/>
          </w:tcPr>
          <w:p w14:paraId="1E79883E" w14:textId="77777777" w:rsidR="00AD687A" w:rsidRPr="00F41DF0" w:rsidRDefault="00AD687A" w:rsidP="00AD687A">
            <w:pPr>
              <w:tabs>
                <w:tab w:val="left" w:pos="1307"/>
                <w:tab w:val="decimal" w:pos="1608"/>
              </w:tabs>
              <w:ind w:right="57"/>
              <w:jc w:val="right"/>
            </w:pPr>
            <w:r w:rsidRPr="00F41DF0">
              <w:t>(</w:t>
            </w:r>
            <w:r w:rsidR="00F41DF0" w:rsidRPr="00F41DF0">
              <w:t>8</w:t>
            </w:r>
            <w:r w:rsidRPr="00F41DF0">
              <w:t>,</w:t>
            </w:r>
            <w:r w:rsidR="00F41DF0" w:rsidRPr="00F41DF0">
              <w:t>793</w:t>
            </w:r>
            <w:r w:rsidRPr="00F41DF0">
              <w:t>)</w:t>
            </w:r>
          </w:p>
        </w:tc>
        <w:tc>
          <w:tcPr>
            <w:tcW w:w="1559" w:type="dxa"/>
          </w:tcPr>
          <w:p w14:paraId="376C80E6" w14:textId="77777777" w:rsidR="00AD687A" w:rsidRPr="0025317F" w:rsidRDefault="00AD687A" w:rsidP="00AD687A">
            <w:pPr>
              <w:tabs>
                <w:tab w:val="left" w:pos="1307"/>
                <w:tab w:val="decimal" w:pos="1608"/>
              </w:tabs>
              <w:ind w:right="57"/>
              <w:jc w:val="right"/>
            </w:pPr>
            <w:r w:rsidRPr="0025317F">
              <w:t>(2,323)</w:t>
            </w:r>
          </w:p>
        </w:tc>
        <w:tc>
          <w:tcPr>
            <w:tcW w:w="1418" w:type="dxa"/>
          </w:tcPr>
          <w:p w14:paraId="5899D13E" w14:textId="77777777" w:rsidR="00AD687A" w:rsidRPr="00471249" w:rsidRDefault="00AD687A" w:rsidP="00AD687A">
            <w:pPr>
              <w:tabs>
                <w:tab w:val="left" w:pos="1307"/>
                <w:tab w:val="decimal" w:pos="1608"/>
              </w:tabs>
              <w:ind w:right="57"/>
              <w:jc w:val="right"/>
            </w:pPr>
            <w:r>
              <w:t>(2,912)</w:t>
            </w:r>
          </w:p>
        </w:tc>
        <w:tc>
          <w:tcPr>
            <w:tcW w:w="1451" w:type="dxa"/>
          </w:tcPr>
          <w:p w14:paraId="1FFD21A0" w14:textId="77777777" w:rsidR="00AD687A" w:rsidRPr="0025317F" w:rsidRDefault="00AD687A" w:rsidP="004D2FFF">
            <w:pPr>
              <w:tabs>
                <w:tab w:val="left" w:pos="1307"/>
                <w:tab w:val="decimal" w:pos="1608"/>
              </w:tabs>
              <w:ind w:right="57"/>
              <w:jc w:val="right"/>
            </w:pPr>
            <w:r w:rsidRPr="0025317F">
              <w:t>-</w:t>
            </w:r>
          </w:p>
        </w:tc>
      </w:tr>
      <w:tr w:rsidR="00AD687A" w:rsidRPr="00C328EF" w14:paraId="45D7E159" w14:textId="77777777" w:rsidTr="00224B26">
        <w:tc>
          <w:tcPr>
            <w:tcW w:w="4821" w:type="dxa"/>
          </w:tcPr>
          <w:p w14:paraId="086B9A2C" w14:textId="77777777" w:rsidR="00AD687A" w:rsidRPr="00C328EF" w:rsidRDefault="00AD687A" w:rsidP="00AD687A">
            <w:pPr>
              <w:jc w:val="both"/>
              <w:rPr>
                <w:highlight w:val="yellow"/>
              </w:rPr>
            </w:pPr>
          </w:p>
        </w:tc>
        <w:tc>
          <w:tcPr>
            <w:tcW w:w="1559" w:type="dxa"/>
          </w:tcPr>
          <w:p w14:paraId="2306366B" w14:textId="77777777" w:rsidR="00AD687A" w:rsidRPr="00F41DF0" w:rsidRDefault="00AD687A" w:rsidP="00AD687A">
            <w:pPr>
              <w:tabs>
                <w:tab w:val="left" w:pos="1307"/>
                <w:tab w:val="decimal" w:pos="1608"/>
              </w:tabs>
              <w:ind w:right="57"/>
              <w:jc w:val="right"/>
            </w:pPr>
            <w:r w:rsidRPr="00F41DF0">
              <w:t>═════</w:t>
            </w:r>
          </w:p>
        </w:tc>
        <w:tc>
          <w:tcPr>
            <w:tcW w:w="1559" w:type="dxa"/>
          </w:tcPr>
          <w:p w14:paraId="406275B2" w14:textId="77777777" w:rsidR="00AD687A" w:rsidRPr="0025317F" w:rsidRDefault="00AD687A" w:rsidP="00AD687A">
            <w:pPr>
              <w:tabs>
                <w:tab w:val="left" w:pos="1307"/>
                <w:tab w:val="decimal" w:pos="1608"/>
              </w:tabs>
              <w:ind w:right="57"/>
              <w:jc w:val="right"/>
            </w:pPr>
            <w:r w:rsidRPr="0025317F">
              <w:t>═════</w:t>
            </w:r>
          </w:p>
        </w:tc>
        <w:tc>
          <w:tcPr>
            <w:tcW w:w="1418" w:type="dxa"/>
          </w:tcPr>
          <w:p w14:paraId="1C4A0ACD" w14:textId="77777777" w:rsidR="00AD687A" w:rsidRPr="00471249" w:rsidRDefault="00AD687A" w:rsidP="00AD687A">
            <w:pPr>
              <w:tabs>
                <w:tab w:val="left" w:pos="1307"/>
                <w:tab w:val="decimal" w:pos="1608"/>
              </w:tabs>
              <w:ind w:right="57"/>
              <w:jc w:val="right"/>
            </w:pPr>
            <w:r w:rsidRPr="00471249">
              <w:t>═════</w:t>
            </w:r>
          </w:p>
        </w:tc>
        <w:tc>
          <w:tcPr>
            <w:tcW w:w="1451" w:type="dxa"/>
          </w:tcPr>
          <w:p w14:paraId="5F8D2BD8" w14:textId="77777777" w:rsidR="00AD687A" w:rsidRPr="0025317F" w:rsidRDefault="00AD687A" w:rsidP="004D2FFF">
            <w:pPr>
              <w:tabs>
                <w:tab w:val="left" w:pos="1307"/>
                <w:tab w:val="decimal" w:pos="1608"/>
              </w:tabs>
              <w:ind w:right="57"/>
              <w:jc w:val="right"/>
            </w:pPr>
            <w:r w:rsidRPr="0025317F">
              <w:t>═════</w:t>
            </w:r>
          </w:p>
        </w:tc>
      </w:tr>
      <w:tr w:rsidR="00AD687A" w:rsidRPr="00C328EF" w14:paraId="764BA796" w14:textId="77777777" w:rsidTr="00224B26">
        <w:tc>
          <w:tcPr>
            <w:tcW w:w="4821" w:type="dxa"/>
          </w:tcPr>
          <w:p w14:paraId="05ECF20C" w14:textId="77777777" w:rsidR="00AD687A" w:rsidRPr="00C328EF" w:rsidRDefault="00AD687A" w:rsidP="00AD687A">
            <w:pPr>
              <w:jc w:val="both"/>
              <w:rPr>
                <w:b/>
                <w:highlight w:val="yellow"/>
              </w:rPr>
            </w:pPr>
          </w:p>
        </w:tc>
        <w:tc>
          <w:tcPr>
            <w:tcW w:w="1559" w:type="dxa"/>
          </w:tcPr>
          <w:p w14:paraId="6E0E5A3F" w14:textId="77777777" w:rsidR="00AD687A" w:rsidRPr="00C328EF" w:rsidRDefault="00AD687A" w:rsidP="00AD687A">
            <w:pPr>
              <w:tabs>
                <w:tab w:val="left" w:pos="1307"/>
                <w:tab w:val="decimal" w:pos="1608"/>
              </w:tabs>
              <w:ind w:right="57"/>
              <w:jc w:val="right"/>
              <w:rPr>
                <w:highlight w:val="yellow"/>
              </w:rPr>
            </w:pPr>
          </w:p>
        </w:tc>
        <w:tc>
          <w:tcPr>
            <w:tcW w:w="1559" w:type="dxa"/>
          </w:tcPr>
          <w:p w14:paraId="37A92351" w14:textId="77777777" w:rsidR="00AD687A" w:rsidRPr="00C328EF" w:rsidRDefault="00AD687A" w:rsidP="00AD687A">
            <w:pPr>
              <w:tabs>
                <w:tab w:val="left" w:pos="1307"/>
                <w:tab w:val="decimal" w:pos="1608"/>
              </w:tabs>
              <w:ind w:right="57"/>
              <w:jc w:val="right"/>
              <w:rPr>
                <w:highlight w:val="yellow"/>
              </w:rPr>
            </w:pPr>
          </w:p>
        </w:tc>
        <w:tc>
          <w:tcPr>
            <w:tcW w:w="1418" w:type="dxa"/>
          </w:tcPr>
          <w:p w14:paraId="6EBC9AC9" w14:textId="77777777" w:rsidR="00AD687A" w:rsidRPr="00C328EF" w:rsidRDefault="00AD687A" w:rsidP="00AD687A">
            <w:pPr>
              <w:tabs>
                <w:tab w:val="left" w:pos="1307"/>
                <w:tab w:val="decimal" w:pos="1608"/>
              </w:tabs>
              <w:ind w:right="57"/>
              <w:jc w:val="right"/>
              <w:rPr>
                <w:highlight w:val="yellow"/>
              </w:rPr>
            </w:pPr>
          </w:p>
        </w:tc>
        <w:tc>
          <w:tcPr>
            <w:tcW w:w="1451" w:type="dxa"/>
          </w:tcPr>
          <w:p w14:paraId="548B1258" w14:textId="77777777" w:rsidR="00AD687A" w:rsidRPr="004D2FFF" w:rsidRDefault="00AD687A" w:rsidP="004D2FFF">
            <w:pPr>
              <w:tabs>
                <w:tab w:val="left" w:pos="1307"/>
                <w:tab w:val="decimal" w:pos="1608"/>
              </w:tabs>
              <w:ind w:right="57"/>
              <w:jc w:val="right"/>
            </w:pPr>
          </w:p>
        </w:tc>
      </w:tr>
      <w:tr w:rsidR="00AD687A" w:rsidRPr="00C328EF" w14:paraId="5A7F7EF9" w14:textId="77777777" w:rsidTr="00224B26">
        <w:tc>
          <w:tcPr>
            <w:tcW w:w="4821" w:type="dxa"/>
          </w:tcPr>
          <w:p w14:paraId="4F691BBA" w14:textId="77777777" w:rsidR="00AD687A" w:rsidRPr="00C328EF" w:rsidRDefault="00AD687A" w:rsidP="006D194C">
            <w:pPr>
              <w:rPr>
                <w:highlight w:val="yellow"/>
              </w:rPr>
            </w:pPr>
            <w:r w:rsidRPr="008542CC">
              <w:t>Net (decrease)/increase in cash</w:t>
            </w:r>
            <w:r w:rsidRPr="0025317F">
              <w:t xml:space="preserve"> and cash equivalents</w:t>
            </w:r>
          </w:p>
        </w:tc>
        <w:tc>
          <w:tcPr>
            <w:tcW w:w="1559" w:type="dxa"/>
          </w:tcPr>
          <w:p w14:paraId="0E59A0B1" w14:textId="77777777" w:rsidR="00AD687A" w:rsidRPr="00AD687A" w:rsidRDefault="00AD687A" w:rsidP="00AD687A">
            <w:pPr>
              <w:tabs>
                <w:tab w:val="left" w:pos="1307"/>
                <w:tab w:val="decimal" w:pos="1608"/>
              </w:tabs>
              <w:ind w:right="57"/>
              <w:jc w:val="right"/>
            </w:pPr>
            <w:r w:rsidRPr="00AD687A">
              <w:t>(13,715)</w:t>
            </w:r>
          </w:p>
        </w:tc>
        <w:tc>
          <w:tcPr>
            <w:tcW w:w="1559" w:type="dxa"/>
          </w:tcPr>
          <w:p w14:paraId="1F764BEB" w14:textId="77777777" w:rsidR="00AD687A" w:rsidRPr="0025317F" w:rsidRDefault="00AD687A" w:rsidP="00AD687A">
            <w:pPr>
              <w:tabs>
                <w:tab w:val="left" w:pos="1307"/>
                <w:tab w:val="decimal" w:pos="1608"/>
              </w:tabs>
              <w:ind w:right="57"/>
              <w:jc w:val="right"/>
            </w:pPr>
            <w:r w:rsidRPr="0025317F">
              <w:t>15,215</w:t>
            </w:r>
          </w:p>
        </w:tc>
        <w:tc>
          <w:tcPr>
            <w:tcW w:w="1418" w:type="dxa"/>
          </w:tcPr>
          <w:p w14:paraId="184B30E5" w14:textId="77777777" w:rsidR="00AD687A" w:rsidRPr="00F71B0C" w:rsidRDefault="00AD687A" w:rsidP="00AD687A">
            <w:pPr>
              <w:tabs>
                <w:tab w:val="left" w:pos="1307"/>
                <w:tab w:val="decimal" w:pos="1608"/>
              </w:tabs>
              <w:ind w:right="57"/>
              <w:jc w:val="right"/>
            </w:pPr>
            <w:r w:rsidRPr="00F71B0C">
              <w:t>(239)</w:t>
            </w:r>
          </w:p>
        </w:tc>
        <w:tc>
          <w:tcPr>
            <w:tcW w:w="1451" w:type="dxa"/>
          </w:tcPr>
          <w:p w14:paraId="179F6F5A" w14:textId="77777777" w:rsidR="00AD687A" w:rsidRPr="0025317F" w:rsidRDefault="00AD687A" w:rsidP="004D2FFF">
            <w:pPr>
              <w:tabs>
                <w:tab w:val="left" w:pos="1307"/>
                <w:tab w:val="decimal" w:pos="1608"/>
              </w:tabs>
              <w:ind w:right="57"/>
              <w:jc w:val="right"/>
            </w:pPr>
            <w:r w:rsidRPr="0025317F">
              <w:t>(197)</w:t>
            </w:r>
          </w:p>
        </w:tc>
      </w:tr>
      <w:tr w:rsidR="00AD687A" w:rsidRPr="00C328EF" w14:paraId="662C8F0A" w14:textId="77777777" w:rsidTr="00224B26">
        <w:tc>
          <w:tcPr>
            <w:tcW w:w="4821" w:type="dxa"/>
          </w:tcPr>
          <w:p w14:paraId="683707E5" w14:textId="77777777" w:rsidR="00AD687A" w:rsidRPr="0025317F" w:rsidRDefault="00AD687A" w:rsidP="00AD687A">
            <w:pPr>
              <w:jc w:val="both"/>
            </w:pPr>
            <w:r w:rsidRPr="0025317F">
              <w:t xml:space="preserve">Cash and cash equivalents at beginning of </w:t>
            </w:r>
            <w:r w:rsidR="00CE4F53">
              <w:t>period</w:t>
            </w:r>
          </w:p>
        </w:tc>
        <w:tc>
          <w:tcPr>
            <w:tcW w:w="1559" w:type="dxa"/>
          </w:tcPr>
          <w:p w14:paraId="2236DC8C" w14:textId="77777777" w:rsidR="00AD687A" w:rsidRPr="00AD687A" w:rsidRDefault="00AD687A" w:rsidP="00AD687A">
            <w:pPr>
              <w:tabs>
                <w:tab w:val="left" w:pos="1307"/>
                <w:tab w:val="decimal" w:pos="1608"/>
              </w:tabs>
              <w:ind w:right="57"/>
              <w:jc w:val="right"/>
            </w:pPr>
            <w:r w:rsidRPr="00AD687A">
              <w:t>47,915</w:t>
            </w:r>
          </w:p>
        </w:tc>
        <w:tc>
          <w:tcPr>
            <w:tcW w:w="1559" w:type="dxa"/>
          </w:tcPr>
          <w:p w14:paraId="2DB7A01B" w14:textId="77777777" w:rsidR="00AD687A" w:rsidRPr="0025317F" w:rsidRDefault="00AD687A" w:rsidP="00AD687A">
            <w:pPr>
              <w:tabs>
                <w:tab w:val="left" w:pos="1307"/>
                <w:tab w:val="decimal" w:pos="1608"/>
              </w:tabs>
              <w:ind w:right="57"/>
              <w:jc w:val="right"/>
            </w:pPr>
            <w:r w:rsidRPr="0025317F">
              <w:t>32,700</w:t>
            </w:r>
          </w:p>
        </w:tc>
        <w:tc>
          <w:tcPr>
            <w:tcW w:w="1418" w:type="dxa"/>
          </w:tcPr>
          <w:p w14:paraId="7885FCF4" w14:textId="77777777" w:rsidR="00AD687A" w:rsidRPr="00F71B0C" w:rsidRDefault="00AD687A" w:rsidP="00AD687A">
            <w:pPr>
              <w:tabs>
                <w:tab w:val="left" w:pos="1307"/>
                <w:tab w:val="decimal" w:pos="1608"/>
              </w:tabs>
              <w:ind w:right="57"/>
              <w:jc w:val="right"/>
            </w:pPr>
            <w:r w:rsidRPr="00F71B0C">
              <w:t>456</w:t>
            </w:r>
          </w:p>
        </w:tc>
        <w:tc>
          <w:tcPr>
            <w:tcW w:w="1451" w:type="dxa"/>
          </w:tcPr>
          <w:p w14:paraId="474611FA" w14:textId="77777777" w:rsidR="00AD687A" w:rsidRPr="0025317F" w:rsidRDefault="00AD687A" w:rsidP="004D2FFF">
            <w:pPr>
              <w:tabs>
                <w:tab w:val="left" w:pos="1307"/>
                <w:tab w:val="decimal" w:pos="1608"/>
              </w:tabs>
              <w:ind w:right="57"/>
              <w:jc w:val="right"/>
            </w:pPr>
            <w:r w:rsidRPr="0025317F">
              <w:t>653</w:t>
            </w:r>
          </w:p>
        </w:tc>
      </w:tr>
      <w:tr w:rsidR="00AD687A" w:rsidRPr="00C328EF" w14:paraId="4BDFC195" w14:textId="77777777" w:rsidTr="00224B26">
        <w:tc>
          <w:tcPr>
            <w:tcW w:w="4821" w:type="dxa"/>
          </w:tcPr>
          <w:p w14:paraId="56787010" w14:textId="77777777" w:rsidR="00AD687A" w:rsidRPr="0025317F" w:rsidRDefault="00AD687A" w:rsidP="00AD687A">
            <w:pPr>
              <w:jc w:val="both"/>
            </w:pPr>
          </w:p>
        </w:tc>
        <w:tc>
          <w:tcPr>
            <w:tcW w:w="1559" w:type="dxa"/>
          </w:tcPr>
          <w:p w14:paraId="656FF232" w14:textId="77777777" w:rsidR="00AD687A" w:rsidRPr="00AD687A" w:rsidRDefault="00AD687A" w:rsidP="00AD687A">
            <w:pPr>
              <w:tabs>
                <w:tab w:val="left" w:pos="1307"/>
                <w:tab w:val="decimal" w:pos="1608"/>
              </w:tabs>
              <w:ind w:right="57"/>
              <w:jc w:val="right"/>
            </w:pPr>
            <w:r w:rsidRPr="00AD687A">
              <w:t>─────</w:t>
            </w:r>
          </w:p>
        </w:tc>
        <w:tc>
          <w:tcPr>
            <w:tcW w:w="1559" w:type="dxa"/>
          </w:tcPr>
          <w:p w14:paraId="12AB66F2" w14:textId="77777777" w:rsidR="00AD687A" w:rsidRPr="0025317F" w:rsidRDefault="00AD687A" w:rsidP="00AD687A">
            <w:pPr>
              <w:tabs>
                <w:tab w:val="left" w:pos="1307"/>
                <w:tab w:val="decimal" w:pos="1608"/>
              </w:tabs>
              <w:ind w:right="57"/>
              <w:jc w:val="right"/>
            </w:pPr>
            <w:r w:rsidRPr="0025317F">
              <w:t>─────</w:t>
            </w:r>
          </w:p>
        </w:tc>
        <w:tc>
          <w:tcPr>
            <w:tcW w:w="1418" w:type="dxa"/>
          </w:tcPr>
          <w:p w14:paraId="54991247" w14:textId="77777777" w:rsidR="00AD687A" w:rsidRPr="00F71B0C" w:rsidRDefault="00AD687A" w:rsidP="00AD687A">
            <w:pPr>
              <w:tabs>
                <w:tab w:val="left" w:pos="1307"/>
                <w:tab w:val="decimal" w:pos="1608"/>
              </w:tabs>
              <w:ind w:right="57"/>
              <w:jc w:val="right"/>
            </w:pPr>
            <w:r w:rsidRPr="00F71B0C">
              <w:t>─────</w:t>
            </w:r>
          </w:p>
        </w:tc>
        <w:tc>
          <w:tcPr>
            <w:tcW w:w="1451" w:type="dxa"/>
          </w:tcPr>
          <w:p w14:paraId="0F5F08C2" w14:textId="77777777" w:rsidR="00AD687A" w:rsidRPr="0025317F" w:rsidRDefault="00AD687A" w:rsidP="004D2FFF">
            <w:pPr>
              <w:tabs>
                <w:tab w:val="left" w:pos="1307"/>
                <w:tab w:val="decimal" w:pos="1608"/>
              </w:tabs>
              <w:ind w:right="57"/>
              <w:jc w:val="right"/>
            </w:pPr>
            <w:r w:rsidRPr="0025317F">
              <w:t>─────</w:t>
            </w:r>
          </w:p>
        </w:tc>
      </w:tr>
      <w:tr w:rsidR="00AD687A" w:rsidRPr="00C328EF" w14:paraId="758EC178" w14:textId="77777777" w:rsidTr="00224B26">
        <w:tc>
          <w:tcPr>
            <w:tcW w:w="4821" w:type="dxa"/>
          </w:tcPr>
          <w:p w14:paraId="6212596D" w14:textId="77777777" w:rsidR="00AD687A" w:rsidRPr="0025317F" w:rsidRDefault="00AD687A" w:rsidP="00AD687A">
            <w:pPr>
              <w:jc w:val="both"/>
              <w:rPr>
                <w:b/>
              </w:rPr>
            </w:pPr>
            <w:r w:rsidRPr="0025317F">
              <w:rPr>
                <w:b/>
              </w:rPr>
              <w:t xml:space="preserve">Cash and cash equivalents at end of </w:t>
            </w:r>
            <w:r w:rsidR="00CE4F53">
              <w:rPr>
                <w:b/>
              </w:rPr>
              <w:t>the period</w:t>
            </w:r>
          </w:p>
        </w:tc>
        <w:tc>
          <w:tcPr>
            <w:tcW w:w="1559" w:type="dxa"/>
          </w:tcPr>
          <w:p w14:paraId="74FDA4CE" w14:textId="77777777" w:rsidR="00AD687A" w:rsidRPr="00AD687A" w:rsidRDefault="00AD687A" w:rsidP="00AD687A">
            <w:pPr>
              <w:tabs>
                <w:tab w:val="left" w:pos="1307"/>
                <w:tab w:val="decimal" w:pos="1608"/>
              </w:tabs>
              <w:ind w:right="57"/>
              <w:jc w:val="right"/>
            </w:pPr>
            <w:r w:rsidRPr="00AD687A">
              <w:t>34,200</w:t>
            </w:r>
          </w:p>
        </w:tc>
        <w:tc>
          <w:tcPr>
            <w:tcW w:w="1559" w:type="dxa"/>
          </w:tcPr>
          <w:p w14:paraId="41A8567E" w14:textId="77777777" w:rsidR="00AD687A" w:rsidRPr="0025317F" w:rsidRDefault="00AD687A" w:rsidP="00AD687A">
            <w:pPr>
              <w:tabs>
                <w:tab w:val="left" w:pos="1307"/>
                <w:tab w:val="decimal" w:pos="1608"/>
              </w:tabs>
              <w:ind w:right="57"/>
              <w:jc w:val="right"/>
            </w:pPr>
            <w:r w:rsidRPr="0025317F">
              <w:t>47,915</w:t>
            </w:r>
          </w:p>
        </w:tc>
        <w:tc>
          <w:tcPr>
            <w:tcW w:w="1418" w:type="dxa"/>
          </w:tcPr>
          <w:p w14:paraId="720AE9BA" w14:textId="77777777" w:rsidR="00AD687A" w:rsidRPr="00F71B0C" w:rsidRDefault="00AD687A" w:rsidP="00AD687A">
            <w:pPr>
              <w:tabs>
                <w:tab w:val="left" w:pos="1307"/>
                <w:tab w:val="decimal" w:pos="1608"/>
              </w:tabs>
              <w:ind w:right="57"/>
              <w:jc w:val="right"/>
            </w:pPr>
            <w:r w:rsidRPr="00F71B0C">
              <w:t>217</w:t>
            </w:r>
          </w:p>
        </w:tc>
        <w:tc>
          <w:tcPr>
            <w:tcW w:w="1451" w:type="dxa"/>
          </w:tcPr>
          <w:p w14:paraId="27B56920" w14:textId="77777777" w:rsidR="00AD687A" w:rsidRPr="0025317F" w:rsidRDefault="00AD687A" w:rsidP="004D2FFF">
            <w:pPr>
              <w:tabs>
                <w:tab w:val="left" w:pos="1307"/>
                <w:tab w:val="decimal" w:pos="1608"/>
              </w:tabs>
              <w:ind w:right="57"/>
              <w:jc w:val="right"/>
            </w:pPr>
            <w:r w:rsidRPr="0025317F">
              <w:t>456</w:t>
            </w:r>
          </w:p>
        </w:tc>
      </w:tr>
      <w:tr w:rsidR="00AD687A" w:rsidRPr="00C328EF" w14:paraId="72B56357" w14:textId="77777777" w:rsidTr="00224B26">
        <w:tc>
          <w:tcPr>
            <w:tcW w:w="4821" w:type="dxa"/>
          </w:tcPr>
          <w:p w14:paraId="00A1186D" w14:textId="77777777" w:rsidR="00AD687A" w:rsidRPr="0025317F" w:rsidRDefault="00AD687A" w:rsidP="00AD687A">
            <w:pPr>
              <w:jc w:val="both"/>
            </w:pPr>
          </w:p>
        </w:tc>
        <w:tc>
          <w:tcPr>
            <w:tcW w:w="1559" w:type="dxa"/>
          </w:tcPr>
          <w:p w14:paraId="3F32BC94" w14:textId="77777777" w:rsidR="00AD687A" w:rsidRPr="00AD687A" w:rsidRDefault="00AD687A" w:rsidP="00AD687A">
            <w:pPr>
              <w:tabs>
                <w:tab w:val="left" w:pos="1307"/>
                <w:tab w:val="decimal" w:pos="1608"/>
              </w:tabs>
              <w:ind w:right="57"/>
              <w:jc w:val="right"/>
            </w:pPr>
            <w:r w:rsidRPr="00AD687A">
              <w:t>═════</w:t>
            </w:r>
          </w:p>
        </w:tc>
        <w:tc>
          <w:tcPr>
            <w:tcW w:w="1559" w:type="dxa"/>
          </w:tcPr>
          <w:p w14:paraId="18794F56" w14:textId="77777777" w:rsidR="00AD687A" w:rsidRPr="0025317F" w:rsidRDefault="00AD687A" w:rsidP="00AD687A">
            <w:pPr>
              <w:tabs>
                <w:tab w:val="left" w:pos="1307"/>
                <w:tab w:val="decimal" w:pos="1608"/>
              </w:tabs>
              <w:ind w:right="57"/>
              <w:jc w:val="right"/>
            </w:pPr>
            <w:r w:rsidRPr="0025317F">
              <w:t>═════</w:t>
            </w:r>
          </w:p>
        </w:tc>
        <w:tc>
          <w:tcPr>
            <w:tcW w:w="1418" w:type="dxa"/>
          </w:tcPr>
          <w:p w14:paraId="00E565D2" w14:textId="77777777" w:rsidR="00AD687A" w:rsidRPr="00F71B0C" w:rsidRDefault="00AD687A" w:rsidP="00AD687A">
            <w:pPr>
              <w:tabs>
                <w:tab w:val="left" w:pos="1307"/>
                <w:tab w:val="decimal" w:pos="1608"/>
              </w:tabs>
              <w:ind w:right="57"/>
              <w:jc w:val="right"/>
            </w:pPr>
            <w:r w:rsidRPr="00F71B0C">
              <w:t>═════</w:t>
            </w:r>
          </w:p>
        </w:tc>
        <w:tc>
          <w:tcPr>
            <w:tcW w:w="1451" w:type="dxa"/>
          </w:tcPr>
          <w:p w14:paraId="7B7FD904" w14:textId="77777777" w:rsidR="00AD687A" w:rsidRPr="0025317F" w:rsidRDefault="00AD687A" w:rsidP="004D2FFF">
            <w:pPr>
              <w:tabs>
                <w:tab w:val="left" w:pos="1307"/>
                <w:tab w:val="decimal" w:pos="1608"/>
              </w:tabs>
              <w:ind w:right="57"/>
              <w:jc w:val="right"/>
            </w:pPr>
            <w:r w:rsidRPr="0025317F">
              <w:t>═════</w:t>
            </w:r>
          </w:p>
        </w:tc>
      </w:tr>
      <w:tr w:rsidR="00AD687A" w:rsidRPr="00C328EF" w14:paraId="21A3164B" w14:textId="77777777" w:rsidTr="00224B26">
        <w:tc>
          <w:tcPr>
            <w:tcW w:w="4821" w:type="dxa"/>
          </w:tcPr>
          <w:p w14:paraId="33B0F3C5" w14:textId="77777777" w:rsidR="00AD687A" w:rsidRPr="0025317F" w:rsidRDefault="00AD687A" w:rsidP="00AD687A">
            <w:pPr>
              <w:jc w:val="both"/>
            </w:pPr>
          </w:p>
        </w:tc>
        <w:tc>
          <w:tcPr>
            <w:tcW w:w="1559" w:type="dxa"/>
          </w:tcPr>
          <w:p w14:paraId="2684AD73" w14:textId="77777777" w:rsidR="00AD687A" w:rsidRPr="00AD687A" w:rsidRDefault="00AD687A" w:rsidP="00AD687A">
            <w:pPr>
              <w:tabs>
                <w:tab w:val="left" w:pos="1307"/>
                <w:tab w:val="decimal" w:pos="1608"/>
              </w:tabs>
              <w:ind w:right="57"/>
              <w:jc w:val="right"/>
            </w:pPr>
          </w:p>
        </w:tc>
        <w:tc>
          <w:tcPr>
            <w:tcW w:w="1559" w:type="dxa"/>
          </w:tcPr>
          <w:p w14:paraId="4AFEE94C" w14:textId="77777777" w:rsidR="00AD687A" w:rsidRPr="0025317F" w:rsidRDefault="00AD687A" w:rsidP="00AD687A">
            <w:pPr>
              <w:tabs>
                <w:tab w:val="left" w:pos="1307"/>
                <w:tab w:val="decimal" w:pos="1608"/>
              </w:tabs>
              <w:ind w:right="57"/>
              <w:jc w:val="right"/>
            </w:pPr>
          </w:p>
        </w:tc>
        <w:tc>
          <w:tcPr>
            <w:tcW w:w="1418" w:type="dxa"/>
          </w:tcPr>
          <w:p w14:paraId="3048DE41" w14:textId="77777777" w:rsidR="00AD687A" w:rsidRPr="00F71B0C" w:rsidRDefault="00AD687A" w:rsidP="00AD687A">
            <w:pPr>
              <w:tabs>
                <w:tab w:val="left" w:pos="1307"/>
                <w:tab w:val="decimal" w:pos="1608"/>
              </w:tabs>
              <w:ind w:right="57"/>
              <w:jc w:val="right"/>
            </w:pPr>
          </w:p>
        </w:tc>
        <w:tc>
          <w:tcPr>
            <w:tcW w:w="1451" w:type="dxa"/>
          </w:tcPr>
          <w:p w14:paraId="76832EB0" w14:textId="77777777" w:rsidR="00AD687A" w:rsidRPr="0025317F" w:rsidRDefault="00AD687A" w:rsidP="004D2FFF">
            <w:pPr>
              <w:tabs>
                <w:tab w:val="left" w:pos="1307"/>
                <w:tab w:val="decimal" w:pos="1608"/>
              </w:tabs>
              <w:ind w:right="57"/>
              <w:jc w:val="right"/>
            </w:pPr>
          </w:p>
        </w:tc>
      </w:tr>
      <w:tr w:rsidR="00AD687A" w:rsidRPr="00C328EF" w14:paraId="6601350D" w14:textId="77777777" w:rsidTr="00224B26">
        <w:tc>
          <w:tcPr>
            <w:tcW w:w="4821" w:type="dxa"/>
          </w:tcPr>
          <w:p w14:paraId="089AF492" w14:textId="77777777" w:rsidR="00AD687A" w:rsidRPr="0025317F" w:rsidRDefault="00AD687A" w:rsidP="00AD687A">
            <w:pPr>
              <w:jc w:val="both"/>
            </w:pPr>
            <w:r w:rsidRPr="0025317F">
              <w:t>Bank balances and cash</w:t>
            </w:r>
          </w:p>
        </w:tc>
        <w:tc>
          <w:tcPr>
            <w:tcW w:w="1559" w:type="dxa"/>
          </w:tcPr>
          <w:p w14:paraId="3BA536CB" w14:textId="77777777" w:rsidR="00AD687A" w:rsidRPr="00AD687A" w:rsidRDefault="00AD687A" w:rsidP="00AD687A">
            <w:pPr>
              <w:tabs>
                <w:tab w:val="left" w:pos="1307"/>
                <w:tab w:val="decimal" w:pos="1608"/>
              </w:tabs>
              <w:ind w:right="57"/>
              <w:jc w:val="right"/>
            </w:pPr>
            <w:r w:rsidRPr="00AD687A">
              <w:t>34,200</w:t>
            </w:r>
          </w:p>
        </w:tc>
        <w:tc>
          <w:tcPr>
            <w:tcW w:w="1559" w:type="dxa"/>
          </w:tcPr>
          <w:p w14:paraId="4C33D499" w14:textId="77777777" w:rsidR="00AD687A" w:rsidRPr="0025317F" w:rsidRDefault="00AD687A" w:rsidP="00AD687A">
            <w:pPr>
              <w:tabs>
                <w:tab w:val="left" w:pos="1307"/>
                <w:tab w:val="decimal" w:pos="1608"/>
              </w:tabs>
              <w:ind w:right="57"/>
              <w:jc w:val="right"/>
            </w:pPr>
            <w:r w:rsidRPr="0025317F">
              <w:t>47,915</w:t>
            </w:r>
          </w:p>
        </w:tc>
        <w:tc>
          <w:tcPr>
            <w:tcW w:w="1418" w:type="dxa"/>
          </w:tcPr>
          <w:p w14:paraId="7B6FDD07" w14:textId="77777777" w:rsidR="00AD687A" w:rsidRPr="00F71B0C" w:rsidRDefault="00AD687A" w:rsidP="00AD687A">
            <w:pPr>
              <w:tabs>
                <w:tab w:val="left" w:pos="1307"/>
                <w:tab w:val="decimal" w:pos="1608"/>
              </w:tabs>
              <w:ind w:right="57"/>
              <w:jc w:val="right"/>
            </w:pPr>
            <w:r w:rsidRPr="00F71B0C">
              <w:t>217</w:t>
            </w:r>
          </w:p>
        </w:tc>
        <w:tc>
          <w:tcPr>
            <w:tcW w:w="1451" w:type="dxa"/>
          </w:tcPr>
          <w:p w14:paraId="0D7F4185" w14:textId="77777777" w:rsidR="00AD687A" w:rsidRPr="0025317F" w:rsidRDefault="00AD687A" w:rsidP="004D2FFF">
            <w:pPr>
              <w:tabs>
                <w:tab w:val="left" w:pos="1307"/>
                <w:tab w:val="decimal" w:pos="1608"/>
              </w:tabs>
              <w:ind w:right="57"/>
              <w:jc w:val="right"/>
            </w:pPr>
            <w:r w:rsidRPr="0025317F">
              <w:t>456</w:t>
            </w:r>
          </w:p>
        </w:tc>
      </w:tr>
      <w:tr w:rsidR="00AD687A" w:rsidRPr="00C328EF" w14:paraId="07E485FE" w14:textId="77777777" w:rsidTr="00224B26">
        <w:tc>
          <w:tcPr>
            <w:tcW w:w="4821" w:type="dxa"/>
          </w:tcPr>
          <w:p w14:paraId="575D143B" w14:textId="77777777" w:rsidR="00AD687A" w:rsidRPr="00C328EF" w:rsidRDefault="00AD687A" w:rsidP="00AD687A">
            <w:pPr>
              <w:jc w:val="both"/>
              <w:rPr>
                <w:highlight w:val="yellow"/>
              </w:rPr>
            </w:pPr>
          </w:p>
        </w:tc>
        <w:tc>
          <w:tcPr>
            <w:tcW w:w="1559" w:type="dxa"/>
          </w:tcPr>
          <w:p w14:paraId="28DDF37A" w14:textId="77777777" w:rsidR="00AD687A" w:rsidRPr="00AD687A" w:rsidRDefault="00AD687A" w:rsidP="00AD687A">
            <w:pPr>
              <w:tabs>
                <w:tab w:val="left" w:pos="1307"/>
                <w:tab w:val="decimal" w:pos="1608"/>
              </w:tabs>
              <w:ind w:right="57"/>
              <w:jc w:val="right"/>
            </w:pPr>
            <w:r w:rsidRPr="00AD687A">
              <w:t>═════</w:t>
            </w:r>
          </w:p>
        </w:tc>
        <w:tc>
          <w:tcPr>
            <w:tcW w:w="1559" w:type="dxa"/>
          </w:tcPr>
          <w:p w14:paraId="65D25334" w14:textId="77777777" w:rsidR="00AD687A" w:rsidRPr="0025317F" w:rsidRDefault="00AD687A" w:rsidP="00AD687A">
            <w:pPr>
              <w:tabs>
                <w:tab w:val="left" w:pos="1307"/>
                <w:tab w:val="decimal" w:pos="1608"/>
              </w:tabs>
              <w:ind w:right="57"/>
              <w:jc w:val="right"/>
            </w:pPr>
            <w:r w:rsidRPr="0025317F">
              <w:t>═════</w:t>
            </w:r>
          </w:p>
        </w:tc>
        <w:tc>
          <w:tcPr>
            <w:tcW w:w="1418" w:type="dxa"/>
          </w:tcPr>
          <w:p w14:paraId="50CEE175" w14:textId="77777777" w:rsidR="00AD687A" w:rsidRPr="00F71B0C" w:rsidRDefault="00AD687A" w:rsidP="00AD687A">
            <w:pPr>
              <w:tabs>
                <w:tab w:val="left" w:pos="1307"/>
                <w:tab w:val="decimal" w:pos="1608"/>
              </w:tabs>
              <w:ind w:right="57"/>
              <w:jc w:val="right"/>
            </w:pPr>
            <w:r w:rsidRPr="00F71B0C">
              <w:t>═════</w:t>
            </w:r>
          </w:p>
        </w:tc>
        <w:tc>
          <w:tcPr>
            <w:tcW w:w="1451" w:type="dxa"/>
          </w:tcPr>
          <w:p w14:paraId="2BAC311A" w14:textId="77777777" w:rsidR="00AD687A" w:rsidRPr="0025317F" w:rsidRDefault="00AD687A" w:rsidP="004D2FFF">
            <w:pPr>
              <w:tabs>
                <w:tab w:val="left" w:pos="1307"/>
                <w:tab w:val="decimal" w:pos="1608"/>
              </w:tabs>
              <w:ind w:right="57"/>
              <w:jc w:val="right"/>
            </w:pPr>
            <w:r w:rsidRPr="0025317F">
              <w:t>═════</w:t>
            </w:r>
          </w:p>
        </w:tc>
      </w:tr>
    </w:tbl>
    <w:p w14:paraId="64F5290E" w14:textId="48D5B748" w:rsidR="00D1188F" w:rsidRPr="00C328EF" w:rsidRDefault="00D1188F" w:rsidP="00D1188F">
      <w:pPr>
        <w:spacing w:after="120"/>
        <w:jc w:val="center"/>
        <w:rPr>
          <w:highlight w:val="yellow"/>
        </w:rPr>
      </w:pPr>
      <w:r w:rsidRPr="008D25F6">
        <w:t>The accompanying notes on pages 3</w:t>
      </w:r>
      <w:r w:rsidR="007243EA">
        <w:t>7</w:t>
      </w:r>
      <w:r w:rsidRPr="008D25F6">
        <w:t xml:space="preserve"> to 7</w:t>
      </w:r>
      <w:r w:rsidR="007243EA">
        <w:t>2</w:t>
      </w:r>
      <w:r w:rsidRPr="008D25F6">
        <w:t xml:space="preserve"> form part of these financial</w:t>
      </w:r>
      <w:r w:rsidRPr="0025317F">
        <w:t xml:space="preserve"> statements</w:t>
      </w:r>
    </w:p>
    <w:p w14:paraId="2C34D860" w14:textId="77777777" w:rsidR="008A05D0" w:rsidRPr="00F45179" w:rsidRDefault="00514EEC" w:rsidP="008A05D0">
      <w:pPr>
        <w:jc w:val="center"/>
        <w:rPr>
          <w:b/>
        </w:rPr>
      </w:pPr>
      <w:r w:rsidRPr="00C328EF">
        <w:rPr>
          <w:highlight w:val="yellow"/>
        </w:rPr>
        <w:br w:type="page"/>
      </w:r>
      <w:r w:rsidR="00CC336F" w:rsidRPr="00F45179">
        <w:rPr>
          <w:b/>
        </w:rPr>
        <w:lastRenderedPageBreak/>
        <w:t>TRANSPORT FOR EDINBURGH LIMITED</w:t>
      </w:r>
    </w:p>
    <w:p w14:paraId="025DAFFF" w14:textId="77777777" w:rsidR="008A05D0" w:rsidRPr="00F45179" w:rsidRDefault="008A05D0" w:rsidP="008A05D0">
      <w:pPr>
        <w:jc w:val="center"/>
        <w:rPr>
          <w:b/>
        </w:rPr>
      </w:pPr>
    </w:p>
    <w:p w14:paraId="5F358A4C" w14:textId="77777777" w:rsidR="008A05D0" w:rsidRPr="00F45179" w:rsidRDefault="008A05D0" w:rsidP="008A05D0">
      <w:pPr>
        <w:jc w:val="center"/>
        <w:rPr>
          <w:b/>
        </w:rPr>
      </w:pPr>
      <w:r w:rsidRPr="00F45179">
        <w:rPr>
          <w:b/>
        </w:rPr>
        <w:t>Notes to the Financial Statements</w:t>
      </w:r>
    </w:p>
    <w:p w14:paraId="24077C73" w14:textId="77777777" w:rsidR="008A05D0" w:rsidRPr="00F45179" w:rsidRDefault="008A05D0" w:rsidP="008A05D0">
      <w:pPr>
        <w:jc w:val="center"/>
        <w:rPr>
          <w:b/>
        </w:rPr>
      </w:pPr>
    </w:p>
    <w:p w14:paraId="4E3E1567" w14:textId="77777777" w:rsidR="008A05D0" w:rsidRPr="00F45179" w:rsidRDefault="00D90B89" w:rsidP="008A05D0">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3EC7F127" w14:textId="77777777" w:rsidR="00FB268B" w:rsidRPr="00F45179" w:rsidRDefault="00FB268B" w:rsidP="008A05D0">
      <w:pPr>
        <w:jc w:val="center"/>
      </w:pPr>
    </w:p>
    <w:p w14:paraId="177B2BC1" w14:textId="77777777" w:rsidR="008A05D0" w:rsidRPr="00F45179" w:rsidRDefault="008E0FA6" w:rsidP="00A5227C">
      <w:pPr>
        <w:numPr>
          <w:ilvl w:val="0"/>
          <w:numId w:val="22"/>
        </w:numPr>
        <w:ind w:right="267"/>
        <w:jc w:val="both"/>
      </w:pPr>
      <w:r w:rsidRPr="00F45179">
        <w:rPr>
          <w:b/>
        </w:rPr>
        <w:t>Material</w:t>
      </w:r>
      <w:r w:rsidR="008A05D0" w:rsidRPr="00F45179">
        <w:rPr>
          <w:b/>
        </w:rPr>
        <w:t xml:space="preserve"> accounting policies</w:t>
      </w:r>
    </w:p>
    <w:p w14:paraId="6B4A42A2" w14:textId="77777777" w:rsidR="00593970" w:rsidRPr="00F45179" w:rsidRDefault="00593970" w:rsidP="00593970">
      <w:pPr>
        <w:ind w:left="567" w:right="267"/>
        <w:jc w:val="both"/>
      </w:pPr>
    </w:p>
    <w:p w14:paraId="1AEB318C" w14:textId="77777777" w:rsidR="00593970" w:rsidRPr="00F45179" w:rsidRDefault="00593970" w:rsidP="00593970">
      <w:pPr>
        <w:ind w:left="567" w:right="267"/>
        <w:jc w:val="both"/>
        <w:rPr>
          <w:b/>
        </w:rPr>
      </w:pPr>
      <w:r w:rsidRPr="00F45179">
        <w:rPr>
          <w:b/>
        </w:rPr>
        <w:t>General information</w:t>
      </w:r>
    </w:p>
    <w:p w14:paraId="4BD88287" w14:textId="77777777" w:rsidR="00593970" w:rsidRPr="0025317F" w:rsidRDefault="00593970" w:rsidP="00593970">
      <w:pPr>
        <w:ind w:left="567" w:right="267"/>
        <w:jc w:val="both"/>
      </w:pPr>
    </w:p>
    <w:p w14:paraId="4C145780" w14:textId="77777777" w:rsidR="008A05D0" w:rsidRPr="0025317F" w:rsidRDefault="00593970" w:rsidP="007E673D">
      <w:pPr>
        <w:ind w:left="567"/>
        <w:jc w:val="both"/>
      </w:pPr>
      <w:r w:rsidRPr="0025317F">
        <w:rPr>
          <w:rFonts w:cs="Arial"/>
        </w:rPr>
        <w:t>Transport for Edinburgh</w:t>
      </w:r>
      <w:r w:rsidR="000257CA">
        <w:rPr>
          <w:rFonts w:cs="Arial"/>
        </w:rPr>
        <w:t xml:space="preserve"> Limited</w:t>
      </w:r>
      <w:r w:rsidRPr="0025317F">
        <w:rPr>
          <w:rFonts w:cs="Arial"/>
        </w:rPr>
        <w:t xml:space="preserve"> </w:t>
      </w:r>
      <w:r w:rsidRPr="0025317F">
        <w:t xml:space="preserve">is a </w:t>
      </w:r>
      <w:r w:rsidR="000257CA">
        <w:t xml:space="preserve">private </w:t>
      </w:r>
      <w:r w:rsidRPr="0025317F">
        <w:t xml:space="preserve">limited company incorporated in Scotland. The address of its registered office and principal place of business are disclosed on page 2. The principal activities of the </w:t>
      </w:r>
      <w:r w:rsidR="00EC41C8" w:rsidRPr="0025317F">
        <w:t>C</w:t>
      </w:r>
      <w:r w:rsidRPr="0025317F">
        <w:t>ompany are described within the Strategic Report on page 3.</w:t>
      </w:r>
    </w:p>
    <w:p w14:paraId="436D96E7" w14:textId="77777777" w:rsidR="00593970" w:rsidRPr="0025317F" w:rsidRDefault="00593970" w:rsidP="00593970">
      <w:pPr>
        <w:ind w:left="567" w:right="267"/>
        <w:jc w:val="both"/>
      </w:pPr>
    </w:p>
    <w:p w14:paraId="5E42E7BE" w14:textId="77777777" w:rsidR="00593970" w:rsidRPr="0025317F" w:rsidRDefault="00593970" w:rsidP="00593970">
      <w:pPr>
        <w:ind w:left="567"/>
        <w:jc w:val="both"/>
        <w:rPr>
          <w:rFonts w:cs="Arial"/>
          <w:b/>
        </w:rPr>
      </w:pPr>
      <w:r w:rsidRPr="0025317F">
        <w:rPr>
          <w:rFonts w:cs="Arial"/>
          <w:b/>
        </w:rPr>
        <w:t>Basis of preparation</w:t>
      </w:r>
    </w:p>
    <w:p w14:paraId="47C15D55" w14:textId="77777777" w:rsidR="00593970" w:rsidRPr="0025317F" w:rsidRDefault="00593970" w:rsidP="00593970">
      <w:pPr>
        <w:ind w:left="567" w:right="267"/>
        <w:jc w:val="both"/>
      </w:pPr>
    </w:p>
    <w:p w14:paraId="602662A3" w14:textId="77777777" w:rsidR="00420163" w:rsidRDefault="00593970" w:rsidP="005B69FD">
      <w:pPr>
        <w:ind w:left="567"/>
        <w:jc w:val="both"/>
      </w:pPr>
      <w:r w:rsidRPr="0025317F">
        <w:rPr>
          <w:rFonts w:cs="Arial"/>
        </w:rPr>
        <w:t>The consolidated financial statements of Transport for Edinburgh Limited have been prepared in accordance with IFRSs, IFRIC Interpretations and the Companies Act 2006 applicable to companies reporting under IFRSs.</w:t>
      </w:r>
      <w:r w:rsidR="005B69FD" w:rsidRPr="0025317F">
        <w:rPr>
          <w:rFonts w:cs="Arial"/>
        </w:rPr>
        <w:t xml:space="preserve"> </w:t>
      </w:r>
      <w:r w:rsidRPr="0025317F">
        <w:t xml:space="preserve">The preparation of financial statements in conformity with IFRS requires the use of certain critical accounting estimates. It also requires management to exercise its judgement in the process of applying the </w:t>
      </w:r>
      <w:r w:rsidR="00FC637A" w:rsidRPr="0025317F">
        <w:t>G</w:t>
      </w:r>
      <w:r w:rsidRPr="0025317F">
        <w:t>roup’s accounting policies.</w:t>
      </w:r>
      <w:r w:rsidR="005B69FD" w:rsidRPr="0025317F">
        <w:t xml:space="preserve"> </w:t>
      </w:r>
      <w:r w:rsidRPr="0025317F">
        <w:rPr>
          <w:rFonts w:cs="Arial"/>
        </w:rPr>
        <w:t>The consolidated financial statements have been prepared under the historical cost convention, as modified by the revaluation of land and buildings and applicable financial instruments.</w:t>
      </w:r>
    </w:p>
    <w:p w14:paraId="3BA30279" w14:textId="77777777" w:rsidR="00F57409" w:rsidRDefault="00F57409" w:rsidP="005B69FD">
      <w:pPr>
        <w:ind w:left="567"/>
        <w:jc w:val="both"/>
      </w:pPr>
    </w:p>
    <w:p w14:paraId="77A2AE13" w14:textId="77777777" w:rsidR="00F57409" w:rsidRPr="0025317F" w:rsidRDefault="00F57409" w:rsidP="005B69FD">
      <w:pPr>
        <w:ind w:left="567"/>
        <w:jc w:val="both"/>
      </w:pPr>
      <w:r>
        <w:t>The financial statements represent the 52 weeks ended 28 December 2024 (prior period represents the 52 weeks ended 30 December 2023).</w:t>
      </w:r>
    </w:p>
    <w:p w14:paraId="36FD121A" w14:textId="77777777" w:rsidR="00593970" w:rsidRPr="0025317F" w:rsidRDefault="00593970" w:rsidP="00593970">
      <w:pPr>
        <w:ind w:left="576"/>
        <w:jc w:val="both"/>
        <w:rPr>
          <w:rFonts w:cs="Arial"/>
          <w:b/>
        </w:rPr>
      </w:pPr>
    </w:p>
    <w:p w14:paraId="25AC4B62" w14:textId="77777777" w:rsidR="00593970" w:rsidRPr="0025317F" w:rsidRDefault="00593970" w:rsidP="00593970">
      <w:pPr>
        <w:ind w:left="576"/>
        <w:jc w:val="both"/>
        <w:rPr>
          <w:rFonts w:cs="Arial"/>
          <w:b/>
        </w:rPr>
      </w:pPr>
      <w:r w:rsidRPr="0025317F">
        <w:rPr>
          <w:rFonts w:cs="Arial"/>
          <w:b/>
        </w:rPr>
        <w:t>Adoption of new and revised standards</w:t>
      </w:r>
    </w:p>
    <w:p w14:paraId="5DD4C392" w14:textId="77777777" w:rsidR="005B69FD" w:rsidRPr="00C328EF" w:rsidRDefault="005B69FD" w:rsidP="00593970">
      <w:pPr>
        <w:ind w:left="576"/>
        <w:jc w:val="both"/>
        <w:rPr>
          <w:rFonts w:cs="Arial"/>
          <w:highlight w:val="yellow"/>
        </w:rPr>
      </w:pPr>
    </w:p>
    <w:p w14:paraId="465F9121" w14:textId="77777777" w:rsidR="00E52089" w:rsidRPr="00E52089" w:rsidRDefault="008A5E96" w:rsidP="00E52089">
      <w:pPr>
        <w:ind w:left="567" w:right="11"/>
        <w:jc w:val="both"/>
        <w:rPr>
          <w:rFonts w:cs="Arial"/>
          <w:b/>
        </w:rPr>
      </w:pPr>
      <w:r w:rsidRPr="0025317F">
        <w:rPr>
          <w:rFonts w:cs="Arial"/>
        </w:rPr>
        <w:t xml:space="preserve">The following standards and interpretations are mandatory for the first time for the </w:t>
      </w:r>
      <w:r w:rsidR="00E52089">
        <w:rPr>
          <w:rFonts w:cs="Arial"/>
        </w:rPr>
        <w:t>period</w:t>
      </w:r>
      <w:r w:rsidRPr="0025317F">
        <w:rPr>
          <w:rFonts w:cs="Arial"/>
        </w:rPr>
        <w:t xml:space="preserve"> ended </w:t>
      </w:r>
      <w:r w:rsidR="00E52089">
        <w:rPr>
          <w:rFonts w:cs="Arial"/>
        </w:rPr>
        <w:t>28</w:t>
      </w:r>
      <w:r w:rsidRPr="0025317F">
        <w:rPr>
          <w:rFonts w:cs="Arial"/>
        </w:rPr>
        <w:t xml:space="preserve"> December 202</w:t>
      </w:r>
      <w:r w:rsidR="0025317F" w:rsidRPr="0025317F">
        <w:rPr>
          <w:rFonts w:cs="Arial"/>
        </w:rPr>
        <w:t>4</w:t>
      </w:r>
      <w:r w:rsidRPr="0025317F">
        <w:rPr>
          <w:rFonts w:cs="Arial"/>
        </w:rPr>
        <w:t xml:space="preserve"> but are either not applicable or have no material impact on the Group financial </w:t>
      </w:r>
      <w:r w:rsidRPr="00E52089">
        <w:rPr>
          <w:rFonts w:cs="Arial"/>
        </w:rPr>
        <w:t>statements</w:t>
      </w:r>
      <w:r w:rsidR="00E52089" w:rsidRPr="00E52089">
        <w:rPr>
          <w:rFonts w:cs="Arial"/>
        </w:rPr>
        <w:t xml:space="preserve">; </w:t>
      </w:r>
      <w:bookmarkStart w:id="24" w:name="_Hlk190605869"/>
      <w:bookmarkStart w:id="25" w:name="_Hlk190603861"/>
      <w:r w:rsidR="00E52089" w:rsidRPr="00E52089">
        <w:rPr>
          <w:rFonts w:cs="Arial"/>
        </w:rPr>
        <w:t>Non-Current Liabilities with Covenants (Amendments to IAS1, Practice Statement 2).</w:t>
      </w:r>
      <w:bookmarkEnd w:id="24"/>
    </w:p>
    <w:bookmarkEnd w:id="25"/>
    <w:p w14:paraId="5B4F77B4" w14:textId="77777777" w:rsidR="00FB5B88" w:rsidRPr="00E52089" w:rsidRDefault="00FB5B88" w:rsidP="002D6CDF">
      <w:pPr>
        <w:ind w:left="567" w:right="11"/>
        <w:jc w:val="both"/>
        <w:rPr>
          <w:rFonts w:cs="Arial"/>
        </w:rPr>
      </w:pPr>
    </w:p>
    <w:p w14:paraId="12B010A1" w14:textId="77777777" w:rsidR="008A5E96" w:rsidRPr="00E52089" w:rsidRDefault="008A5E96" w:rsidP="008A5E96">
      <w:pPr>
        <w:ind w:left="567" w:right="11"/>
        <w:jc w:val="both"/>
        <w:rPr>
          <w:rFonts w:cs="Arial"/>
        </w:rPr>
      </w:pPr>
      <w:r w:rsidRPr="00E52089">
        <w:rPr>
          <w:rFonts w:cs="Arial"/>
        </w:rPr>
        <w:t>The Group has adopted, where applicable, the following new and amended IFRSs as of 1 January 202</w:t>
      </w:r>
      <w:r w:rsidR="00E52089" w:rsidRPr="00E52089">
        <w:rPr>
          <w:rFonts w:cs="Arial"/>
        </w:rPr>
        <w:t>4</w:t>
      </w:r>
      <w:r w:rsidRPr="00E52089">
        <w:rPr>
          <w:rFonts w:cs="Arial"/>
        </w:rPr>
        <w:t>:</w:t>
      </w:r>
    </w:p>
    <w:p w14:paraId="077ABAF9" w14:textId="77777777" w:rsidR="00FB5B88" w:rsidRPr="00E52089" w:rsidRDefault="00E52089" w:rsidP="00A5227C">
      <w:pPr>
        <w:numPr>
          <w:ilvl w:val="0"/>
          <w:numId w:val="30"/>
        </w:numPr>
        <w:ind w:left="993" w:hanging="426"/>
        <w:jc w:val="both"/>
        <w:rPr>
          <w:rFonts w:cs="Arial"/>
        </w:rPr>
      </w:pPr>
      <w:bookmarkStart w:id="26" w:name="_Hlk190603898"/>
      <w:r w:rsidRPr="00E52089">
        <w:rPr>
          <w:rFonts w:cs="Arial"/>
        </w:rPr>
        <w:t>Amendments to IAS 7; Statement of Cash Flows and IFRS 7 Financial Instruments (Disclosures – Supplier Finance Arrangements)</w:t>
      </w:r>
      <w:bookmarkEnd w:id="26"/>
    </w:p>
    <w:p w14:paraId="0A6384B4" w14:textId="77777777" w:rsidR="00FB5B88" w:rsidRPr="00E52089" w:rsidRDefault="00E52089" w:rsidP="00A5227C">
      <w:pPr>
        <w:numPr>
          <w:ilvl w:val="0"/>
          <w:numId w:val="30"/>
        </w:numPr>
        <w:ind w:left="993" w:hanging="426"/>
        <w:jc w:val="both"/>
        <w:rPr>
          <w:rFonts w:cs="Arial"/>
        </w:rPr>
      </w:pPr>
      <w:r w:rsidRPr="00E52089">
        <w:rPr>
          <w:rFonts w:cs="Arial"/>
        </w:rPr>
        <w:t xml:space="preserve">Amendments to </w:t>
      </w:r>
      <w:r w:rsidR="000257CA">
        <w:rPr>
          <w:rFonts w:cs="Arial"/>
        </w:rPr>
        <w:t>IFRS 16; Leases (Lease Liability in a Sale and Leaseback)</w:t>
      </w:r>
    </w:p>
    <w:p w14:paraId="26E6A13E" w14:textId="77777777" w:rsidR="00E52089" w:rsidRPr="0008397D" w:rsidRDefault="00E52089" w:rsidP="00A5227C">
      <w:pPr>
        <w:numPr>
          <w:ilvl w:val="0"/>
          <w:numId w:val="30"/>
        </w:numPr>
        <w:ind w:left="993" w:hanging="426"/>
        <w:jc w:val="both"/>
        <w:rPr>
          <w:rFonts w:cs="Arial"/>
        </w:rPr>
      </w:pPr>
      <w:bookmarkStart w:id="27" w:name="_Hlk190603942"/>
      <w:r w:rsidRPr="00E52089">
        <w:rPr>
          <w:rFonts w:cs="Arial"/>
        </w:rPr>
        <w:t>Amendments</w:t>
      </w:r>
      <w:r w:rsidRPr="0008397D">
        <w:rPr>
          <w:rFonts w:cs="Arial"/>
        </w:rPr>
        <w:t xml:space="preserve"> to IAS 1; Presentation of Financial Statements: Classification of Liabilities as Current or Non-Current</w:t>
      </w:r>
      <w:bookmarkEnd w:id="27"/>
    </w:p>
    <w:p w14:paraId="78C495AC" w14:textId="77777777" w:rsidR="008A5E96" w:rsidRPr="00C328EF" w:rsidRDefault="008A5E96" w:rsidP="008A5E96">
      <w:pPr>
        <w:autoSpaceDE w:val="0"/>
        <w:autoSpaceDN w:val="0"/>
        <w:adjustRightInd w:val="0"/>
        <w:ind w:left="720"/>
        <w:jc w:val="both"/>
        <w:rPr>
          <w:rFonts w:cs="Arial"/>
          <w:highlight w:val="yellow"/>
        </w:rPr>
      </w:pPr>
    </w:p>
    <w:p w14:paraId="28AED2A2" w14:textId="77777777" w:rsidR="0076162A" w:rsidRPr="0025317F" w:rsidRDefault="008A5E96" w:rsidP="0076162A">
      <w:pPr>
        <w:autoSpaceDE w:val="0"/>
        <w:autoSpaceDN w:val="0"/>
        <w:adjustRightInd w:val="0"/>
        <w:ind w:left="567"/>
        <w:jc w:val="both"/>
        <w:rPr>
          <w:rFonts w:cs="Arial"/>
        </w:rPr>
      </w:pPr>
      <w:r w:rsidRPr="0025317F">
        <w:rPr>
          <w:rFonts w:cs="Arial"/>
        </w:rPr>
        <w:t>Other new standards, amendments to standards and interpretations that are mandatory for the first time in 202</w:t>
      </w:r>
      <w:r w:rsidR="0025317F" w:rsidRPr="0025317F">
        <w:rPr>
          <w:rFonts w:cs="Arial"/>
        </w:rPr>
        <w:t>4</w:t>
      </w:r>
      <w:r w:rsidRPr="0025317F">
        <w:rPr>
          <w:rFonts w:cs="Arial"/>
        </w:rPr>
        <w:t xml:space="preserve"> are considered to have no significant or material effect on the </w:t>
      </w:r>
      <w:r w:rsidR="000257CA">
        <w:rPr>
          <w:rFonts w:cs="Arial"/>
        </w:rPr>
        <w:t>group</w:t>
      </w:r>
      <w:r w:rsidR="000257CA" w:rsidRPr="0025317F">
        <w:rPr>
          <w:rFonts w:cs="Arial"/>
        </w:rPr>
        <w:t xml:space="preserve">’s </w:t>
      </w:r>
      <w:r w:rsidRPr="0025317F">
        <w:rPr>
          <w:rFonts w:cs="Arial"/>
        </w:rPr>
        <w:t>financial statements.</w:t>
      </w:r>
    </w:p>
    <w:p w14:paraId="55D36119" w14:textId="77777777" w:rsidR="008A5E96" w:rsidRPr="0025317F" w:rsidRDefault="008A5E96" w:rsidP="0076162A">
      <w:pPr>
        <w:autoSpaceDE w:val="0"/>
        <w:autoSpaceDN w:val="0"/>
        <w:adjustRightInd w:val="0"/>
        <w:ind w:left="567"/>
        <w:jc w:val="both"/>
        <w:rPr>
          <w:rFonts w:cs="Arial"/>
        </w:rPr>
      </w:pPr>
    </w:p>
    <w:p w14:paraId="2940EA87" w14:textId="77777777" w:rsidR="0076162A" w:rsidRPr="0025317F" w:rsidRDefault="0076162A" w:rsidP="0076162A">
      <w:pPr>
        <w:ind w:left="567"/>
        <w:jc w:val="both"/>
        <w:rPr>
          <w:rFonts w:cs="Arial"/>
          <w:b/>
        </w:rPr>
      </w:pPr>
      <w:r w:rsidRPr="0025317F">
        <w:rPr>
          <w:rFonts w:cs="Arial"/>
          <w:b/>
        </w:rPr>
        <w:t>Guidance in issue but not in force</w:t>
      </w:r>
    </w:p>
    <w:p w14:paraId="3A720CD8" w14:textId="77777777" w:rsidR="0076162A" w:rsidRPr="0025317F" w:rsidRDefault="0076162A" w:rsidP="0076162A">
      <w:pPr>
        <w:ind w:left="567"/>
        <w:jc w:val="both"/>
        <w:rPr>
          <w:rFonts w:cs="Arial"/>
          <w:b/>
        </w:rPr>
      </w:pPr>
    </w:p>
    <w:p w14:paraId="44637F1A" w14:textId="77777777" w:rsidR="0076162A" w:rsidRPr="0025317F" w:rsidRDefault="0076162A" w:rsidP="0076162A">
      <w:pPr>
        <w:ind w:left="567"/>
        <w:jc w:val="both"/>
        <w:rPr>
          <w:rFonts w:cs="Arial"/>
        </w:rPr>
      </w:pPr>
      <w:r w:rsidRPr="0025317F">
        <w:rPr>
          <w:rFonts w:cs="Arial"/>
        </w:rPr>
        <w:t xml:space="preserve">IAS 8 requires disclosure of guidance in issue but not in force. The minimum disclosure relates to guidance issued by </w:t>
      </w:r>
      <w:r w:rsidR="00E52089">
        <w:rPr>
          <w:rFonts w:cs="Arial"/>
        </w:rPr>
        <w:t>28</w:t>
      </w:r>
      <w:r w:rsidRPr="0025317F">
        <w:rPr>
          <w:rFonts w:cs="Arial"/>
        </w:rPr>
        <w:t xml:space="preserve"> December 20</w:t>
      </w:r>
      <w:r w:rsidR="001F1B1A" w:rsidRPr="0025317F">
        <w:rPr>
          <w:rFonts w:cs="Arial"/>
        </w:rPr>
        <w:t>2</w:t>
      </w:r>
      <w:r w:rsidR="0025317F">
        <w:rPr>
          <w:rFonts w:cs="Arial"/>
        </w:rPr>
        <w:t>4</w:t>
      </w:r>
      <w:r w:rsidRPr="0025317F">
        <w:rPr>
          <w:rFonts w:cs="Arial"/>
        </w:rPr>
        <w:t>, and with potential effect.</w:t>
      </w:r>
    </w:p>
    <w:tbl>
      <w:tblPr>
        <w:tblW w:w="9605" w:type="dxa"/>
        <w:tblInd w:w="709" w:type="dxa"/>
        <w:tblLook w:val="04A0" w:firstRow="1" w:lastRow="0" w:firstColumn="1" w:lastColumn="0" w:noHBand="0" w:noVBand="1"/>
      </w:tblPr>
      <w:tblGrid>
        <w:gridCol w:w="7240"/>
        <w:gridCol w:w="381"/>
        <w:gridCol w:w="142"/>
        <w:gridCol w:w="1842"/>
      </w:tblGrid>
      <w:tr w:rsidR="00570A21" w:rsidRPr="0025317F" w14:paraId="4BDE16C5" w14:textId="77777777" w:rsidTr="006609E2">
        <w:tc>
          <w:tcPr>
            <w:tcW w:w="7240" w:type="dxa"/>
          </w:tcPr>
          <w:p w14:paraId="380FF0F9" w14:textId="77777777" w:rsidR="00570A21" w:rsidRPr="0025317F" w:rsidRDefault="00570A21" w:rsidP="00570A21">
            <w:pPr>
              <w:ind w:left="-113" w:right="11"/>
              <w:rPr>
                <w:rFonts w:cs="Arial"/>
                <w:b/>
              </w:rPr>
            </w:pPr>
          </w:p>
          <w:p w14:paraId="569C42D8" w14:textId="77777777" w:rsidR="00570A21" w:rsidRPr="0025317F" w:rsidRDefault="00570A21" w:rsidP="00570A21">
            <w:pPr>
              <w:ind w:left="-113" w:right="11"/>
              <w:rPr>
                <w:rFonts w:cs="Arial"/>
                <w:b/>
              </w:rPr>
            </w:pPr>
            <w:r w:rsidRPr="0025317F">
              <w:rPr>
                <w:rFonts w:cs="Arial"/>
                <w:b/>
              </w:rPr>
              <w:t>International Accounting Standards and Interpretations</w:t>
            </w:r>
          </w:p>
        </w:tc>
        <w:tc>
          <w:tcPr>
            <w:tcW w:w="2365" w:type="dxa"/>
            <w:gridSpan w:val="3"/>
          </w:tcPr>
          <w:p w14:paraId="43BD2FC3" w14:textId="77777777" w:rsidR="008034D0" w:rsidRPr="0025317F" w:rsidRDefault="00570A21" w:rsidP="00FB5B88">
            <w:pPr>
              <w:ind w:right="-57"/>
              <w:jc w:val="both"/>
              <w:rPr>
                <w:rFonts w:cs="Arial"/>
                <w:b/>
              </w:rPr>
            </w:pPr>
            <w:r w:rsidRPr="0025317F">
              <w:rPr>
                <w:rFonts w:cs="Arial"/>
                <w:b/>
              </w:rPr>
              <w:t>Effective for periods beginning on or after</w:t>
            </w:r>
          </w:p>
        </w:tc>
      </w:tr>
      <w:tr w:rsidR="00570A21" w:rsidRPr="002E3999" w14:paraId="050B8FA7" w14:textId="77777777" w:rsidTr="006609E2">
        <w:tc>
          <w:tcPr>
            <w:tcW w:w="7621" w:type="dxa"/>
            <w:gridSpan w:val="2"/>
          </w:tcPr>
          <w:p w14:paraId="221C4F9F" w14:textId="77777777" w:rsidR="00570A21" w:rsidRPr="002E3999" w:rsidRDefault="00570A21" w:rsidP="00FB5B88">
            <w:pPr>
              <w:rPr>
                <w:rFonts w:cs="Arial"/>
              </w:rPr>
            </w:pPr>
          </w:p>
        </w:tc>
        <w:tc>
          <w:tcPr>
            <w:tcW w:w="1984" w:type="dxa"/>
            <w:gridSpan w:val="2"/>
          </w:tcPr>
          <w:p w14:paraId="33274840" w14:textId="77777777" w:rsidR="00570A21" w:rsidRPr="002E3999" w:rsidRDefault="00570A21" w:rsidP="00570A21">
            <w:pPr>
              <w:spacing w:line="256" w:lineRule="auto"/>
              <w:jc w:val="both"/>
              <w:rPr>
                <w:rFonts w:cs="Arial"/>
              </w:rPr>
            </w:pPr>
          </w:p>
        </w:tc>
      </w:tr>
      <w:tr w:rsidR="00570A21" w:rsidRPr="002E3999" w14:paraId="2166B781" w14:textId="77777777" w:rsidTr="00E52089">
        <w:tc>
          <w:tcPr>
            <w:tcW w:w="7763" w:type="dxa"/>
            <w:gridSpan w:val="3"/>
          </w:tcPr>
          <w:p w14:paraId="2792A953" w14:textId="77777777" w:rsidR="00570A21" w:rsidRPr="002E3999" w:rsidRDefault="00E52089" w:rsidP="00A5227C">
            <w:pPr>
              <w:numPr>
                <w:ilvl w:val="0"/>
                <w:numId w:val="25"/>
              </w:numPr>
              <w:ind w:left="303"/>
              <w:rPr>
                <w:rFonts w:cs="Arial"/>
              </w:rPr>
            </w:pPr>
            <w:bookmarkStart w:id="28" w:name="_Hlk164415485"/>
            <w:r w:rsidRPr="002E3999">
              <w:rPr>
                <w:rFonts w:cs="Arial"/>
              </w:rPr>
              <w:t>Amendments to IAS 21; The Effects of Changes in Foreign Exchange Rates (Lack of exchangeability)</w:t>
            </w:r>
          </w:p>
        </w:tc>
        <w:tc>
          <w:tcPr>
            <w:tcW w:w="1842" w:type="dxa"/>
          </w:tcPr>
          <w:p w14:paraId="40769CB6" w14:textId="77777777" w:rsidR="00570A21" w:rsidRPr="002E3999" w:rsidRDefault="00570A21" w:rsidP="00E52089">
            <w:pPr>
              <w:jc w:val="both"/>
              <w:rPr>
                <w:rFonts w:cs="Arial"/>
              </w:rPr>
            </w:pPr>
            <w:r w:rsidRPr="002E3999">
              <w:rPr>
                <w:rFonts w:cs="Arial"/>
              </w:rPr>
              <w:t>1 January 202</w:t>
            </w:r>
            <w:r w:rsidR="00E52089" w:rsidRPr="002E3999">
              <w:rPr>
                <w:rFonts w:cs="Arial"/>
              </w:rPr>
              <w:t>5</w:t>
            </w:r>
            <w:r w:rsidR="00813D7D" w:rsidRPr="002E3999">
              <w:rPr>
                <w:rFonts w:cs="Arial"/>
              </w:rPr>
              <w:t>*</w:t>
            </w:r>
          </w:p>
        </w:tc>
      </w:tr>
      <w:tr w:rsidR="00570A21" w:rsidRPr="002E3999" w14:paraId="5F141807" w14:textId="77777777" w:rsidTr="00E52089">
        <w:tc>
          <w:tcPr>
            <w:tcW w:w="7763" w:type="dxa"/>
            <w:gridSpan w:val="3"/>
          </w:tcPr>
          <w:p w14:paraId="7C9A8AFA" w14:textId="77777777" w:rsidR="00570A21" w:rsidRPr="002E3999" w:rsidRDefault="00E52089" w:rsidP="00A5227C">
            <w:pPr>
              <w:numPr>
                <w:ilvl w:val="0"/>
                <w:numId w:val="25"/>
              </w:numPr>
              <w:ind w:left="303"/>
              <w:rPr>
                <w:rFonts w:cs="Arial"/>
              </w:rPr>
            </w:pPr>
            <w:bookmarkStart w:id="29" w:name="_Hlk187236638"/>
            <w:bookmarkEnd w:id="28"/>
            <w:r w:rsidRPr="002E3999">
              <w:rPr>
                <w:rFonts w:cs="Arial"/>
              </w:rPr>
              <w:t>Amendments to IFRS 9; Financial Instruments and IFRS 7; Financial Instruments: Disclosures (</w:t>
            </w:r>
            <w:bookmarkEnd w:id="29"/>
            <w:r w:rsidRPr="002E3999">
              <w:rPr>
                <w:rFonts w:cs="Arial"/>
              </w:rPr>
              <w:t>Amendments to the Classification and Measurement of Financial Instruments)</w:t>
            </w:r>
          </w:p>
        </w:tc>
        <w:tc>
          <w:tcPr>
            <w:tcW w:w="1842" w:type="dxa"/>
          </w:tcPr>
          <w:p w14:paraId="4FD2A516" w14:textId="77777777" w:rsidR="00570A21" w:rsidRPr="002E3999" w:rsidRDefault="00570A21" w:rsidP="00E52089">
            <w:pPr>
              <w:jc w:val="both"/>
              <w:rPr>
                <w:rFonts w:cs="Arial"/>
              </w:rPr>
            </w:pPr>
            <w:r w:rsidRPr="002E3999">
              <w:rPr>
                <w:rFonts w:cs="Arial"/>
              </w:rPr>
              <w:t>1 January 202</w:t>
            </w:r>
            <w:r w:rsidR="00E52089" w:rsidRPr="002E3999">
              <w:rPr>
                <w:rFonts w:cs="Arial"/>
              </w:rPr>
              <w:t>6</w:t>
            </w:r>
            <w:r w:rsidR="00813D7D" w:rsidRPr="002E3999">
              <w:rPr>
                <w:rFonts w:cs="Arial"/>
              </w:rPr>
              <w:t>*</w:t>
            </w:r>
          </w:p>
        </w:tc>
      </w:tr>
      <w:tr w:rsidR="00570A21" w:rsidRPr="002E3999" w14:paraId="65BC1901" w14:textId="77777777" w:rsidTr="00E52089">
        <w:tc>
          <w:tcPr>
            <w:tcW w:w="7763" w:type="dxa"/>
            <w:gridSpan w:val="3"/>
          </w:tcPr>
          <w:p w14:paraId="20EAB8FC" w14:textId="77777777" w:rsidR="00570A21" w:rsidRPr="002E3999" w:rsidRDefault="00E52089" w:rsidP="00A5227C">
            <w:pPr>
              <w:numPr>
                <w:ilvl w:val="0"/>
                <w:numId w:val="25"/>
              </w:numPr>
              <w:ind w:left="303"/>
              <w:rPr>
                <w:rFonts w:cs="Arial"/>
              </w:rPr>
            </w:pPr>
            <w:r w:rsidRPr="002E3999">
              <w:rPr>
                <w:rFonts w:cs="Arial"/>
              </w:rPr>
              <w:t>Annual Improvements to IFRS Accounting Standards – Volume 11</w:t>
            </w:r>
          </w:p>
        </w:tc>
        <w:tc>
          <w:tcPr>
            <w:tcW w:w="1842" w:type="dxa"/>
          </w:tcPr>
          <w:p w14:paraId="67C7595C" w14:textId="77777777" w:rsidR="00570A21" w:rsidRPr="002E3999" w:rsidRDefault="00570A21" w:rsidP="00E52089">
            <w:pPr>
              <w:jc w:val="both"/>
              <w:rPr>
                <w:rFonts w:cs="Arial"/>
              </w:rPr>
            </w:pPr>
            <w:r w:rsidRPr="002E3999">
              <w:rPr>
                <w:rFonts w:cs="Arial"/>
              </w:rPr>
              <w:t>1 January 202</w:t>
            </w:r>
            <w:r w:rsidR="00E52089" w:rsidRPr="002E3999">
              <w:rPr>
                <w:rFonts w:cs="Arial"/>
              </w:rPr>
              <w:t>6</w:t>
            </w:r>
            <w:r w:rsidR="008034D0" w:rsidRPr="002E3999">
              <w:rPr>
                <w:rFonts w:cs="Arial"/>
              </w:rPr>
              <w:t>*</w:t>
            </w:r>
          </w:p>
        </w:tc>
      </w:tr>
      <w:tr w:rsidR="008E0FA6" w:rsidRPr="002E3999" w14:paraId="4A5908ED" w14:textId="77777777" w:rsidTr="00E52089">
        <w:tc>
          <w:tcPr>
            <w:tcW w:w="7763" w:type="dxa"/>
            <w:gridSpan w:val="3"/>
          </w:tcPr>
          <w:p w14:paraId="7C181B7E" w14:textId="77777777" w:rsidR="00E52089" w:rsidRPr="002E3999" w:rsidRDefault="00E52089" w:rsidP="00A5227C">
            <w:pPr>
              <w:numPr>
                <w:ilvl w:val="0"/>
                <w:numId w:val="25"/>
              </w:numPr>
              <w:ind w:left="303"/>
              <w:rPr>
                <w:rFonts w:cs="Arial"/>
              </w:rPr>
            </w:pPr>
            <w:r w:rsidRPr="002E3999">
              <w:rPr>
                <w:rFonts w:cs="Arial"/>
              </w:rPr>
              <w:t>Amendments to IFRS 18; Presentation and Disclosure in Financial Statements</w:t>
            </w:r>
          </w:p>
          <w:p w14:paraId="43E3B2B3" w14:textId="77777777" w:rsidR="00E52089" w:rsidRPr="002E3999" w:rsidRDefault="00E52089" w:rsidP="00A5227C">
            <w:pPr>
              <w:numPr>
                <w:ilvl w:val="0"/>
                <w:numId w:val="25"/>
              </w:numPr>
              <w:ind w:left="303"/>
              <w:rPr>
                <w:rFonts w:cs="Arial"/>
              </w:rPr>
            </w:pPr>
            <w:r w:rsidRPr="002E3999">
              <w:rPr>
                <w:rFonts w:cs="Arial"/>
              </w:rPr>
              <w:t>Amendments to IFRS 19; Subsidiaries without Public Accountability: Disclosures</w:t>
            </w:r>
          </w:p>
        </w:tc>
        <w:tc>
          <w:tcPr>
            <w:tcW w:w="1842" w:type="dxa"/>
          </w:tcPr>
          <w:p w14:paraId="114B55AC" w14:textId="77777777" w:rsidR="008E0FA6" w:rsidRPr="002E3999" w:rsidRDefault="008E0FA6" w:rsidP="00E52089">
            <w:pPr>
              <w:jc w:val="both"/>
              <w:rPr>
                <w:rFonts w:cs="Arial"/>
              </w:rPr>
            </w:pPr>
            <w:r w:rsidRPr="002E3999">
              <w:rPr>
                <w:rFonts w:cs="Arial"/>
              </w:rPr>
              <w:t>1 January 202</w:t>
            </w:r>
            <w:r w:rsidR="00E52089" w:rsidRPr="002E3999">
              <w:rPr>
                <w:rFonts w:cs="Arial"/>
              </w:rPr>
              <w:t>7*</w:t>
            </w:r>
          </w:p>
          <w:p w14:paraId="12225665" w14:textId="77777777" w:rsidR="00E52089" w:rsidRPr="002E3999" w:rsidRDefault="00E52089" w:rsidP="00E52089">
            <w:pPr>
              <w:jc w:val="both"/>
              <w:rPr>
                <w:rFonts w:cs="Arial"/>
              </w:rPr>
            </w:pPr>
            <w:r w:rsidRPr="002E3999">
              <w:rPr>
                <w:rFonts w:cs="Arial"/>
              </w:rPr>
              <w:t>1 January 2027*</w:t>
            </w:r>
          </w:p>
        </w:tc>
      </w:tr>
    </w:tbl>
    <w:p w14:paraId="54B85AB1" w14:textId="77777777" w:rsidR="006F33AF" w:rsidRPr="002E3999" w:rsidRDefault="006F33AF" w:rsidP="006F33AF">
      <w:pPr>
        <w:ind w:left="567"/>
        <w:jc w:val="both"/>
        <w:rPr>
          <w:rFonts w:cs="Arial"/>
          <w:sz w:val="16"/>
          <w:szCs w:val="16"/>
        </w:rPr>
      </w:pPr>
    </w:p>
    <w:p w14:paraId="3F7C1609" w14:textId="77777777" w:rsidR="004C2D64" w:rsidRPr="002E3999" w:rsidRDefault="004C2D64" w:rsidP="004C2D64">
      <w:pPr>
        <w:ind w:left="567" w:right="11"/>
        <w:jc w:val="both"/>
        <w:rPr>
          <w:rFonts w:cs="Arial"/>
          <w:sz w:val="16"/>
          <w:szCs w:val="16"/>
        </w:rPr>
      </w:pPr>
      <w:r w:rsidRPr="002E3999">
        <w:rPr>
          <w:rFonts w:cs="Arial"/>
          <w:sz w:val="16"/>
          <w:szCs w:val="16"/>
        </w:rPr>
        <w:t>*Not yet adopted by the UK Endorsement Board</w:t>
      </w:r>
    </w:p>
    <w:p w14:paraId="16663A07" w14:textId="77777777" w:rsidR="004C2D64" w:rsidRPr="004C0D7C" w:rsidRDefault="004C2D64" w:rsidP="004C0D7C">
      <w:pPr>
        <w:autoSpaceDE w:val="0"/>
        <w:autoSpaceDN w:val="0"/>
        <w:adjustRightInd w:val="0"/>
        <w:ind w:left="567"/>
        <w:jc w:val="both"/>
        <w:rPr>
          <w:rFonts w:cs="Arial"/>
        </w:rPr>
      </w:pPr>
    </w:p>
    <w:p w14:paraId="6ACCE174" w14:textId="77777777" w:rsidR="0076162A" w:rsidRPr="0025317F" w:rsidRDefault="005B69FD" w:rsidP="004C0D7C">
      <w:pPr>
        <w:autoSpaceDE w:val="0"/>
        <w:autoSpaceDN w:val="0"/>
        <w:adjustRightInd w:val="0"/>
        <w:ind w:left="567"/>
        <w:jc w:val="both"/>
        <w:rPr>
          <w:rFonts w:cs="Arial"/>
        </w:rPr>
      </w:pPr>
      <w:r w:rsidRPr="002E3999">
        <w:rPr>
          <w:rFonts w:cs="Arial"/>
        </w:rPr>
        <w:t>The Directors have reviewed the requirements of the new standards and interpretations listed</w:t>
      </w:r>
      <w:r w:rsidRPr="0025317F">
        <w:rPr>
          <w:rFonts w:cs="Arial"/>
        </w:rPr>
        <w:t xml:space="preserve"> above and they are either not applicable or not expected to have a material impact on the Group financial statements in the period of initial application.</w:t>
      </w:r>
    </w:p>
    <w:p w14:paraId="50F200D9" w14:textId="77777777" w:rsidR="00EE27C5" w:rsidRPr="00F45179" w:rsidRDefault="00615F13" w:rsidP="00C33886">
      <w:pPr>
        <w:autoSpaceDE w:val="0"/>
        <w:autoSpaceDN w:val="0"/>
        <w:adjustRightInd w:val="0"/>
        <w:ind w:left="567"/>
        <w:jc w:val="center"/>
        <w:rPr>
          <w:b/>
        </w:rPr>
      </w:pPr>
      <w:r w:rsidRPr="004C0D7C">
        <w:rPr>
          <w:rFonts w:cs="Arial"/>
        </w:rPr>
        <w:br w:type="page"/>
      </w:r>
      <w:r w:rsidR="00EE27C5" w:rsidRPr="00F45179">
        <w:rPr>
          <w:b/>
        </w:rPr>
        <w:lastRenderedPageBreak/>
        <w:t>TRANSPORT FOR EDINBURGH LIMITED</w:t>
      </w:r>
    </w:p>
    <w:p w14:paraId="6F175946" w14:textId="77777777" w:rsidR="00EE27C5" w:rsidRPr="00F45179" w:rsidRDefault="00EE27C5" w:rsidP="00EE27C5">
      <w:pPr>
        <w:jc w:val="center"/>
        <w:rPr>
          <w:b/>
        </w:rPr>
      </w:pPr>
    </w:p>
    <w:p w14:paraId="6DC8C777" w14:textId="77777777" w:rsidR="00D30EE6" w:rsidRPr="00F45179" w:rsidRDefault="00D30EE6" w:rsidP="00D30EE6">
      <w:pPr>
        <w:jc w:val="center"/>
        <w:rPr>
          <w:b/>
        </w:rPr>
      </w:pPr>
      <w:r w:rsidRPr="00F45179">
        <w:rPr>
          <w:b/>
        </w:rPr>
        <w:t>Notes to the Financial Statements (continued)</w:t>
      </w:r>
    </w:p>
    <w:p w14:paraId="4A9915F1" w14:textId="77777777" w:rsidR="00EE27C5" w:rsidRPr="00F45179" w:rsidRDefault="00EE27C5" w:rsidP="00EE27C5">
      <w:pPr>
        <w:jc w:val="center"/>
        <w:rPr>
          <w:b/>
        </w:rPr>
      </w:pPr>
    </w:p>
    <w:p w14:paraId="6DEBA62D" w14:textId="77777777" w:rsidR="00EE27C5" w:rsidRPr="00F45179" w:rsidRDefault="00D90B89" w:rsidP="00EE27C5">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0452EE35" w14:textId="77777777" w:rsidR="00EE27C5" w:rsidRPr="00F45179" w:rsidRDefault="00EE27C5" w:rsidP="00EE27C5">
      <w:pPr>
        <w:jc w:val="center"/>
        <w:rPr>
          <w:b/>
        </w:rPr>
      </w:pPr>
    </w:p>
    <w:p w14:paraId="7C89236B" w14:textId="77777777" w:rsidR="00AD3853" w:rsidRPr="00F45179" w:rsidRDefault="008E0FA6" w:rsidP="00A5227C">
      <w:pPr>
        <w:numPr>
          <w:ilvl w:val="0"/>
          <w:numId w:val="19"/>
        </w:numPr>
        <w:tabs>
          <w:tab w:val="left" w:pos="567"/>
        </w:tabs>
        <w:ind w:right="267" w:hanging="2394"/>
      </w:pPr>
      <w:r w:rsidRPr="00F45179">
        <w:rPr>
          <w:b/>
        </w:rPr>
        <w:t>Material</w:t>
      </w:r>
      <w:r w:rsidR="00EE27C5" w:rsidRPr="00F45179">
        <w:rPr>
          <w:b/>
        </w:rPr>
        <w:t xml:space="preserve"> accounting policies (continued)</w:t>
      </w:r>
    </w:p>
    <w:p w14:paraId="3420BA9B" w14:textId="77777777" w:rsidR="00AD3853" w:rsidRPr="0025317F" w:rsidRDefault="00AD3853" w:rsidP="00AD3853">
      <w:pPr>
        <w:autoSpaceDE w:val="0"/>
        <w:autoSpaceDN w:val="0"/>
        <w:adjustRightInd w:val="0"/>
        <w:jc w:val="both"/>
        <w:rPr>
          <w:rFonts w:cs="Arial"/>
          <w:color w:val="000000"/>
          <w:lang w:eastAsia="en-GB"/>
        </w:rPr>
      </w:pPr>
    </w:p>
    <w:p w14:paraId="66A3942A" w14:textId="77777777" w:rsidR="00BA370E" w:rsidRPr="0025317F" w:rsidRDefault="00593970" w:rsidP="005546F7">
      <w:pPr>
        <w:ind w:left="624"/>
        <w:jc w:val="both"/>
      </w:pPr>
      <w:r w:rsidRPr="0025317F">
        <w:t>The following significant accounting policies, which are consistent with the previous period unless otherwise stated, have been adopted in the preparation of this report:</w:t>
      </w:r>
    </w:p>
    <w:p w14:paraId="2C77F084" w14:textId="77777777" w:rsidR="00FC4E94" w:rsidRPr="0025317F" w:rsidRDefault="00FC4E94" w:rsidP="004C1091">
      <w:pPr>
        <w:ind w:left="1140" w:right="267"/>
        <w:jc w:val="both"/>
      </w:pPr>
    </w:p>
    <w:p w14:paraId="1052C8F4" w14:textId="77777777" w:rsidR="00E82244" w:rsidRPr="0025317F" w:rsidRDefault="005546F7" w:rsidP="00A5227C">
      <w:pPr>
        <w:numPr>
          <w:ilvl w:val="0"/>
          <w:numId w:val="44"/>
        </w:numPr>
        <w:ind w:left="643"/>
        <w:jc w:val="both"/>
        <w:rPr>
          <w:b/>
        </w:rPr>
      </w:pPr>
      <w:r>
        <w:rPr>
          <w:b/>
        </w:rPr>
        <w:t xml:space="preserve"> </w:t>
      </w:r>
      <w:r w:rsidR="00E82244" w:rsidRPr="0025317F">
        <w:rPr>
          <w:b/>
        </w:rPr>
        <w:t>Going concern</w:t>
      </w:r>
    </w:p>
    <w:p w14:paraId="52F3F9AD" w14:textId="77777777" w:rsidR="00E82244" w:rsidRPr="00FF7F5F" w:rsidRDefault="00E82244" w:rsidP="005546F7">
      <w:pPr>
        <w:ind w:left="624" w:right="267"/>
        <w:jc w:val="both"/>
        <w:rPr>
          <w:b/>
          <w:sz w:val="14"/>
          <w:szCs w:val="14"/>
        </w:rPr>
      </w:pPr>
    </w:p>
    <w:p w14:paraId="74BE5529" w14:textId="77777777" w:rsidR="004B25F7" w:rsidRPr="0025317F" w:rsidRDefault="004B25F7" w:rsidP="005546F7">
      <w:pPr>
        <w:ind w:left="624" w:right="-22"/>
        <w:jc w:val="both"/>
      </w:pPr>
      <w:r w:rsidRPr="0025317F">
        <w:t>The directors are of the opinion that the Group have adequate resources to enable it to undertake its planned activities for a period of at least one year from the date the financial statements are approved.</w:t>
      </w:r>
    </w:p>
    <w:p w14:paraId="44D5F4A3" w14:textId="77777777" w:rsidR="00A63645" w:rsidRPr="00FF7F5F" w:rsidRDefault="00A63645" w:rsidP="005546F7">
      <w:pPr>
        <w:ind w:left="624" w:right="-22"/>
        <w:jc w:val="both"/>
        <w:rPr>
          <w:sz w:val="14"/>
          <w:szCs w:val="14"/>
        </w:rPr>
      </w:pPr>
    </w:p>
    <w:p w14:paraId="5F16FD09" w14:textId="77777777" w:rsidR="00A63645" w:rsidRPr="0025317F" w:rsidRDefault="00971A5A" w:rsidP="005546F7">
      <w:pPr>
        <w:ind w:left="624" w:right="-22"/>
        <w:jc w:val="both"/>
      </w:pPr>
      <w:r w:rsidRPr="0025317F">
        <w:t>Lothian Buses Limited, has confirmed that it will continue to provide financial support so as to allow its subsidiaries, Edinburgh Bus Tours Limited</w:t>
      </w:r>
      <w:r w:rsidR="00FF7F5F">
        <w:t>,</w:t>
      </w:r>
      <w:r w:rsidR="000257CA">
        <w:t xml:space="preserve"> Eve Coaches Limited,</w:t>
      </w:r>
      <w:r w:rsidRPr="0025317F">
        <w:t xml:space="preserve"> East Coast Buses Limited</w:t>
      </w:r>
      <w:r w:rsidR="00FF7F5F">
        <w:t xml:space="preserve"> and Eve Coaches Limited</w:t>
      </w:r>
      <w:r w:rsidRPr="0025317F">
        <w:t xml:space="preserve">, to continue to meet their liabilities as they fall due for at least </w:t>
      </w:r>
      <w:r w:rsidR="004843F4" w:rsidRPr="0025317F">
        <w:t>one year</w:t>
      </w:r>
      <w:r w:rsidRPr="0025317F">
        <w:t xml:space="preserve"> from the date that the financial statements are approved.</w:t>
      </w:r>
    </w:p>
    <w:p w14:paraId="0FF62AB9" w14:textId="77777777" w:rsidR="00A63645" w:rsidRPr="00FF7F5F" w:rsidRDefault="00A63645" w:rsidP="005546F7">
      <w:pPr>
        <w:ind w:left="624" w:right="-22"/>
        <w:jc w:val="both"/>
        <w:rPr>
          <w:sz w:val="14"/>
          <w:szCs w:val="14"/>
        </w:rPr>
      </w:pPr>
    </w:p>
    <w:p w14:paraId="71D1B69F" w14:textId="77777777" w:rsidR="00E82244" w:rsidRPr="00C328EF" w:rsidRDefault="00971A5A" w:rsidP="005546F7">
      <w:pPr>
        <w:ind w:left="624" w:right="-22"/>
        <w:jc w:val="both"/>
        <w:rPr>
          <w:highlight w:val="yellow"/>
        </w:rPr>
      </w:pPr>
      <w:r w:rsidRPr="0025317F">
        <w:t>The ultimate parent undertaking, the City of Edinburgh Council</w:t>
      </w:r>
      <w:r w:rsidR="002E3999">
        <w:t xml:space="preserve"> (CEC)</w:t>
      </w:r>
      <w:r w:rsidRPr="0025317F">
        <w:t xml:space="preserve">, has confirmed that it will continue to provide sufficient financial support so as to allow Transport for Edinburgh Limited, Lothian Buses Limited </w:t>
      </w:r>
      <w:r w:rsidRPr="002E3999">
        <w:t xml:space="preserve">and Edinburgh Trams Limited to continue to meet their liabilities as they fall due for at least </w:t>
      </w:r>
      <w:r w:rsidR="00271A03" w:rsidRPr="002E3999">
        <w:t>twelve</w:t>
      </w:r>
      <w:r w:rsidRPr="002E3999">
        <w:t xml:space="preserve"> months from the date that the financial statements are approved.</w:t>
      </w:r>
      <w:r w:rsidR="00A63645" w:rsidRPr="002E3999">
        <w:t xml:space="preserve"> </w:t>
      </w:r>
      <w:r w:rsidR="002E3999" w:rsidRPr="002E3999">
        <w:t>A</w:t>
      </w:r>
      <w:r w:rsidR="00A63645" w:rsidRPr="002E3999">
        <w:t xml:space="preserve">s part of </w:t>
      </w:r>
      <w:r w:rsidR="002E3999" w:rsidRPr="002E3999">
        <w:t xml:space="preserve">CECs </w:t>
      </w:r>
      <w:r w:rsidR="00A63645" w:rsidRPr="002E3999">
        <w:t>Transport companies Arm’s Length External Organisation (ALEO) reform</w:t>
      </w:r>
      <w:r w:rsidR="008835C0" w:rsidRPr="002E3999">
        <w:rPr>
          <w:rFonts w:cs="Arial"/>
        </w:rPr>
        <w:t xml:space="preserve"> </w:t>
      </w:r>
      <w:r w:rsidR="002E3999" w:rsidRPr="002E3999">
        <w:rPr>
          <w:rFonts w:cs="Arial"/>
        </w:rPr>
        <w:t>i</w:t>
      </w:r>
      <w:r w:rsidR="008835C0" w:rsidRPr="002E3999">
        <w:t>t was confirmed</w:t>
      </w:r>
      <w:r w:rsidR="002E3999" w:rsidRPr="002E3999">
        <w:t>,</w:t>
      </w:r>
      <w:r w:rsidR="008835C0" w:rsidRPr="002E3999">
        <w:t xml:space="preserve"> by CEC</w:t>
      </w:r>
      <w:r w:rsidR="002E3999" w:rsidRPr="002E3999">
        <w:t>,</w:t>
      </w:r>
      <w:r w:rsidR="008835C0" w:rsidRPr="002E3999">
        <w:t xml:space="preserve"> that TfE close</w:t>
      </w:r>
      <w:r w:rsidR="002E3999" w:rsidRPr="002E3999">
        <w:t>d</w:t>
      </w:r>
      <w:r w:rsidR="008835C0" w:rsidRPr="002E3999">
        <w:t xml:space="preserve"> as an operational company </w:t>
      </w:r>
      <w:r w:rsidR="002E3999" w:rsidRPr="002E3999">
        <w:t>in 2024 but</w:t>
      </w:r>
      <w:r w:rsidR="008835C0" w:rsidRPr="002E3999">
        <w:t xml:space="preserve"> continue</w:t>
      </w:r>
      <w:r w:rsidR="002E3999" w:rsidRPr="002E3999">
        <w:t>s</w:t>
      </w:r>
      <w:r w:rsidR="008835C0" w:rsidRPr="002E3999">
        <w:t xml:space="preserve"> as a company for the purposes of holding shares in </w:t>
      </w:r>
      <w:r w:rsidR="002E3999" w:rsidRPr="002E3999">
        <w:t xml:space="preserve">its main trading subsidiaries, </w:t>
      </w:r>
      <w:r w:rsidR="008835C0" w:rsidRPr="002E3999">
        <w:t>Lothian Buses and Edinburgh Trams. TfE will not retain any corporate or executive functionality</w:t>
      </w:r>
      <w:r w:rsidR="002E3999" w:rsidRPr="002E3999">
        <w:t xml:space="preserve"> going forward</w:t>
      </w:r>
      <w:r w:rsidR="008835C0" w:rsidRPr="002E3999">
        <w:t>.</w:t>
      </w:r>
      <w:r w:rsidR="00A63645" w:rsidRPr="002E3999">
        <w:t xml:space="preserve"> As a result</w:t>
      </w:r>
      <w:r w:rsidR="00A63645" w:rsidRPr="0025317F">
        <w:t xml:space="preserve"> of this decision the company’s balance sheet has been valued at recoverable value as at </w:t>
      </w:r>
      <w:r w:rsidR="002E3999">
        <w:t>28</w:t>
      </w:r>
      <w:r w:rsidR="00A63645" w:rsidRPr="0025317F">
        <w:t xml:space="preserve"> December 202</w:t>
      </w:r>
      <w:r w:rsidR="0025317F" w:rsidRPr="0025317F">
        <w:t>4</w:t>
      </w:r>
      <w:r w:rsidR="00A63645" w:rsidRPr="0025317F">
        <w:t>.</w:t>
      </w:r>
    </w:p>
    <w:p w14:paraId="1557F38A" w14:textId="77777777" w:rsidR="00E82244" w:rsidRPr="0025317F" w:rsidRDefault="00E82244" w:rsidP="004C1091">
      <w:pPr>
        <w:ind w:left="1140" w:right="267"/>
        <w:jc w:val="both"/>
      </w:pPr>
    </w:p>
    <w:p w14:paraId="6A26BFAF" w14:textId="77777777" w:rsidR="00C91D77" w:rsidRPr="0025317F" w:rsidRDefault="005546F7" w:rsidP="00A5227C">
      <w:pPr>
        <w:numPr>
          <w:ilvl w:val="0"/>
          <w:numId w:val="44"/>
        </w:numPr>
        <w:ind w:left="643" w:right="267"/>
        <w:jc w:val="both"/>
        <w:rPr>
          <w:b/>
        </w:rPr>
      </w:pPr>
      <w:r>
        <w:rPr>
          <w:b/>
        </w:rPr>
        <w:t xml:space="preserve"> </w:t>
      </w:r>
      <w:r w:rsidR="00C91D77" w:rsidRPr="0025317F">
        <w:rPr>
          <w:b/>
        </w:rPr>
        <w:t>Basis of consolidation</w:t>
      </w:r>
    </w:p>
    <w:p w14:paraId="6B949282" w14:textId="77777777" w:rsidR="00C91D77" w:rsidRPr="0025317F" w:rsidRDefault="00C91D77" w:rsidP="00C91D77">
      <w:pPr>
        <w:ind w:right="267"/>
        <w:jc w:val="both"/>
      </w:pPr>
    </w:p>
    <w:p w14:paraId="3DC581AF" w14:textId="77777777" w:rsidR="00C91D77" w:rsidRPr="0025317F" w:rsidRDefault="00C91D77" w:rsidP="005546F7">
      <w:pPr>
        <w:ind w:left="624"/>
        <w:jc w:val="both"/>
        <w:rPr>
          <w:b/>
          <w:i/>
        </w:rPr>
      </w:pPr>
      <w:r w:rsidRPr="0025317F">
        <w:rPr>
          <w:b/>
          <w:i/>
        </w:rPr>
        <w:t>Subsidiaries</w:t>
      </w:r>
    </w:p>
    <w:p w14:paraId="5D0CE52C" w14:textId="77777777" w:rsidR="00C91D77" w:rsidRPr="0025317F" w:rsidRDefault="00C91D77" w:rsidP="005546F7">
      <w:pPr>
        <w:ind w:left="624"/>
        <w:jc w:val="both"/>
      </w:pPr>
    </w:p>
    <w:p w14:paraId="52C0B794" w14:textId="77777777" w:rsidR="0076162A" w:rsidRDefault="00D9772D" w:rsidP="005546F7">
      <w:pPr>
        <w:ind w:left="624"/>
        <w:jc w:val="both"/>
      </w:pPr>
      <w:r w:rsidRPr="0025317F">
        <w:t xml:space="preserve">Subsidiaries are all entities (including special purpose entities) over which the </w:t>
      </w:r>
      <w:r w:rsidR="00FC637A" w:rsidRPr="0025317F">
        <w:t>G</w:t>
      </w:r>
      <w:r w:rsidRPr="0025317F">
        <w:t xml:space="preserve">roup has the power to govern the financial and operating policies generally accompanying a shareholding of more than one half of the voting rights. </w:t>
      </w:r>
      <w:r w:rsidR="00C91D77" w:rsidRPr="0025317F">
        <w:t xml:space="preserve">The existence and effect of potential voting rights that are currently exercisable or convertible are considered when assessing whether the </w:t>
      </w:r>
      <w:r w:rsidR="00FC637A" w:rsidRPr="0025317F">
        <w:t>G</w:t>
      </w:r>
      <w:r w:rsidR="00AE08B2" w:rsidRPr="0025317F">
        <w:t>roup</w:t>
      </w:r>
      <w:r w:rsidR="00C91D77" w:rsidRPr="0025317F">
        <w:t xml:space="preserve"> controls another entity. </w:t>
      </w:r>
      <w:r w:rsidR="00D00B6A" w:rsidRPr="0025317F">
        <w:t xml:space="preserve"> </w:t>
      </w:r>
      <w:r w:rsidRPr="0025317F">
        <w:t xml:space="preserve">Subsidiaries are fully consolidated from the date on which control is transferred to the </w:t>
      </w:r>
      <w:r w:rsidR="00FC637A" w:rsidRPr="0025317F">
        <w:t>G</w:t>
      </w:r>
      <w:r w:rsidRPr="0025317F">
        <w:t xml:space="preserve">roup. </w:t>
      </w:r>
      <w:r w:rsidR="004C1091" w:rsidRPr="0025317F">
        <w:t>They are de-consolidated from the date that control ceases.</w:t>
      </w:r>
      <w:r w:rsidR="005546F7">
        <w:t xml:space="preserve"> </w:t>
      </w:r>
      <w:r w:rsidR="00642146" w:rsidRPr="0025317F">
        <w:t>The Group uses the acquisition method of accounting to account for business combinations. The consideration transferred for the acquisition of a subsidiary is the fair values of the assets transferred,</w:t>
      </w:r>
      <w:r w:rsidR="0076162A" w:rsidRPr="0025317F">
        <w:t xml:space="preserve"> the liabilities incurred and the equity interests issued by the Group. The consideration transferred includes the fair value of any asset or liability resulting from a contingent consideration arrangement.  Acquisition-related costs are expensed as incurred. Identifiable assets acquired and liabilities and contingent liabilities assumed in a business combination are measured initially at their fair values at the acquisition date. On an acquisition-by-acquisition basis, the Group recognises any non-controlling interest in the acquiree either at fair value or at the non-controlling interest’s proportionate share of the acquiree’s net assets. The choice of measurement basis is made on a transaction-by-transaction basis. Other types of non-controlling interest are measured on the basis specified in another accounting standard, when applicable.</w:t>
      </w:r>
      <w:r w:rsidR="005546F7">
        <w:t xml:space="preserve"> </w:t>
      </w:r>
      <w:r w:rsidR="0076162A" w:rsidRPr="0025317F">
        <w:t>Investments in subsidiaries are accounted for at cost less impairment. Cost is adjusted to reflect changes in consideration arising from contingent consideration amendments. Cost also includes directly attributable costs of investment.</w:t>
      </w:r>
      <w:r w:rsidR="005546F7">
        <w:t xml:space="preserve"> </w:t>
      </w:r>
      <w:r w:rsidR="0076162A" w:rsidRPr="0025317F">
        <w:t>The excess of the consideration over the fair value of the Group’s share of the identifiable net assets acquired is recorded as goodwill.  If this is less than the fair value of the net assets of the subsidiary in the case of bargain purchase, the difference is recognised directly in the Statement of Profit or Loss and Other Comprehensive Income.  Inter-company transactions, balances and unrealised gains on transactions between Group companies are eliminated. Unrealised losses are also eliminated.  Accounting policies of subsidiaries have been changed where necessary to ensure consistency with the policies adopted by the Group.</w:t>
      </w:r>
    </w:p>
    <w:p w14:paraId="464F8680" w14:textId="77777777" w:rsidR="005546F7" w:rsidRDefault="005546F7" w:rsidP="005546F7">
      <w:pPr>
        <w:ind w:left="624"/>
        <w:jc w:val="both"/>
      </w:pPr>
    </w:p>
    <w:p w14:paraId="73E7BF41" w14:textId="77777777" w:rsidR="005546F7" w:rsidRPr="0008397D" w:rsidRDefault="005546F7" w:rsidP="005546F7">
      <w:pPr>
        <w:ind w:left="624"/>
        <w:jc w:val="both"/>
        <w:rPr>
          <w:b/>
          <w:i/>
        </w:rPr>
      </w:pPr>
      <w:r w:rsidRPr="0008397D">
        <w:rPr>
          <w:b/>
          <w:i/>
        </w:rPr>
        <w:t>Goodwill</w:t>
      </w:r>
    </w:p>
    <w:p w14:paraId="1CA109E4" w14:textId="77777777" w:rsidR="005546F7" w:rsidRPr="0008397D" w:rsidRDefault="005546F7" w:rsidP="005546F7">
      <w:pPr>
        <w:ind w:left="624"/>
        <w:jc w:val="both"/>
      </w:pPr>
    </w:p>
    <w:p w14:paraId="69052B3E" w14:textId="77777777" w:rsidR="005546F7" w:rsidRPr="0025317F" w:rsidRDefault="005546F7" w:rsidP="005546F7">
      <w:pPr>
        <w:ind w:left="624"/>
        <w:jc w:val="both"/>
      </w:pPr>
      <w:r w:rsidRPr="0008397D">
        <w:t>Goodwill arising in a business combination is recognised, at cost less accumulated impairment costs, as an asset at the date that control is acquired (the acquisition date). Goodwill is measured as the excess of the sum of the consideration transferred, the amount of any non-controlling interest in the acquiree and</w:t>
      </w:r>
    </w:p>
    <w:p w14:paraId="0658EB4E" w14:textId="77777777" w:rsidR="00CF2147" w:rsidRPr="00F45179" w:rsidRDefault="00F6557D" w:rsidP="005546F7">
      <w:pPr>
        <w:ind w:left="624"/>
        <w:jc w:val="center"/>
        <w:rPr>
          <w:b/>
        </w:rPr>
      </w:pPr>
      <w:r w:rsidRPr="00C328EF">
        <w:rPr>
          <w:highlight w:val="yellow"/>
        </w:rPr>
        <w:br w:type="page"/>
      </w:r>
      <w:r w:rsidR="00CF2147" w:rsidRPr="00F45179">
        <w:rPr>
          <w:b/>
        </w:rPr>
        <w:lastRenderedPageBreak/>
        <w:t>TRANSPORT FOR EDINBURGH LIMITED</w:t>
      </w:r>
    </w:p>
    <w:p w14:paraId="1C47B387" w14:textId="77777777" w:rsidR="00CF2147" w:rsidRPr="00F45179" w:rsidRDefault="00CF2147" w:rsidP="00F6557D">
      <w:pPr>
        <w:jc w:val="center"/>
        <w:rPr>
          <w:b/>
        </w:rPr>
      </w:pPr>
    </w:p>
    <w:p w14:paraId="05BF119F" w14:textId="77777777" w:rsidR="00D30EE6" w:rsidRPr="00F45179" w:rsidRDefault="00D30EE6" w:rsidP="00F6557D">
      <w:pPr>
        <w:jc w:val="center"/>
        <w:rPr>
          <w:b/>
        </w:rPr>
      </w:pPr>
      <w:r w:rsidRPr="00F45179">
        <w:rPr>
          <w:b/>
        </w:rPr>
        <w:t>Notes to the Financial Statements (continued)</w:t>
      </w:r>
    </w:p>
    <w:p w14:paraId="0E13B07F" w14:textId="77777777" w:rsidR="00CF2147" w:rsidRPr="00F45179" w:rsidRDefault="00CF2147" w:rsidP="00F6557D">
      <w:pPr>
        <w:jc w:val="center"/>
        <w:rPr>
          <w:b/>
        </w:rPr>
      </w:pPr>
    </w:p>
    <w:p w14:paraId="2466A04D" w14:textId="77777777" w:rsidR="00CF2147" w:rsidRPr="00F45179" w:rsidRDefault="00D90B89" w:rsidP="00F6557D">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10206B3D" w14:textId="77777777" w:rsidR="00E82244" w:rsidRPr="00F45179" w:rsidRDefault="00E82244" w:rsidP="00E82244">
      <w:pPr>
        <w:rPr>
          <w:b/>
        </w:rPr>
      </w:pPr>
    </w:p>
    <w:p w14:paraId="46BEBEA7" w14:textId="77777777" w:rsidR="00E82244" w:rsidRPr="00F45179" w:rsidRDefault="008E0FA6" w:rsidP="00A5227C">
      <w:pPr>
        <w:numPr>
          <w:ilvl w:val="0"/>
          <w:numId w:val="21"/>
        </w:numPr>
        <w:ind w:left="567" w:hanging="567"/>
      </w:pPr>
      <w:r w:rsidRPr="00F45179">
        <w:rPr>
          <w:b/>
        </w:rPr>
        <w:t>Material accounting policies (continued)</w:t>
      </w:r>
    </w:p>
    <w:p w14:paraId="1EA4EF0D" w14:textId="77777777" w:rsidR="00984E79" w:rsidRDefault="00984E79" w:rsidP="00984E79">
      <w:pPr>
        <w:ind w:left="1140"/>
        <w:jc w:val="both"/>
        <w:rPr>
          <w:b/>
          <w:i/>
        </w:rPr>
      </w:pPr>
    </w:p>
    <w:p w14:paraId="38738C28" w14:textId="77777777" w:rsidR="008D72FD" w:rsidRDefault="008D72FD" w:rsidP="00A5227C">
      <w:pPr>
        <w:numPr>
          <w:ilvl w:val="0"/>
          <w:numId w:val="43"/>
        </w:numPr>
        <w:ind w:left="643"/>
        <w:jc w:val="both"/>
        <w:rPr>
          <w:b/>
          <w:i/>
        </w:rPr>
      </w:pPr>
      <w:r>
        <w:rPr>
          <w:b/>
        </w:rPr>
        <w:t xml:space="preserve"> </w:t>
      </w:r>
      <w:r w:rsidRPr="0025317F">
        <w:rPr>
          <w:b/>
        </w:rPr>
        <w:t>Basis of consolidation</w:t>
      </w:r>
      <w:r>
        <w:rPr>
          <w:b/>
        </w:rPr>
        <w:t xml:space="preserve"> (continued)</w:t>
      </w:r>
    </w:p>
    <w:p w14:paraId="43D4AA7B" w14:textId="77777777" w:rsidR="005546F7" w:rsidRDefault="005546F7" w:rsidP="005546F7">
      <w:pPr>
        <w:ind w:left="624"/>
        <w:jc w:val="both"/>
        <w:rPr>
          <w:b/>
          <w:i/>
        </w:rPr>
      </w:pPr>
    </w:p>
    <w:p w14:paraId="509D0341" w14:textId="77777777" w:rsidR="005546F7" w:rsidRPr="0008397D" w:rsidRDefault="005546F7" w:rsidP="005546F7">
      <w:pPr>
        <w:ind w:left="624"/>
        <w:jc w:val="both"/>
      </w:pPr>
      <w:r w:rsidRPr="0008397D">
        <w:rPr>
          <w:b/>
          <w:i/>
        </w:rPr>
        <w:t>Goodwill</w:t>
      </w:r>
      <w:r>
        <w:rPr>
          <w:b/>
          <w:i/>
        </w:rPr>
        <w:t xml:space="preserve"> (continued)</w:t>
      </w:r>
    </w:p>
    <w:p w14:paraId="3292B4E6" w14:textId="77777777" w:rsidR="008D72FD" w:rsidRPr="0025317F" w:rsidRDefault="008D72FD" w:rsidP="005546F7">
      <w:pPr>
        <w:jc w:val="both"/>
        <w:rPr>
          <w:b/>
          <w:i/>
        </w:rPr>
      </w:pPr>
    </w:p>
    <w:p w14:paraId="41329EB1" w14:textId="77777777" w:rsidR="005546F7" w:rsidRPr="0008397D" w:rsidRDefault="005546F7" w:rsidP="005546F7">
      <w:pPr>
        <w:ind w:left="624"/>
        <w:jc w:val="both"/>
      </w:pPr>
      <w:r w:rsidRPr="0008397D">
        <w:t>the fair value of the acquirer’s previously held equity interest (if any) in the entity over the net of the acquisition-date amounts of the identifiable assets acquired and the liabilities assumed. The allocation of goodwill is made to those cash generating units (CGU) or groups of CGUs that are expected to benefit from the business combination in which the goodwill arose. Goodwill is shown as an intangible asset with an indefinite useful life which is not amortised but is subject to an annual impairment test at each relevant group of cash generating units and is also subject to a test whenever there is an indication of impairment. Any such goodwill impairment is not reversed. Where there is an</w:t>
      </w:r>
      <w:r w:rsidRPr="005546F7">
        <w:t xml:space="preserve"> </w:t>
      </w:r>
      <w:r w:rsidRPr="0008397D">
        <w:t xml:space="preserve">excess of the Group’s interest in the net fair value of the acquiree’s identifiable assets over the purchase price (negative goodwill), this amount is taken to the Income Statement in the period of acquisition. </w:t>
      </w:r>
    </w:p>
    <w:p w14:paraId="4DFEBC8C" w14:textId="77777777" w:rsidR="008D72FD" w:rsidRPr="005546F7" w:rsidRDefault="008D72FD" w:rsidP="005546F7">
      <w:pPr>
        <w:ind w:left="624"/>
        <w:jc w:val="both"/>
        <w:rPr>
          <w:b/>
          <w:i/>
        </w:rPr>
      </w:pPr>
    </w:p>
    <w:p w14:paraId="4094354E" w14:textId="77777777" w:rsidR="00E82244" w:rsidRPr="005546F7" w:rsidRDefault="00486F6D" w:rsidP="00A5227C">
      <w:pPr>
        <w:numPr>
          <w:ilvl w:val="0"/>
          <w:numId w:val="44"/>
        </w:numPr>
        <w:tabs>
          <w:tab w:val="left" w:pos="567"/>
        </w:tabs>
        <w:ind w:left="643"/>
        <w:jc w:val="both"/>
        <w:rPr>
          <w:b/>
        </w:rPr>
      </w:pPr>
      <w:r w:rsidRPr="005546F7">
        <w:rPr>
          <w:b/>
        </w:rPr>
        <w:t>Current and deferred i</w:t>
      </w:r>
      <w:r w:rsidR="00E82244" w:rsidRPr="005546F7">
        <w:rPr>
          <w:b/>
        </w:rPr>
        <w:t>ncome tax</w:t>
      </w:r>
    </w:p>
    <w:p w14:paraId="10CDC123" w14:textId="77777777" w:rsidR="00E82244" w:rsidRPr="005546F7" w:rsidRDefault="00E82244" w:rsidP="00E82244">
      <w:pPr>
        <w:tabs>
          <w:tab w:val="left" w:pos="567"/>
        </w:tabs>
        <w:jc w:val="both"/>
        <w:rPr>
          <w:b/>
        </w:rPr>
      </w:pPr>
    </w:p>
    <w:p w14:paraId="40772059" w14:textId="77777777" w:rsidR="00220718" w:rsidRPr="0025317F" w:rsidRDefault="00E82244" w:rsidP="00F80503">
      <w:pPr>
        <w:tabs>
          <w:tab w:val="left" w:pos="567"/>
        </w:tabs>
        <w:ind w:left="624"/>
        <w:jc w:val="both"/>
      </w:pPr>
      <w:r w:rsidRPr="0025317F">
        <w:t xml:space="preserve">The charge for income tax expense for the </w:t>
      </w:r>
      <w:r w:rsidR="0011148E">
        <w:t>period</w:t>
      </w:r>
      <w:r w:rsidRPr="0025317F">
        <w:t xml:space="preserve"> is based on the </w:t>
      </w:r>
      <w:r w:rsidR="006D548D" w:rsidRPr="0025317F">
        <w:t>results</w:t>
      </w:r>
      <w:r w:rsidRPr="0025317F">
        <w:t xml:space="preserve"> for the </w:t>
      </w:r>
      <w:r w:rsidR="0011148E">
        <w:t>period</w:t>
      </w:r>
      <w:r w:rsidRPr="0025317F">
        <w:t xml:space="preserve"> adjusted for any non-a</w:t>
      </w:r>
      <w:r w:rsidR="00041697" w:rsidRPr="0025317F">
        <w:t xml:space="preserve">ssessable or disallowed items. </w:t>
      </w:r>
      <w:r w:rsidRPr="0025317F">
        <w:t xml:space="preserve">It is calculated using tax rates that have been enacted or are substantively enacted by the </w:t>
      </w:r>
      <w:r w:rsidR="00BF113F" w:rsidRPr="0025317F">
        <w:t>Statement of Financial Position</w:t>
      </w:r>
      <w:r w:rsidRPr="0025317F">
        <w:t xml:space="preserve"> date.</w:t>
      </w:r>
      <w:r w:rsidR="00F80503">
        <w:t xml:space="preserve"> </w:t>
      </w:r>
      <w:r w:rsidR="00D9772D" w:rsidRPr="0025317F">
        <w:t xml:space="preserve">Deferred tax is accounted for using the </w:t>
      </w:r>
      <w:r w:rsidR="00BF113F" w:rsidRPr="0025317F">
        <w:t>Statement of Financial Position</w:t>
      </w:r>
      <w:r w:rsidR="00D9772D" w:rsidRPr="0025317F">
        <w:t xml:space="preserve"> liability method in respect of temporary differences arising between the tax bases of assets and liabilities and their carrying amounts in the fin</w:t>
      </w:r>
      <w:r w:rsidR="00041697" w:rsidRPr="0025317F">
        <w:t xml:space="preserve">ancial statements. </w:t>
      </w:r>
      <w:r w:rsidR="00D00B6A" w:rsidRPr="0025317F">
        <w:t>No deferred income tax will be recognised from the initial recognition of an asset or liability, excluding a business combination, where there is no effect on accounting or taxable profit or loss.</w:t>
      </w:r>
      <w:r w:rsidR="00642146" w:rsidRPr="0025317F">
        <w:t xml:space="preserve"> </w:t>
      </w:r>
      <w:r w:rsidR="00D9772D" w:rsidRPr="0025317F">
        <w:t>Deferred tax is calculated at the tax rates that are expected to apply to the period when the asset is rea</w:t>
      </w:r>
      <w:r w:rsidR="00041697" w:rsidRPr="0025317F">
        <w:t xml:space="preserve">lised or liability is settled. </w:t>
      </w:r>
      <w:r w:rsidR="0033357A" w:rsidRPr="0025317F">
        <w:t xml:space="preserve">Deferred tax is credited in the </w:t>
      </w:r>
      <w:r w:rsidR="00BF113F" w:rsidRPr="0025317F">
        <w:t>S</w:t>
      </w:r>
      <w:r w:rsidR="0033357A" w:rsidRPr="0025317F">
        <w:t xml:space="preserve">tatement </w:t>
      </w:r>
      <w:r w:rsidR="00BF113F" w:rsidRPr="0025317F">
        <w:t xml:space="preserve">of Profit or Loss </w:t>
      </w:r>
      <w:r w:rsidR="0033357A" w:rsidRPr="0025317F">
        <w:t>except where it relates to items that may be credited directly to equity, in which case the deferred tax is adjusted directly against equity.</w:t>
      </w:r>
      <w:r w:rsidR="00642146" w:rsidRPr="0025317F">
        <w:t xml:space="preserve"> </w:t>
      </w:r>
    </w:p>
    <w:p w14:paraId="3520DEDC" w14:textId="77777777" w:rsidR="00220718" w:rsidRPr="0025317F" w:rsidRDefault="00220718" w:rsidP="005546F7">
      <w:pPr>
        <w:ind w:left="624"/>
        <w:jc w:val="both"/>
      </w:pPr>
    </w:p>
    <w:p w14:paraId="4912604F" w14:textId="77777777" w:rsidR="00C91D77" w:rsidRPr="0025317F" w:rsidRDefault="0033357A" w:rsidP="005546F7">
      <w:pPr>
        <w:ind w:left="624"/>
        <w:jc w:val="both"/>
      </w:pPr>
      <w:r w:rsidRPr="0025317F">
        <w:t>Deferred income tax assets are recognised to the extent that it is probable that future profits will be available against which deductible temporary differences can be utilised.</w:t>
      </w:r>
      <w:r w:rsidR="00F80503">
        <w:t xml:space="preserve"> </w:t>
      </w:r>
      <w:r w:rsidRPr="0025317F">
        <w:t>The amount of benefit brought to account or which may be realise</w:t>
      </w:r>
      <w:r w:rsidR="00712D14" w:rsidRPr="0025317F">
        <w:t xml:space="preserve">d in the future is based on </w:t>
      </w:r>
      <w:r w:rsidR="00F22E7E" w:rsidRPr="0025317F">
        <w:t>the assumption</w:t>
      </w:r>
      <w:r w:rsidRPr="0025317F">
        <w:t xml:space="preserve"> that no adverse change will occur in income taxation legisl</w:t>
      </w:r>
      <w:r w:rsidR="00712D14" w:rsidRPr="0025317F">
        <w:t>ation and the anticipation that</w:t>
      </w:r>
      <w:r w:rsidR="00AF7494" w:rsidRPr="0025317F">
        <w:t xml:space="preserve"> </w:t>
      </w:r>
      <w:r w:rsidR="00C91D77" w:rsidRPr="0025317F">
        <w:t>the economic entity will derive sufficient future assessable income to enable the benefit to be realised and comply with the conditions of deductibility imposed by the law.</w:t>
      </w:r>
    </w:p>
    <w:p w14:paraId="61058DFD" w14:textId="77777777" w:rsidR="00C91D77" w:rsidRPr="0025317F" w:rsidRDefault="00C91D77" w:rsidP="000E284E">
      <w:pPr>
        <w:tabs>
          <w:tab w:val="left" w:pos="567"/>
        </w:tabs>
        <w:jc w:val="both"/>
      </w:pPr>
      <w:bookmarkStart w:id="30" w:name="_Hlk33028175"/>
    </w:p>
    <w:p w14:paraId="2D251434" w14:textId="77777777" w:rsidR="008B34F9" w:rsidRPr="0025317F" w:rsidRDefault="008B34F9" w:rsidP="00A5227C">
      <w:pPr>
        <w:numPr>
          <w:ilvl w:val="0"/>
          <w:numId w:val="44"/>
        </w:numPr>
        <w:tabs>
          <w:tab w:val="left" w:pos="567"/>
        </w:tabs>
        <w:ind w:left="643"/>
        <w:jc w:val="both"/>
        <w:rPr>
          <w:b/>
        </w:rPr>
      </w:pPr>
      <w:r w:rsidRPr="0025317F">
        <w:rPr>
          <w:b/>
        </w:rPr>
        <w:t>Property, plant and equipment</w:t>
      </w:r>
    </w:p>
    <w:p w14:paraId="0284DAF2" w14:textId="77777777" w:rsidR="008B34F9" w:rsidRPr="0025317F" w:rsidRDefault="008B34F9" w:rsidP="000E284E">
      <w:pPr>
        <w:tabs>
          <w:tab w:val="left" w:pos="567"/>
        </w:tabs>
        <w:jc w:val="both"/>
      </w:pPr>
    </w:p>
    <w:bookmarkEnd w:id="30"/>
    <w:p w14:paraId="3DD03767" w14:textId="77777777" w:rsidR="00041697" w:rsidRPr="0025317F" w:rsidRDefault="008B34F9" w:rsidP="005546F7">
      <w:pPr>
        <w:tabs>
          <w:tab w:val="left" w:pos="567"/>
        </w:tabs>
        <w:ind w:left="624"/>
        <w:jc w:val="both"/>
      </w:pPr>
      <w:r w:rsidRPr="0025317F">
        <w:t>Each class of property, plant and equipment</w:t>
      </w:r>
      <w:r w:rsidR="006F6E27" w:rsidRPr="0025317F">
        <w:t>, with the exception of heritable property,</w:t>
      </w:r>
      <w:r w:rsidRPr="0025317F">
        <w:t xml:space="preserve"> is carried at cost less, where applicable, any accumulated depreciation.</w:t>
      </w:r>
      <w:r w:rsidR="005546F7">
        <w:t xml:space="preserve"> </w:t>
      </w:r>
      <w:r w:rsidR="001C7483" w:rsidRPr="0025317F">
        <w:t>Heritable property is carried at a revalued amount, being its fair value at the date of revaluation less subsequ</w:t>
      </w:r>
      <w:r w:rsidR="002E2352" w:rsidRPr="0025317F">
        <w:t xml:space="preserve">ent depreciation on buildings and impairment losses recognised after the date of revaluation.  Valuations are performed with sufficient frequency to ensure that the fair value of a revalued asset does not differ materially from </w:t>
      </w:r>
      <w:r w:rsidR="00F63C47" w:rsidRPr="0025317F">
        <w:t>its</w:t>
      </w:r>
      <w:r w:rsidR="002E2352" w:rsidRPr="0025317F">
        <w:t xml:space="preserve"> carrying value.</w:t>
      </w:r>
      <w:r w:rsidR="001C7483" w:rsidRPr="0025317F">
        <w:t xml:space="preserve"> </w:t>
      </w:r>
      <w:r w:rsidR="007D4212" w:rsidRPr="0025317F">
        <w:t xml:space="preserve">The </w:t>
      </w:r>
      <w:r w:rsidR="00702853" w:rsidRPr="0025317F">
        <w:t>D</w:t>
      </w:r>
      <w:r w:rsidR="007D4212" w:rsidRPr="0025317F">
        <w:t xml:space="preserve">irectors believe the carrying amount as at </w:t>
      </w:r>
      <w:r w:rsidR="005D38B8">
        <w:t>28</w:t>
      </w:r>
      <w:r w:rsidR="007D4212" w:rsidRPr="0025317F">
        <w:t xml:space="preserve"> December 20</w:t>
      </w:r>
      <w:r w:rsidR="007C4A8B" w:rsidRPr="0025317F">
        <w:t>2</w:t>
      </w:r>
      <w:r w:rsidR="0025317F">
        <w:t>4</w:t>
      </w:r>
      <w:r w:rsidR="007D4212" w:rsidRPr="0025317F">
        <w:t xml:space="preserve"> to be in line with the fair value of the properties.</w:t>
      </w:r>
    </w:p>
    <w:p w14:paraId="77EA3AD1" w14:textId="77777777" w:rsidR="007834A2" w:rsidRPr="0025317F" w:rsidRDefault="007834A2" w:rsidP="005546F7">
      <w:pPr>
        <w:tabs>
          <w:tab w:val="left" w:pos="567"/>
        </w:tabs>
        <w:ind w:left="624" w:hanging="851"/>
        <w:jc w:val="both"/>
        <w:rPr>
          <w:rFonts w:cs="Arial"/>
          <w:b/>
        </w:rPr>
      </w:pPr>
    </w:p>
    <w:p w14:paraId="6FDF50F2" w14:textId="77777777" w:rsidR="007834A2" w:rsidRPr="0025317F" w:rsidRDefault="007834A2" w:rsidP="005546F7">
      <w:pPr>
        <w:tabs>
          <w:tab w:val="left" w:pos="567"/>
        </w:tabs>
        <w:ind w:left="624" w:hanging="851"/>
        <w:jc w:val="both"/>
        <w:rPr>
          <w:rFonts w:cs="Arial"/>
        </w:rPr>
      </w:pPr>
      <w:r w:rsidRPr="0025317F">
        <w:rPr>
          <w:rFonts w:cs="Arial"/>
          <w:b/>
        </w:rPr>
        <w:tab/>
      </w:r>
      <w:r w:rsidRPr="0025317F">
        <w:rPr>
          <w:rFonts w:cs="Arial"/>
          <w:b/>
        </w:rPr>
        <w:tab/>
        <w:t>Acquisition of assets</w:t>
      </w:r>
      <w:r w:rsidRPr="0025317F">
        <w:tab/>
      </w:r>
      <w:r w:rsidRPr="0025317F">
        <w:tab/>
      </w:r>
      <w:r w:rsidRPr="0025317F">
        <w:rPr>
          <w:rFonts w:cs="Arial"/>
        </w:rPr>
        <w:t xml:space="preserve"> </w:t>
      </w:r>
    </w:p>
    <w:p w14:paraId="653138D7" w14:textId="77777777" w:rsidR="007834A2" w:rsidRPr="0025317F" w:rsidRDefault="007834A2" w:rsidP="005546F7">
      <w:pPr>
        <w:tabs>
          <w:tab w:val="left" w:pos="567"/>
        </w:tabs>
        <w:ind w:left="624"/>
        <w:rPr>
          <w:rFonts w:cs="Arial"/>
        </w:rPr>
      </w:pPr>
    </w:p>
    <w:p w14:paraId="2C5E83B9" w14:textId="77777777" w:rsidR="007834A2" w:rsidRPr="0025317F" w:rsidRDefault="007834A2" w:rsidP="00F80503">
      <w:pPr>
        <w:tabs>
          <w:tab w:val="left" w:pos="567"/>
        </w:tabs>
        <w:ind w:left="624"/>
        <w:jc w:val="both"/>
      </w:pPr>
      <w:r w:rsidRPr="0025317F">
        <w:rPr>
          <w:rFonts w:cs="Arial"/>
        </w:rPr>
        <w:t>Assets acquired are recorded at the cost of acquisition, being the purchase consideration determined as at the date of acquisition plus costs incidental to the acquisition.</w:t>
      </w:r>
      <w:r w:rsidR="00F80503">
        <w:rPr>
          <w:rFonts w:cs="Arial"/>
        </w:rPr>
        <w:t xml:space="preserve"> </w:t>
      </w:r>
      <w:r w:rsidRPr="0025317F">
        <w:rPr>
          <w:rFonts w:cs="Arial"/>
        </w:rPr>
        <w:t>In the event that settlement of all or part of the cash consideration given in the acquisition of an asset is deferred, the fair value of the purchase consideration is determined by discounting the amounts payable in the future to their present value as at the date of acquisition.</w:t>
      </w:r>
    </w:p>
    <w:p w14:paraId="40F00E19" w14:textId="77777777" w:rsidR="00712D14" w:rsidRPr="00F45179" w:rsidRDefault="00041697" w:rsidP="00466B72">
      <w:pPr>
        <w:jc w:val="center"/>
        <w:rPr>
          <w:b/>
        </w:rPr>
      </w:pPr>
      <w:r w:rsidRPr="0025317F">
        <w:br w:type="page"/>
      </w:r>
      <w:r w:rsidR="00EE27C5" w:rsidRPr="00F45179">
        <w:rPr>
          <w:b/>
        </w:rPr>
        <w:lastRenderedPageBreak/>
        <w:t>TRANSPORT FOR EDINBURGH LIMITED</w:t>
      </w:r>
    </w:p>
    <w:p w14:paraId="5459B045" w14:textId="77777777" w:rsidR="00712D14" w:rsidRPr="00F45179" w:rsidRDefault="00712D14" w:rsidP="00466B72">
      <w:pPr>
        <w:jc w:val="center"/>
        <w:rPr>
          <w:b/>
        </w:rPr>
      </w:pPr>
    </w:p>
    <w:p w14:paraId="0FCC2315" w14:textId="77777777" w:rsidR="00712D14" w:rsidRPr="00F45179" w:rsidRDefault="00712D14" w:rsidP="00712D14">
      <w:pPr>
        <w:jc w:val="center"/>
        <w:rPr>
          <w:b/>
        </w:rPr>
      </w:pPr>
      <w:r w:rsidRPr="00F45179">
        <w:rPr>
          <w:b/>
        </w:rPr>
        <w:t>Notes to the Financial Statements (continued)</w:t>
      </w:r>
    </w:p>
    <w:p w14:paraId="256A9234" w14:textId="77777777" w:rsidR="00712D14" w:rsidRPr="00F45179" w:rsidRDefault="00712D14" w:rsidP="00712D14">
      <w:pPr>
        <w:jc w:val="center"/>
        <w:rPr>
          <w:b/>
        </w:rPr>
      </w:pPr>
    </w:p>
    <w:p w14:paraId="0477A9DD" w14:textId="77777777" w:rsidR="00712D14" w:rsidRPr="00F45179" w:rsidRDefault="00D90B89" w:rsidP="00712D14">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7DBC3602" w14:textId="77777777" w:rsidR="00717590" w:rsidRPr="00F45179" w:rsidRDefault="00717590" w:rsidP="000E284E">
      <w:pPr>
        <w:tabs>
          <w:tab w:val="left" w:pos="567"/>
        </w:tabs>
        <w:ind w:left="1134" w:hanging="1134"/>
        <w:jc w:val="both"/>
      </w:pPr>
    </w:p>
    <w:p w14:paraId="3870E9CE" w14:textId="77777777" w:rsidR="008E0FA6" w:rsidRPr="00F45179" w:rsidRDefault="00712D14" w:rsidP="008E0FA6">
      <w:pPr>
        <w:rPr>
          <w:b/>
        </w:rPr>
      </w:pPr>
      <w:r w:rsidRPr="00F45179">
        <w:rPr>
          <w:b/>
        </w:rPr>
        <w:t>1.</w:t>
      </w:r>
      <w:r w:rsidRPr="00F45179">
        <w:rPr>
          <w:b/>
        </w:rPr>
        <w:tab/>
      </w:r>
      <w:r w:rsidR="008E0FA6" w:rsidRPr="00F45179">
        <w:rPr>
          <w:b/>
        </w:rPr>
        <w:t>Material accounting policies (continued)</w:t>
      </w:r>
    </w:p>
    <w:p w14:paraId="5EC66012" w14:textId="77777777" w:rsidR="00220718" w:rsidRPr="00F45179" w:rsidRDefault="002C03A9" w:rsidP="008E0FA6">
      <w:pPr>
        <w:rPr>
          <w:b/>
        </w:rPr>
      </w:pPr>
      <w:r w:rsidRPr="00F45179">
        <w:rPr>
          <w:b/>
          <w:i/>
        </w:rPr>
        <w:tab/>
      </w:r>
    </w:p>
    <w:p w14:paraId="7B608361" w14:textId="77777777" w:rsidR="00220718" w:rsidRPr="0025317F" w:rsidRDefault="00220718" w:rsidP="00220718">
      <w:pPr>
        <w:ind w:left="-397" w:firstLine="567"/>
        <w:jc w:val="both"/>
        <w:rPr>
          <w:b/>
        </w:rPr>
      </w:pPr>
      <w:bookmarkStart w:id="31" w:name="_Hlk195263318"/>
      <w:r w:rsidRPr="0025317F">
        <w:rPr>
          <w:b/>
        </w:rPr>
        <w:t>d.</w:t>
      </w:r>
      <w:r w:rsidRPr="0025317F">
        <w:rPr>
          <w:b/>
        </w:rPr>
        <w:tab/>
        <w:t>Property, plant and equipment (continued)</w:t>
      </w:r>
    </w:p>
    <w:bookmarkEnd w:id="31"/>
    <w:p w14:paraId="409D0F35" w14:textId="77777777" w:rsidR="00220718" w:rsidRPr="0025317F" w:rsidRDefault="00220718" w:rsidP="00F36853">
      <w:pPr>
        <w:ind w:left="284" w:firstLine="567"/>
        <w:jc w:val="both"/>
        <w:rPr>
          <w:b/>
        </w:rPr>
      </w:pPr>
    </w:p>
    <w:p w14:paraId="645D3E8A" w14:textId="77777777" w:rsidR="002C03A9" w:rsidRPr="0025317F" w:rsidRDefault="002C03A9" w:rsidP="005546F7">
      <w:pPr>
        <w:ind w:firstLine="567"/>
        <w:jc w:val="both"/>
        <w:rPr>
          <w:b/>
        </w:rPr>
      </w:pPr>
      <w:r w:rsidRPr="0025317F">
        <w:rPr>
          <w:b/>
        </w:rPr>
        <w:t>Revaluations</w:t>
      </w:r>
    </w:p>
    <w:p w14:paraId="68352F9D" w14:textId="77777777" w:rsidR="002C03A9" w:rsidRPr="0025317F" w:rsidRDefault="002C03A9" w:rsidP="005546F7">
      <w:pPr>
        <w:tabs>
          <w:tab w:val="left" w:pos="567"/>
        </w:tabs>
        <w:ind w:left="567"/>
        <w:jc w:val="both"/>
      </w:pPr>
    </w:p>
    <w:p w14:paraId="5B70810F" w14:textId="77777777" w:rsidR="002C03A9" w:rsidRPr="0025317F" w:rsidRDefault="002C03A9" w:rsidP="005546F7">
      <w:pPr>
        <w:tabs>
          <w:tab w:val="left" w:pos="567"/>
        </w:tabs>
        <w:ind w:left="567"/>
        <w:jc w:val="both"/>
      </w:pPr>
      <w:r w:rsidRPr="0025317F">
        <w:t>Heritable properties were</w:t>
      </w:r>
      <w:r w:rsidR="00F57CAC" w:rsidRPr="0025317F">
        <w:t xml:space="preserve"> last</w:t>
      </w:r>
      <w:r w:rsidRPr="0025317F">
        <w:t xml:space="preserve"> revalued on </w:t>
      </w:r>
      <w:r w:rsidR="00634308" w:rsidRPr="0025317F">
        <w:t>31 December 20</w:t>
      </w:r>
      <w:r w:rsidR="00E42C9F" w:rsidRPr="0025317F">
        <w:t>22</w:t>
      </w:r>
      <w:r w:rsidR="00634308" w:rsidRPr="0025317F">
        <w:t xml:space="preserve"> </w:t>
      </w:r>
      <w:r w:rsidRPr="0025317F">
        <w:t>by Graham and Sibbald. The fair values of the properties have been estimated using an active market. Heritable property is measured at fair value less accumulated depreciation on buildings and impairment losses recognised after the date of the revaluation. Valuations are performed with sufficient frequency to ensure that the fair value of a revalued asset does not differ materially from its carrying amount.</w:t>
      </w:r>
    </w:p>
    <w:p w14:paraId="0614134A" w14:textId="77777777" w:rsidR="002C03A9" w:rsidRPr="0025317F" w:rsidRDefault="002C03A9" w:rsidP="005546F7">
      <w:pPr>
        <w:tabs>
          <w:tab w:val="left" w:pos="567"/>
        </w:tabs>
        <w:ind w:left="567"/>
        <w:jc w:val="both"/>
      </w:pPr>
    </w:p>
    <w:p w14:paraId="4B34B481" w14:textId="77777777" w:rsidR="002C03A9" w:rsidRPr="0025317F" w:rsidRDefault="002C03A9" w:rsidP="005546F7">
      <w:pPr>
        <w:tabs>
          <w:tab w:val="left" w:pos="567"/>
        </w:tabs>
        <w:ind w:left="567"/>
        <w:jc w:val="both"/>
      </w:pPr>
      <w:r w:rsidRPr="0025317F">
        <w:t xml:space="preserve">Any revaluation surplus is recognised in other comprehensive income and accumulated in equity in the asset revaluation reserve, except to the extent that it reverses a revaluation decrease of the same asset previously recognised in the </w:t>
      </w:r>
      <w:r w:rsidR="00BF113F" w:rsidRPr="0025317F">
        <w:t>S</w:t>
      </w:r>
      <w:r w:rsidRPr="0025317F">
        <w:t>tatement</w:t>
      </w:r>
      <w:r w:rsidR="00BF113F" w:rsidRPr="0025317F">
        <w:t xml:space="preserve"> of Profit or Loss</w:t>
      </w:r>
      <w:r w:rsidRPr="0025317F">
        <w:t xml:space="preserve">, in which case the increase is recognised in the </w:t>
      </w:r>
      <w:r w:rsidR="00BF113F" w:rsidRPr="0025317F">
        <w:t>S</w:t>
      </w:r>
      <w:r w:rsidRPr="0025317F">
        <w:t>tatement</w:t>
      </w:r>
      <w:r w:rsidR="00BF113F" w:rsidRPr="0025317F">
        <w:t xml:space="preserve"> of Profit or Loss</w:t>
      </w:r>
      <w:r w:rsidRPr="0025317F">
        <w:t xml:space="preserve">. A revaluation deficit is recognised in the </w:t>
      </w:r>
      <w:r w:rsidR="00BF113F" w:rsidRPr="0025317F">
        <w:t>S</w:t>
      </w:r>
      <w:r w:rsidRPr="0025317F">
        <w:t>tatement</w:t>
      </w:r>
      <w:r w:rsidR="00BF113F" w:rsidRPr="0025317F">
        <w:t xml:space="preserve"> of Profit or Loss</w:t>
      </w:r>
      <w:r w:rsidRPr="0025317F">
        <w:t>, except to the extent that it offsets an existing surplus on the same asset recognised in the asset revaluation reserve.</w:t>
      </w:r>
    </w:p>
    <w:p w14:paraId="3FFDA2AA" w14:textId="77777777" w:rsidR="00E82244" w:rsidRPr="0025317F" w:rsidRDefault="00E82244" w:rsidP="005546F7">
      <w:pPr>
        <w:tabs>
          <w:tab w:val="left" w:pos="567"/>
        </w:tabs>
        <w:ind w:left="567"/>
        <w:jc w:val="both"/>
      </w:pPr>
    </w:p>
    <w:p w14:paraId="00561985" w14:textId="77777777" w:rsidR="00E82244" w:rsidRPr="0025317F" w:rsidRDefault="00E82244" w:rsidP="005546F7">
      <w:pPr>
        <w:tabs>
          <w:tab w:val="left" w:pos="567"/>
        </w:tabs>
        <w:ind w:left="567"/>
        <w:jc w:val="both"/>
      </w:pPr>
      <w:r w:rsidRPr="0025317F">
        <w:t>An annual transfer from the asset revaluation reserve to retained earnings is made for the difference between depreciation based on the revalued carrying amount of the assets and depreciation based on the assets’ original cost. Additionally, accumulated depreciation as at the revaluation date is eliminated against the gross carrying amount of the asset and the net amount is restated to the revalued amount of the asset. Upon disposal, any revaluation reserve relating to the particular asset being sold is transferred to retained earnings.</w:t>
      </w:r>
    </w:p>
    <w:p w14:paraId="021DBAEB" w14:textId="77777777" w:rsidR="00E82244" w:rsidRPr="0025317F" w:rsidRDefault="007834A2" w:rsidP="005546F7">
      <w:pPr>
        <w:tabs>
          <w:tab w:val="left" w:pos="567"/>
        </w:tabs>
        <w:ind w:left="567"/>
        <w:jc w:val="both"/>
      </w:pPr>
      <w:r w:rsidRPr="0025317F">
        <w:tab/>
      </w:r>
      <w:r w:rsidRPr="0025317F">
        <w:tab/>
      </w:r>
    </w:p>
    <w:p w14:paraId="4998744E" w14:textId="77777777" w:rsidR="007834A2" w:rsidRPr="0025317F" w:rsidRDefault="007834A2" w:rsidP="005546F7">
      <w:pPr>
        <w:tabs>
          <w:tab w:val="left" w:pos="567"/>
        </w:tabs>
        <w:ind w:left="1134" w:hanging="1134"/>
        <w:jc w:val="both"/>
      </w:pPr>
      <w:r w:rsidRPr="0025317F">
        <w:tab/>
      </w:r>
      <w:r w:rsidRPr="0025317F">
        <w:rPr>
          <w:b/>
        </w:rPr>
        <w:t>Plant and equipment</w:t>
      </w:r>
    </w:p>
    <w:p w14:paraId="78B2BF9E" w14:textId="77777777" w:rsidR="007834A2" w:rsidRPr="0025317F" w:rsidRDefault="007834A2" w:rsidP="005546F7">
      <w:pPr>
        <w:tabs>
          <w:tab w:val="left" w:pos="567"/>
        </w:tabs>
        <w:ind w:left="567"/>
        <w:jc w:val="both"/>
      </w:pPr>
    </w:p>
    <w:p w14:paraId="7C6E14DE" w14:textId="77777777" w:rsidR="007834A2" w:rsidRPr="0025317F" w:rsidRDefault="007834A2" w:rsidP="005546F7">
      <w:pPr>
        <w:tabs>
          <w:tab w:val="left" w:pos="567"/>
        </w:tabs>
        <w:ind w:left="567"/>
        <w:jc w:val="both"/>
      </w:pPr>
      <w:r w:rsidRPr="0025317F">
        <w:t>The carrying amount of plant and equipment is reviewed annually by Directors to ensure it is not in excess of the recoverable amount from those assets. The recoverable amount is assessed on the basis of the expected net cash flows which will be received from the assets’ employment and subsequent disposal.  The expected net cash flows have not been discounted to present values in determining recoverable amounts.</w:t>
      </w:r>
    </w:p>
    <w:p w14:paraId="26238E3F" w14:textId="77777777" w:rsidR="007834A2" w:rsidRPr="0025317F" w:rsidRDefault="007834A2" w:rsidP="005546F7">
      <w:pPr>
        <w:tabs>
          <w:tab w:val="left" w:pos="567"/>
        </w:tabs>
        <w:ind w:left="567"/>
        <w:jc w:val="both"/>
      </w:pPr>
    </w:p>
    <w:p w14:paraId="3D14DBA2" w14:textId="77777777" w:rsidR="008B34F9" w:rsidRPr="00871E8A" w:rsidRDefault="00717590" w:rsidP="005546F7">
      <w:pPr>
        <w:tabs>
          <w:tab w:val="left" w:pos="567"/>
        </w:tabs>
        <w:ind w:left="851" w:hanging="851"/>
        <w:jc w:val="both"/>
      </w:pPr>
      <w:r w:rsidRPr="0025317F">
        <w:rPr>
          <w:b/>
          <w:i/>
        </w:rPr>
        <w:tab/>
      </w:r>
      <w:r w:rsidR="008B34F9" w:rsidRPr="0025317F">
        <w:rPr>
          <w:b/>
        </w:rPr>
        <w:t>Depreciation</w:t>
      </w:r>
    </w:p>
    <w:p w14:paraId="643A9A09" w14:textId="77777777" w:rsidR="008B34F9" w:rsidRPr="00871E8A" w:rsidRDefault="008B34F9" w:rsidP="005546F7">
      <w:pPr>
        <w:tabs>
          <w:tab w:val="left" w:pos="567"/>
        </w:tabs>
        <w:ind w:left="567" w:hanging="851"/>
        <w:jc w:val="both"/>
      </w:pPr>
    </w:p>
    <w:p w14:paraId="37343059" w14:textId="77777777" w:rsidR="008B34F9" w:rsidRPr="00871E8A" w:rsidRDefault="008B34F9" w:rsidP="005546F7">
      <w:pPr>
        <w:tabs>
          <w:tab w:val="left" w:pos="567"/>
        </w:tabs>
        <w:ind w:left="567" w:hanging="851"/>
        <w:jc w:val="both"/>
      </w:pPr>
      <w:r w:rsidRPr="00871E8A">
        <w:tab/>
      </w:r>
      <w:r w:rsidR="00D0070A" w:rsidRPr="00871E8A">
        <w:t xml:space="preserve">The depreciable amount of all fixed assets </w:t>
      </w:r>
      <w:r w:rsidR="00AF7494" w:rsidRPr="00871E8A">
        <w:t>(ex</w:t>
      </w:r>
      <w:r w:rsidR="00D0070A" w:rsidRPr="00871E8A">
        <w:t xml:space="preserve">cluding </w:t>
      </w:r>
      <w:r w:rsidR="00BF113F" w:rsidRPr="00871E8A">
        <w:t>heritable property</w:t>
      </w:r>
      <w:r w:rsidR="00AF7494" w:rsidRPr="00871E8A">
        <w:t>)</w:t>
      </w:r>
      <w:r w:rsidR="00D0070A" w:rsidRPr="00871E8A">
        <w:t xml:space="preserve"> and </w:t>
      </w:r>
      <w:r w:rsidR="00AF7494" w:rsidRPr="00871E8A">
        <w:t xml:space="preserve">including </w:t>
      </w:r>
      <w:r w:rsidR="00D0070A" w:rsidRPr="00871E8A">
        <w:t xml:space="preserve">capitalised leased assets are depreciated on a straight line basis over their estimated useful lives to the </w:t>
      </w:r>
      <w:r w:rsidR="009A0D1C" w:rsidRPr="00871E8A">
        <w:t>C</w:t>
      </w:r>
      <w:r w:rsidR="00D0070A" w:rsidRPr="00871E8A">
        <w:t xml:space="preserve">ompany commencing from the time the asset is held ready for use. </w:t>
      </w:r>
      <w:r w:rsidR="00BA370E" w:rsidRPr="00871E8A">
        <w:t>Improvements to non-heritable properties</w:t>
      </w:r>
      <w:r w:rsidRPr="00871E8A">
        <w:t xml:space="preserve"> are depreciated over the shorter of either the unexpired period of the lease or the estimated useful lives of the improvements.</w:t>
      </w:r>
    </w:p>
    <w:p w14:paraId="682FA171" w14:textId="77777777" w:rsidR="0033357A" w:rsidRPr="00871E8A" w:rsidRDefault="0033357A" w:rsidP="005546F7">
      <w:pPr>
        <w:tabs>
          <w:tab w:val="left" w:pos="567"/>
        </w:tabs>
        <w:ind w:left="567" w:hanging="851"/>
        <w:jc w:val="both"/>
      </w:pPr>
    </w:p>
    <w:p w14:paraId="06516776" w14:textId="77777777" w:rsidR="0033357A" w:rsidRPr="00871E8A" w:rsidRDefault="0033357A" w:rsidP="005546F7">
      <w:pPr>
        <w:tabs>
          <w:tab w:val="left" w:pos="567"/>
        </w:tabs>
        <w:ind w:left="567" w:hanging="851"/>
        <w:jc w:val="both"/>
      </w:pPr>
      <w:r w:rsidRPr="00871E8A">
        <w:tab/>
        <w:t>The depreciation rates used for each class of assets are:</w:t>
      </w:r>
    </w:p>
    <w:tbl>
      <w:tblPr>
        <w:tblW w:w="0" w:type="auto"/>
        <w:tblInd w:w="1101" w:type="dxa"/>
        <w:tblLook w:val="0000" w:firstRow="0" w:lastRow="0" w:firstColumn="0" w:lastColumn="0" w:noHBand="0" w:noVBand="0"/>
      </w:tblPr>
      <w:tblGrid>
        <w:gridCol w:w="4941"/>
        <w:gridCol w:w="3859"/>
      </w:tblGrid>
      <w:tr w:rsidR="0033357A" w:rsidRPr="00871E8A" w14:paraId="04D613F9" w14:textId="77777777" w:rsidTr="007D4212">
        <w:tc>
          <w:tcPr>
            <w:tcW w:w="5077" w:type="dxa"/>
          </w:tcPr>
          <w:p w14:paraId="7BFAD38F" w14:textId="77777777" w:rsidR="0033357A" w:rsidRPr="00871E8A" w:rsidRDefault="0033357A" w:rsidP="005546F7">
            <w:pPr>
              <w:tabs>
                <w:tab w:val="left" w:pos="567"/>
              </w:tabs>
              <w:ind w:left="567"/>
              <w:jc w:val="both"/>
              <w:rPr>
                <w:b/>
              </w:rPr>
            </w:pPr>
            <w:r w:rsidRPr="00871E8A">
              <w:rPr>
                <w:b/>
              </w:rPr>
              <w:t>Class of fixed asset</w:t>
            </w:r>
          </w:p>
        </w:tc>
        <w:tc>
          <w:tcPr>
            <w:tcW w:w="3939" w:type="dxa"/>
          </w:tcPr>
          <w:p w14:paraId="60930FE8" w14:textId="77777777" w:rsidR="0033357A" w:rsidRPr="00871E8A" w:rsidRDefault="0033357A" w:rsidP="005546F7">
            <w:pPr>
              <w:tabs>
                <w:tab w:val="left" w:pos="567"/>
              </w:tabs>
              <w:ind w:left="567"/>
              <w:jc w:val="both"/>
              <w:rPr>
                <w:b/>
              </w:rPr>
            </w:pPr>
            <w:r w:rsidRPr="00871E8A">
              <w:rPr>
                <w:b/>
              </w:rPr>
              <w:t>Depreciation rate</w:t>
            </w:r>
          </w:p>
        </w:tc>
      </w:tr>
      <w:tr w:rsidR="0033357A" w:rsidRPr="00871E8A" w14:paraId="399CB0E9" w14:textId="77777777" w:rsidTr="007D4212">
        <w:tc>
          <w:tcPr>
            <w:tcW w:w="5077" w:type="dxa"/>
          </w:tcPr>
          <w:p w14:paraId="23C8DF05" w14:textId="77777777" w:rsidR="0033357A" w:rsidRPr="00871E8A" w:rsidRDefault="00CD255C" w:rsidP="005546F7">
            <w:pPr>
              <w:tabs>
                <w:tab w:val="left" w:pos="567"/>
              </w:tabs>
              <w:ind w:left="567"/>
              <w:jc w:val="both"/>
            </w:pPr>
            <w:r w:rsidRPr="00871E8A">
              <w:t>Passenger vehicles</w:t>
            </w:r>
          </w:p>
        </w:tc>
        <w:tc>
          <w:tcPr>
            <w:tcW w:w="3939" w:type="dxa"/>
          </w:tcPr>
          <w:p w14:paraId="6C20990E" w14:textId="77777777" w:rsidR="0033357A" w:rsidRPr="00871E8A" w:rsidRDefault="00CD255C" w:rsidP="005546F7">
            <w:pPr>
              <w:pStyle w:val="Normalindent2"/>
              <w:ind w:left="567"/>
            </w:pPr>
            <w:r w:rsidRPr="00871E8A">
              <w:t>10 – 15</w:t>
            </w:r>
            <w:r w:rsidR="0033357A" w:rsidRPr="00871E8A">
              <w:t xml:space="preserve"> years</w:t>
            </w:r>
          </w:p>
        </w:tc>
      </w:tr>
      <w:tr w:rsidR="0033357A" w:rsidRPr="00871E8A" w14:paraId="4D603DEC" w14:textId="77777777" w:rsidTr="007D4212">
        <w:tc>
          <w:tcPr>
            <w:tcW w:w="5077" w:type="dxa"/>
          </w:tcPr>
          <w:p w14:paraId="4B3BBA2E" w14:textId="77777777" w:rsidR="0033357A" w:rsidRPr="00871E8A" w:rsidRDefault="00CD255C" w:rsidP="005546F7">
            <w:pPr>
              <w:tabs>
                <w:tab w:val="left" w:pos="567"/>
              </w:tabs>
              <w:ind w:left="567"/>
              <w:jc w:val="both"/>
            </w:pPr>
            <w:r w:rsidRPr="00871E8A">
              <w:t>Other v</w:t>
            </w:r>
            <w:r w:rsidR="0033357A" w:rsidRPr="00871E8A">
              <w:t>ehicles</w:t>
            </w:r>
          </w:p>
        </w:tc>
        <w:tc>
          <w:tcPr>
            <w:tcW w:w="3939" w:type="dxa"/>
          </w:tcPr>
          <w:p w14:paraId="4D6240E4" w14:textId="77777777" w:rsidR="0033357A" w:rsidRPr="00871E8A" w:rsidRDefault="00CD255C" w:rsidP="005546F7">
            <w:pPr>
              <w:pStyle w:val="Normalindent2"/>
              <w:ind w:left="567"/>
            </w:pPr>
            <w:r w:rsidRPr="00871E8A">
              <w:t>4</w:t>
            </w:r>
            <w:r w:rsidR="0033357A" w:rsidRPr="00871E8A">
              <w:t xml:space="preserve"> years</w:t>
            </w:r>
          </w:p>
        </w:tc>
      </w:tr>
      <w:tr w:rsidR="0033357A" w:rsidRPr="00871E8A" w14:paraId="02D0F8B2" w14:textId="77777777" w:rsidTr="007D4212">
        <w:tc>
          <w:tcPr>
            <w:tcW w:w="5077" w:type="dxa"/>
          </w:tcPr>
          <w:p w14:paraId="00347170" w14:textId="77777777" w:rsidR="0033357A" w:rsidRPr="00871E8A" w:rsidRDefault="00BA370E" w:rsidP="005546F7">
            <w:pPr>
              <w:tabs>
                <w:tab w:val="left" w:pos="567"/>
              </w:tabs>
              <w:ind w:left="567"/>
              <w:jc w:val="both"/>
            </w:pPr>
            <w:r w:rsidRPr="00871E8A">
              <w:t xml:space="preserve">Plant, </w:t>
            </w:r>
            <w:r w:rsidR="00CD255C" w:rsidRPr="00871E8A">
              <w:t>machinery</w:t>
            </w:r>
            <w:r w:rsidRPr="00871E8A">
              <w:t xml:space="preserve"> and other equipment</w:t>
            </w:r>
          </w:p>
        </w:tc>
        <w:tc>
          <w:tcPr>
            <w:tcW w:w="3939" w:type="dxa"/>
          </w:tcPr>
          <w:p w14:paraId="76F07BF9" w14:textId="77777777" w:rsidR="0033357A" w:rsidRPr="00871E8A" w:rsidRDefault="00CD255C" w:rsidP="005546F7">
            <w:pPr>
              <w:pStyle w:val="Normalindent2"/>
              <w:ind w:left="567"/>
            </w:pPr>
            <w:r w:rsidRPr="00871E8A">
              <w:t>3 – 10</w:t>
            </w:r>
            <w:r w:rsidR="0033357A" w:rsidRPr="00871E8A">
              <w:t xml:space="preserve"> years</w:t>
            </w:r>
          </w:p>
        </w:tc>
      </w:tr>
      <w:tr w:rsidR="007834A2" w:rsidRPr="00871E8A" w14:paraId="525FA10E" w14:textId="77777777" w:rsidTr="007D4212">
        <w:tc>
          <w:tcPr>
            <w:tcW w:w="5077" w:type="dxa"/>
          </w:tcPr>
          <w:p w14:paraId="25E1827B" w14:textId="77777777" w:rsidR="007834A2" w:rsidRPr="00871E8A" w:rsidRDefault="009C75C1" w:rsidP="005546F7">
            <w:pPr>
              <w:tabs>
                <w:tab w:val="left" w:pos="567"/>
              </w:tabs>
              <w:ind w:left="567"/>
              <w:jc w:val="both"/>
            </w:pPr>
            <w:r w:rsidRPr="00871E8A">
              <w:t>Leased property</w:t>
            </w:r>
          </w:p>
        </w:tc>
        <w:tc>
          <w:tcPr>
            <w:tcW w:w="3939" w:type="dxa"/>
          </w:tcPr>
          <w:p w14:paraId="57577CE7" w14:textId="77777777" w:rsidR="007834A2" w:rsidRPr="00C33886" w:rsidRDefault="009C75C1" w:rsidP="005546F7">
            <w:pPr>
              <w:pStyle w:val="Normalindent2"/>
              <w:ind w:left="567"/>
              <w:rPr>
                <w:sz w:val="18"/>
                <w:szCs w:val="18"/>
              </w:rPr>
            </w:pPr>
            <w:r w:rsidRPr="00C33886">
              <w:rPr>
                <w:sz w:val="18"/>
                <w:szCs w:val="18"/>
              </w:rPr>
              <w:t>Over the lease term, currently 6–25 years</w:t>
            </w:r>
          </w:p>
        </w:tc>
      </w:tr>
      <w:tr w:rsidR="00193509" w:rsidRPr="00871E8A" w14:paraId="4B6EDDAC" w14:textId="77777777" w:rsidTr="007D4212">
        <w:tc>
          <w:tcPr>
            <w:tcW w:w="5077" w:type="dxa"/>
          </w:tcPr>
          <w:p w14:paraId="39B26895" w14:textId="77777777" w:rsidR="00193509" w:rsidRPr="00871E8A" w:rsidRDefault="00193509" w:rsidP="005546F7">
            <w:pPr>
              <w:tabs>
                <w:tab w:val="left" w:pos="567"/>
              </w:tabs>
              <w:ind w:left="567"/>
              <w:jc w:val="both"/>
            </w:pPr>
            <w:r>
              <w:t>Intangible assets</w:t>
            </w:r>
          </w:p>
        </w:tc>
        <w:tc>
          <w:tcPr>
            <w:tcW w:w="3939" w:type="dxa"/>
          </w:tcPr>
          <w:p w14:paraId="0C62F572" w14:textId="77777777" w:rsidR="00193509" w:rsidRPr="00871E8A" w:rsidRDefault="00C20B4F" w:rsidP="005546F7">
            <w:pPr>
              <w:pStyle w:val="Normalindent2"/>
              <w:ind w:left="567"/>
            </w:pPr>
            <w:r>
              <w:t>Up to 10 years</w:t>
            </w:r>
          </w:p>
        </w:tc>
      </w:tr>
    </w:tbl>
    <w:p w14:paraId="773ADF5B" w14:textId="77777777" w:rsidR="00BA370E" w:rsidRPr="00871E8A" w:rsidRDefault="0033357A" w:rsidP="005546F7">
      <w:pPr>
        <w:tabs>
          <w:tab w:val="left" w:pos="567"/>
        </w:tabs>
        <w:ind w:left="567" w:right="267" w:hanging="1134"/>
        <w:jc w:val="both"/>
        <w:rPr>
          <w:b/>
          <w:i/>
        </w:rPr>
      </w:pPr>
      <w:r w:rsidRPr="00871E8A">
        <w:rPr>
          <w:b/>
          <w:i/>
        </w:rPr>
        <w:tab/>
      </w:r>
      <w:r w:rsidRPr="00871E8A">
        <w:rPr>
          <w:b/>
          <w:i/>
        </w:rPr>
        <w:tab/>
      </w:r>
    </w:p>
    <w:p w14:paraId="28979807" w14:textId="77777777" w:rsidR="0033357A" w:rsidRPr="00871E8A" w:rsidRDefault="00712D14" w:rsidP="005546F7">
      <w:pPr>
        <w:tabs>
          <w:tab w:val="left" w:pos="567"/>
        </w:tabs>
        <w:ind w:left="567" w:right="267" w:hanging="851"/>
        <w:jc w:val="both"/>
      </w:pPr>
      <w:r w:rsidRPr="00871E8A">
        <w:rPr>
          <w:b/>
          <w:i/>
        </w:rPr>
        <w:tab/>
      </w:r>
      <w:r w:rsidR="0033357A" w:rsidRPr="00871E8A">
        <w:rPr>
          <w:b/>
        </w:rPr>
        <w:t>Derecognition and disposal</w:t>
      </w:r>
    </w:p>
    <w:p w14:paraId="5AB002A8" w14:textId="77777777" w:rsidR="0033357A" w:rsidRPr="00871E8A" w:rsidRDefault="0033357A" w:rsidP="005546F7">
      <w:pPr>
        <w:tabs>
          <w:tab w:val="left" w:pos="567"/>
        </w:tabs>
        <w:ind w:left="567" w:right="267" w:hanging="1134"/>
        <w:jc w:val="both"/>
      </w:pPr>
    </w:p>
    <w:p w14:paraId="2D62D720" w14:textId="77777777" w:rsidR="009C75C1" w:rsidRPr="00871E8A" w:rsidRDefault="0033357A" w:rsidP="005546F7">
      <w:pPr>
        <w:tabs>
          <w:tab w:val="left" w:pos="567"/>
        </w:tabs>
        <w:ind w:left="567" w:hanging="851"/>
        <w:jc w:val="both"/>
      </w:pPr>
      <w:r w:rsidRPr="00871E8A">
        <w:tab/>
        <w:t>An item of property, plant and equipment is derecognised upon disposal or when no further future economic benefits are expected from its use or disposal.</w:t>
      </w:r>
      <w:r w:rsidR="007D4212" w:rsidRPr="00871E8A">
        <w:t xml:space="preserve"> </w:t>
      </w:r>
    </w:p>
    <w:p w14:paraId="43E3B646" w14:textId="77777777" w:rsidR="009C75C1" w:rsidRPr="00871E8A" w:rsidRDefault="009C75C1" w:rsidP="005546F7">
      <w:pPr>
        <w:tabs>
          <w:tab w:val="left" w:pos="567"/>
        </w:tabs>
        <w:ind w:left="567" w:hanging="851"/>
        <w:jc w:val="both"/>
      </w:pPr>
    </w:p>
    <w:p w14:paraId="11D4787E" w14:textId="77777777" w:rsidR="0093773D" w:rsidRPr="00871E8A" w:rsidRDefault="009C75C1" w:rsidP="005546F7">
      <w:pPr>
        <w:tabs>
          <w:tab w:val="left" w:pos="567"/>
        </w:tabs>
        <w:ind w:left="567" w:hanging="851"/>
        <w:jc w:val="both"/>
      </w:pPr>
      <w:r w:rsidRPr="00871E8A">
        <w:tab/>
      </w:r>
      <w:r w:rsidR="007D4212" w:rsidRPr="00871E8A">
        <w:t xml:space="preserve">Any gain or loss arising on derecognition of the asset (calculated as the difference between the net disposal proceeds and the carrying amount of the asset) is included in profit or loss in the </w:t>
      </w:r>
      <w:r w:rsidR="0011148E">
        <w:t>period</w:t>
      </w:r>
      <w:r w:rsidR="007D4212" w:rsidRPr="00871E8A">
        <w:t xml:space="preserve"> the asset is derecognised.</w:t>
      </w:r>
    </w:p>
    <w:p w14:paraId="1F1F442E" w14:textId="77777777" w:rsidR="005E31A9" w:rsidRPr="00F45179" w:rsidRDefault="0093773D" w:rsidP="0093773D">
      <w:pPr>
        <w:tabs>
          <w:tab w:val="left" w:pos="567"/>
        </w:tabs>
        <w:ind w:left="1134" w:hanging="1134"/>
        <w:jc w:val="center"/>
        <w:rPr>
          <w:b/>
        </w:rPr>
      </w:pPr>
      <w:r w:rsidRPr="00C328EF">
        <w:rPr>
          <w:highlight w:val="yellow"/>
        </w:rPr>
        <w:br w:type="page"/>
      </w:r>
      <w:r w:rsidR="00EE27C5" w:rsidRPr="00F45179">
        <w:rPr>
          <w:b/>
        </w:rPr>
        <w:lastRenderedPageBreak/>
        <w:t>TRANSPORT FOR EDINBURGH LIMITED</w:t>
      </w:r>
    </w:p>
    <w:p w14:paraId="0D875A5A" w14:textId="77777777" w:rsidR="005E31A9" w:rsidRPr="00F45179" w:rsidRDefault="005E31A9" w:rsidP="005E31A9">
      <w:pPr>
        <w:rPr>
          <w:b/>
        </w:rPr>
      </w:pPr>
    </w:p>
    <w:p w14:paraId="1CA1E6AB" w14:textId="77777777" w:rsidR="005E31A9" w:rsidRPr="00F45179" w:rsidRDefault="005E31A9" w:rsidP="005E31A9">
      <w:pPr>
        <w:jc w:val="center"/>
        <w:rPr>
          <w:b/>
        </w:rPr>
      </w:pPr>
      <w:r w:rsidRPr="00F45179">
        <w:rPr>
          <w:b/>
        </w:rPr>
        <w:t>Notes to the Financial Statements (continued)</w:t>
      </w:r>
    </w:p>
    <w:p w14:paraId="0A1AFBE6" w14:textId="77777777" w:rsidR="005E31A9" w:rsidRPr="00F45179" w:rsidRDefault="005E31A9" w:rsidP="005E31A9">
      <w:pPr>
        <w:jc w:val="center"/>
        <w:rPr>
          <w:b/>
        </w:rPr>
      </w:pPr>
    </w:p>
    <w:p w14:paraId="483E6EDC" w14:textId="77777777" w:rsidR="005E31A9" w:rsidRPr="00F45179" w:rsidRDefault="00D90B89" w:rsidP="005E31A9">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1E2FD2A1" w14:textId="77777777" w:rsidR="008B34F9" w:rsidRPr="00F45179" w:rsidRDefault="008B34F9" w:rsidP="00B373F0">
      <w:pPr>
        <w:jc w:val="both"/>
      </w:pPr>
    </w:p>
    <w:p w14:paraId="2BB022C3" w14:textId="77777777" w:rsidR="00E341BE" w:rsidRPr="00F45179" w:rsidRDefault="008E0FA6" w:rsidP="00A5227C">
      <w:pPr>
        <w:numPr>
          <w:ilvl w:val="0"/>
          <w:numId w:val="18"/>
        </w:numPr>
        <w:ind w:left="567" w:hanging="567"/>
        <w:rPr>
          <w:b/>
        </w:rPr>
      </w:pPr>
      <w:r w:rsidRPr="00F45179">
        <w:rPr>
          <w:b/>
        </w:rPr>
        <w:t>Material accounting policies (continued)</w:t>
      </w:r>
    </w:p>
    <w:p w14:paraId="1F325621" w14:textId="77777777" w:rsidR="0093773D" w:rsidRPr="00F80503" w:rsidRDefault="0093773D" w:rsidP="0093773D">
      <w:pPr>
        <w:ind w:left="1134"/>
        <w:rPr>
          <w:b/>
        </w:rPr>
      </w:pPr>
    </w:p>
    <w:p w14:paraId="691EE7CF" w14:textId="77777777" w:rsidR="002C03A9" w:rsidRPr="00F80503" w:rsidRDefault="002C03A9" w:rsidP="00A5227C">
      <w:pPr>
        <w:numPr>
          <w:ilvl w:val="0"/>
          <w:numId w:val="44"/>
        </w:numPr>
        <w:tabs>
          <w:tab w:val="left" w:pos="567"/>
        </w:tabs>
        <w:ind w:left="587" w:right="267"/>
        <w:rPr>
          <w:b/>
        </w:rPr>
      </w:pPr>
      <w:r w:rsidRPr="00F80503">
        <w:rPr>
          <w:b/>
        </w:rPr>
        <w:tab/>
        <w:t>Leases</w:t>
      </w:r>
    </w:p>
    <w:p w14:paraId="61AFD666" w14:textId="77777777" w:rsidR="002C03A9" w:rsidRPr="00F80503" w:rsidRDefault="002C03A9" w:rsidP="002C03A9">
      <w:pPr>
        <w:tabs>
          <w:tab w:val="left" w:pos="567"/>
        </w:tabs>
        <w:rPr>
          <w:b/>
        </w:rPr>
      </w:pPr>
    </w:p>
    <w:p w14:paraId="31C0FDF8" w14:textId="77777777" w:rsidR="002C03A9" w:rsidRPr="00871E8A" w:rsidRDefault="002C03A9" w:rsidP="00F80503">
      <w:pPr>
        <w:tabs>
          <w:tab w:val="left" w:pos="567"/>
        </w:tabs>
        <w:ind w:left="624"/>
        <w:jc w:val="both"/>
        <w:rPr>
          <w:i/>
        </w:rPr>
      </w:pPr>
      <w:r w:rsidRPr="00871E8A">
        <w:rPr>
          <w:i/>
        </w:rPr>
        <w:t>Activities as a Lessee</w:t>
      </w:r>
    </w:p>
    <w:p w14:paraId="53DBD0AF" w14:textId="77777777" w:rsidR="002C03A9" w:rsidRPr="00871E8A" w:rsidRDefault="0013190F" w:rsidP="00F80503">
      <w:pPr>
        <w:ind w:left="624"/>
        <w:jc w:val="both"/>
      </w:pPr>
      <w:r w:rsidRPr="00871E8A">
        <w:t xml:space="preserve">For any new contracts, the Group considers whether a contract </w:t>
      </w:r>
      <w:r w:rsidR="00ED3815" w:rsidRPr="00871E8A">
        <w:t>is or</w:t>
      </w:r>
      <w:r w:rsidRPr="00871E8A">
        <w:t xml:space="preserve"> contains a lease. To apply</w:t>
      </w:r>
      <w:r w:rsidR="00AB608C" w:rsidRPr="00871E8A">
        <w:t xml:space="preserve"> the</w:t>
      </w:r>
      <w:r w:rsidR="00261F0D" w:rsidRPr="00871E8A">
        <w:t xml:space="preserve"> </w:t>
      </w:r>
      <w:r w:rsidRPr="00871E8A">
        <w:t>definition of a lease under IFRS 16, the Group assesses whether the contract meets three key evaluations: existence of an asset, the right to obtain the economic benefits from use of the asset and the right to direct use of the asset during the contracted period.</w:t>
      </w:r>
    </w:p>
    <w:p w14:paraId="32E1AF41" w14:textId="77777777" w:rsidR="00B373F0" w:rsidRPr="00871E8A" w:rsidRDefault="00B373F0" w:rsidP="00F80503">
      <w:pPr>
        <w:ind w:left="624"/>
      </w:pPr>
    </w:p>
    <w:p w14:paraId="170D16C0" w14:textId="77777777" w:rsidR="0013190F" w:rsidRPr="00871E8A" w:rsidRDefault="0013190F" w:rsidP="00F80503">
      <w:pPr>
        <w:tabs>
          <w:tab w:val="left" w:pos="567"/>
        </w:tabs>
        <w:ind w:left="624" w:hanging="1134"/>
        <w:jc w:val="both"/>
      </w:pPr>
      <w:r w:rsidRPr="00871E8A">
        <w:tab/>
      </w:r>
      <w:r w:rsidRPr="00871E8A">
        <w:tab/>
        <w:t xml:space="preserve">At lease commencement date, the Group recognises a right-of-use asset and a lease liability in the </w:t>
      </w:r>
      <w:r w:rsidR="00707CD2" w:rsidRPr="00871E8A">
        <w:t>S</w:t>
      </w:r>
      <w:r w:rsidRPr="00871E8A">
        <w:t xml:space="preserve">tatement of </w:t>
      </w:r>
      <w:r w:rsidR="00707CD2" w:rsidRPr="00871E8A">
        <w:t>F</w:t>
      </w:r>
      <w:r w:rsidRPr="00871E8A">
        <w:t xml:space="preserve">inancial </w:t>
      </w:r>
      <w:r w:rsidR="00707CD2" w:rsidRPr="00871E8A">
        <w:t>P</w:t>
      </w:r>
      <w:r w:rsidRPr="00871E8A">
        <w:t xml:space="preserve">osition. The right-of-use asset is measured at cost, which is made up of the initial measurement of the lease liability and any initial direct costs. </w:t>
      </w:r>
      <w:r w:rsidR="00AD6F56" w:rsidRPr="00871E8A">
        <w:t>The Group depreciates a right-of-use asset on a straight-line basis over its estimated useful life commencing from the time the asset is brought into use. Ownership of certain leased assets will transfer to the Group at the end of their lease term.</w:t>
      </w:r>
      <w:r w:rsidRPr="00871E8A">
        <w:t xml:space="preserve"> The Group also assesses the right-of-use asset for impairment when such indicators exist. At the commencement date, the Group measures the lease liability at the present value of the lease payments unpaid at that date, discounted using the interest rate implicit in the lease if that rate is readily available or the Group’s incremental borrowing rate. Subsequent to initial measurement, the liability will be reduced for payments made and increased for interest.</w:t>
      </w:r>
    </w:p>
    <w:p w14:paraId="6C2E77D3" w14:textId="77777777" w:rsidR="0013190F" w:rsidRPr="00871E8A" w:rsidRDefault="0013190F" w:rsidP="00F80503">
      <w:pPr>
        <w:tabs>
          <w:tab w:val="left" w:pos="567"/>
        </w:tabs>
        <w:ind w:left="624" w:hanging="1134"/>
        <w:jc w:val="both"/>
      </w:pPr>
    </w:p>
    <w:p w14:paraId="4DB7BCB5" w14:textId="77777777" w:rsidR="0013190F" w:rsidRPr="00871E8A" w:rsidRDefault="0013190F" w:rsidP="00F80503">
      <w:pPr>
        <w:tabs>
          <w:tab w:val="left" w:pos="567"/>
        </w:tabs>
        <w:ind w:left="624" w:hanging="1134"/>
        <w:jc w:val="both"/>
      </w:pPr>
      <w:r w:rsidRPr="00871E8A">
        <w:tab/>
      </w:r>
      <w:r w:rsidRPr="00871E8A">
        <w:tab/>
        <w:t xml:space="preserve">The Group has elected to account for leases of low-value assets using the practical expedients basis. The payments for these leases are recognised as an expense in profit and loss on a straight-line basis over the lease term. On the </w:t>
      </w:r>
      <w:r w:rsidR="00707CD2" w:rsidRPr="00871E8A">
        <w:t>S</w:t>
      </w:r>
      <w:r w:rsidRPr="00871E8A">
        <w:t xml:space="preserve">tatement of </w:t>
      </w:r>
      <w:r w:rsidR="00707CD2" w:rsidRPr="00871E8A">
        <w:t>F</w:t>
      </w:r>
      <w:r w:rsidRPr="00871E8A">
        <w:t xml:space="preserve">inancial </w:t>
      </w:r>
      <w:r w:rsidR="00707CD2" w:rsidRPr="00871E8A">
        <w:t>P</w:t>
      </w:r>
      <w:r w:rsidRPr="00871E8A">
        <w:t>osition, right-of-use assets have been included in Property, plant and equipment and lease liabilities have been included in Lease obligations.</w:t>
      </w:r>
    </w:p>
    <w:p w14:paraId="1CCF4AB1" w14:textId="77777777" w:rsidR="00B373F0" w:rsidRPr="00871E8A" w:rsidRDefault="00B373F0" w:rsidP="00F80503">
      <w:pPr>
        <w:tabs>
          <w:tab w:val="left" w:pos="567"/>
        </w:tabs>
        <w:ind w:left="624" w:hanging="1134"/>
        <w:jc w:val="both"/>
      </w:pPr>
      <w:r w:rsidRPr="00871E8A">
        <w:tab/>
      </w:r>
      <w:r w:rsidRPr="00871E8A">
        <w:tab/>
      </w:r>
    </w:p>
    <w:p w14:paraId="57712118" w14:textId="77777777" w:rsidR="00B373F0" w:rsidRPr="00871E8A" w:rsidRDefault="00B373F0" w:rsidP="00F80503">
      <w:pPr>
        <w:tabs>
          <w:tab w:val="left" w:pos="567"/>
        </w:tabs>
        <w:ind w:left="624"/>
        <w:jc w:val="both"/>
      </w:pPr>
      <w:r w:rsidRPr="00871E8A">
        <w:rPr>
          <w:i/>
        </w:rPr>
        <w:t>Activities as a Lessor</w:t>
      </w:r>
    </w:p>
    <w:p w14:paraId="2A0F89C9" w14:textId="77777777" w:rsidR="0013190F" w:rsidRPr="00871E8A" w:rsidRDefault="0013190F" w:rsidP="00F80503">
      <w:pPr>
        <w:tabs>
          <w:tab w:val="left" w:pos="567"/>
        </w:tabs>
        <w:ind w:left="624"/>
        <w:jc w:val="both"/>
      </w:pPr>
      <w:r w:rsidRPr="00871E8A">
        <w:t>Rental income from operating leases is recognised on a straight-line basis over the term of the relevant lease.</w:t>
      </w:r>
    </w:p>
    <w:p w14:paraId="3125A55C" w14:textId="77777777" w:rsidR="00E341BE" w:rsidRPr="00F80503" w:rsidRDefault="0017339A" w:rsidP="0013190F">
      <w:pPr>
        <w:tabs>
          <w:tab w:val="left" w:pos="567"/>
        </w:tabs>
        <w:ind w:left="850" w:hanging="142"/>
        <w:jc w:val="both"/>
        <w:rPr>
          <w:b/>
        </w:rPr>
      </w:pPr>
      <w:r w:rsidRPr="00F80503">
        <w:rPr>
          <w:b/>
        </w:rPr>
        <w:tab/>
      </w:r>
    </w:p>
    <w:p w14:paraId="0C457CE3" w14:textId="77777777" w:rsidR="00E341BE" w:rsidRPr="00F80503" w:rsidRDefault="00E341BE" w:rsidP="00A5227C">
      <w:pPr>
        <w:numPr>
          <w:ilvl w:val="0"/>
          <w:numId w:val="44"/>
        </w:numPr>
        <w:ind w:left="587"/>
        <w:jc w:val="both"/>
        <w:rPr>
          <w:b/>
        </w:rPr>
      </w:pPr>
      <w:r w:rsidRPr="00F80503">
        <w:rPr>
          <w:b/>
        </w:rPr>
        <w:t>Impairment</w:t>
      </w:r>
    </w:p>
    <w:p w14:paraId="60D4C85C" w14:textId="77777777" w:rsidR="00E341BE" w:rsidRPr="00F80503" w:rsidRDefault="00E341BE" w:rsidP="00B373F0">
      <w:pPr>
        <w:tabs>
          <w:tab w:val="left" w:pos="567"/>
        </w:tabs>
        <w:jc w:val="both"/>
        <w:rPr>
          <w:b/>
        </w:rPr>
      </w:pPr>
    </w:p>
    <w:p w14:paraId="5E175E97" w14:textId="77777777" w:rsidR="00E341BE" w:rsidRPr="00871E8A" w:rsidRDefault="00F80503" w:rsidP="00F80503">
      <w:pPr>
        <w:tabs>
          <w:tab w:val="left" w:pos="567"/>
        </w:tabs>
        <w:ind w:left="568" w:hanging="851"/>
        <w:jc w:val="both"/>
      </w:pPr>
      <w:r>
        <w:tab/>
      </w:r>
      <w:r w:rsidR="00E341BE" w:rsidRPr="00871E8A">
        <w:t>The carrying value of all assets</w:t>
      </w:r>
      <w:r w:rsidR="007E1A40">
        <w:t xml:space="preserve"> (excluding goodwill)</w:t>
      </w:r>
      <w:r w:rsidR="00E341BE" w:rsidRPr="00871E8A">
        <w:t xml:space="preserve"> are reviewed for impairment at each reporting date, with the recoverable</w:t>
      </w:r>
      <w:r>
        <w:t xml:space="preserve"> </w:t>
      </w:r>
      <w:r w:rsidR="00E341BE" w:rsidRPr="00871E8A">
        <w:t>amount being estimated when events or changes in circumstances indicate that the carrying value may be impaired.</w:t>
      </w:r>
    </w:p>
    <w:p w14:paraId="4194B9A5" w14:textId="77777777" w:rsidR="00E341BE" w:rsidRPr="00871E8A" w:rsidRDefault="00E341BE" w:rsidP="00F80503">
      <w:pPr>
        <w:tabs>
          <w:tab w:val="left" w:pos="567"/>
        </w:tabs>
        <w:ind w:left="624" w:hanging="851"/>
        <w:jc w:val="both"/>
      </w:pPr>
    </w:p>
    <w:p w14:paraId="01A2D346" w14:textId="77777777" w:rsidR="00A72C1C" w:rsidRPr="00871E8A" w:rsidRDefault="00F80503" w:rsidP="00F80503">
      <w:pPr>
        <w:tabs>
          <w:tab w:val="left" w:pos="567"/>
        </w:tabs>
        <w:ind w:left="568" w:hanging="851"/>
        <w:jc w:val="both"/>
      </w:pPr>
      <w:r>
        <w:tab/>
      </w:r>
      <w:r w:rsidR="00D0070A" w:rsidRPr="00871E8A">
        <w:t>The recoverable amount of all assets is the higher of fair value less c</w:t>
      </w:r>
      <w:r w:rsidR="00333F32" w:rsidRPr="00871E8A">
        <w:t xml:space="preserve">osts to sell and value in use. </w:t>
      </w:r>
      <w:r w:rsidR="00E341BE" w:rsidRPr="00871E8A">
        <w:t>In assessing value in use, the estimated future cash flows are discounted to their present value using a pre-tax discount rate that reflects current market assessments of the time value of money and the risks specific to the asset.</w:t>
      </w:r>
    </w:p>
    <w:p w14:paraId="5E8FE039" w14:textId="77777777" w:rsidR="00A72C1C" w:rsidRPr="00871E8A" w:rsidRDefault="00A72C1C" w:rsidP="00F80503">
      <w:pPr>
        <w:tabs>
          <w:tab w:val="left" w:pos="567"/>
        </w:tabs>
        <w:ind w:left="624" w:hanging="851"/>
        <w:jc w:val="both"/>
      </w:pPr>
    </w:p>
    <w:p w14:paraId="5099C299" w14:textId="77777777" w:rsidR="00A72C1C" w:rsidRDefault="00F80503" w:rsidP="00F80503">
      <w:pPr>
        <w:tabs>
          <w:tab w:val="left" w:pos="567"/>
        </w:tabs>
        <w:spacing w:after="120"/>
        <w:ind w:left="568" w:hanging="851"/>
        <w:jc w:val="both"/>
      </w:pPr>
      <w:r>
        <w:tab/>
      </w:r>
      <w:r w:rsidR="00A72C1C" w:rsidRPr="00871E8A">
        <w:t>For an asset that does not generate largely independent cash inflows, the recoverable amount is determined for the cash-generating unit to which it belongs, unless the asset's value in use can be estimated to be close to its fair value.</w:t>
      </w:r>
      <w:r w:rsidR="0013190F" w:rsidRPr="00871E8A">
        <w:t xml:space="preserve"> </w:t>
      </w:r>
      <w:r w:rsidR="00331DAD" w:rsidRPr="00871E8A">
        <w:t xml:space="preserve">An </w:t>
      </w:r>
      <w:r w:rsidR="00D0070A" w:rsidRPr="00871E8A">
        <w:t xml:space="preserve">impairment exists when the carrying value of the asset or cash-generating units exceeds its estimated recoverable amount. </w:t>
      </w:r>
      <w:r w:rsidR="00A72C1C" w:rsidRPr="00871E8A">
        <w:t>The asset or cash-generating unit is then written down to its recoverable amount.</w:t>
      </w:r>
    </w:p>
    <w:p w14:paraId="35CB4F5C" w14:textId="77777777" w:rsidR="009D2838" w:rsidRDefault="009D2838" w:rsidP="00A5227C">
      <w:pPr>
        <w:numPr>
          <w:ilvl w:val="0"/>
          <w:numId w:val="44"/>
        </w:numPr>
        <w:ind w:left="587"/>
        <w:rPr>
          <w:b/>
        </w:rPr>
      </w:pPr>
      <w:r w:rsidRPr="006609E2">
        <w:rPr>
          <w:b/>
        </w:rPr>
        <w:t>Intangible assets</w:t>
      </w:r>
    </w:p>
    <w:p w14:paraId="53B045DA" w14:textId="77777777" w:rsidR="003630DC" w:rsidRPr="006609E2" w:rsidRDefault="003630DC" w:rsidP="003630DC">
      <w:pPr>
        <w:ind w:left="587"/>
        <w:rPr>
          <w:b/>
        </w:rPr>
      </w:pPr>
    </w:p>
    <w:p w14:paraId="2C749656" w14:textId="77777777" w:rsidR="00C3686B" w:rsidRPr="00C3686B" w:rsidRDefault="00C3686B" w:rsidP="00E64F8B">
      <w:pPr>
        <w:tabs>
          <w:tab w:val="left" w:pos="567"/>
        </w:tabs>
        <w:spacing w:after="120"/>
        <w:ind w:left="567"/>
        <w:jc w:val="both"/>
      </w:pPr>
      <w:r w:rsidRPr="00C3686B">
        <w:t>Excluding goodwill, intangible assets refer to customer relationships and are carried at cost less accumulated amortisation. If a business is acquired which has long-term customer relationships, those relationships, are valued and an intangible asset set up to reflect that value. They are written off on a straight-line basis over periods of up to ten years.</w:t>
      </w:r>
    </w:p>
    <w:p w14:paraId="0FB8286D" w14:textId="77777777" w:rsidR="00F80503" w:rsidRPr="00871E8A" w:rsidRDefault="00F80503" w:rsidP="00F80503">
      <w:pPr>
        <w:tabs>
          <w:tab w:val="left" w:pos="567"/>
        </w:tabs>
        <w:ind w:left="568" w:hanging="851"/>
        <w:jc w:val="both"/>
      </w:pPr>
    </w:p>
    <w:p w14:paraId="26F3A681" w14:textId="77777777" w:rsidR="00A72C1C" w:rsidRPr="00871E8A" w:rsidRDefault="00A72C1C" w:rsidP="00A5227C">
      <w:pPr>
        <w:numPr>
          <w:ilvl w:val="0"/>
          <w:numId w:val="44"/>
        </w:numPr>
        <w:ind w:left="587"/>
        <w:rPr>
          <w:b/>
        </w:rPr>
      </w:pPr>
      <w:r w:rsidRPr="00871E8A">
        <w:rPr>
          <w:b/>
        </w:rPr>
        <w:t>Inventories</w:t>
      </w:r>
    </w:p>
    <w:p w14:paraId="6C477296" w14:textId="77777777" w:rsidR="00A72C1C" w:rsidRPr="00871E8A" w:rsidRDefault="00A72C1C" w:rsidP="000E284E">
      <w:pPr>
        <w:tabs>
          <w:tab w:val="left" w:pos="567"/>
        </w:tabs>
        <w:ind w:left="1140"/>
      </w:pPr>
    </w:p>
    <w:p w14:paraId="0C03C886" w14:textId="77777777" w:rsidR="00DB3C1C" w:rsidRDefault="00A72C1C" w:rsidP="00F80503">
      <w:pPr>
        <w:tabs>
          <w:tab w:val="left" w:pos="567"/>
        </w:tabs>
        <w:ind w:left="624"/>
        <w:jc w:val="both"/>
      </w:pPr>
      <w:r w:rsidRPr="00871E8A">
        <w:t>Inventor</w:t>
      </w:r>
      <w:r w:rsidR="000C63D5" w:rsidRPr="00871E8A">
        <w:t>ies, which includes vehicle</w:t>
      </w:r>
      <w:r w:rsidRPr="00871E8A">
        <w:t xml:space="preserve"> spares and fuel, </w:t>
      </w:r>
      <w:r w:rsidR="000C63D5" w:rsidRPr="00871E8A">
        <w:t>are</w:t>
      </w:r>
      <w:r w:rsidRPr="00871E8A">
        <w:t xml:space="preserve"> stated at cost after making due allowance for obsolete and slow-moving items.</w:t>
      </w:r>
    </w:p>
    <w:p w14:paraId="0830830B" w14:textId="77777777" w:rsidR="00DB3C1C" w:rsidRPr="00F45179" w:rsidRDefault="006609E2" w:rsidP="00DB3C1C">
      <w:pPr>
        <w:tabs>
          <w:tab w:val="left" w:pos="567"/>
        </w:tabs>
        <w:ind w:left="1134" w:hanging="1134"/>
        <w:jc w:val="center"/>
        <w:rPr>
          <w:b/>
        </w:rPr>
      </w:pPr>
      <w:r>
        <w:t xml:space="preserve"> </w:t>
      </w:r>
      <w:r w:rsidR="00DB3C1C">
        <w:br w:type="page"/>
      </w:r>
      <w:r w:rsidR="00DB3C1C" w:rsidRPr="00F45179">
        <w:rPr>
          <w:b/>
        </w:rPr>
        <w:lastRenderedPageBreak/>
        <w:t>TRANSPORT FOR EDINBURGH LIMITED</w:t>
      </w:r>
    </w:p>
    <w:p w14:paraId="481FDF9D" w14:textId="77777777" w:rsidR="00DB3C1C" w:rsidRPr="00F45179" w:rsidRDefault="00DB3C1C" w:rsidP="00DB3C1C">
      <w:pPr>
        <w:rPr>
          <w:b/>
        </w:rPr>
      </w:pPr>
    </w:p>
    <w:p w14:paraId="09D260BB" w14:textId="77777777" w:rsidR="00DB3C1C" w:rsidRPr="00F45179" w:rsidRDefault="00DB3C1C" w:rsidP="00DB3C1C">
      <w:pPr>
        <w:jc w:val="center"/>
        <w:rPr>
          <w:b/>
        </w:rPr>
      </w:pPr>
      <w:r w:rsidRPr="00F45179">
        <w:rPr>
          <w:b/>
        </w:rPr>
        <w:t>Notes to the Financial Statements (continued)</w:t>
      </w:r>
    </w:p>
    <w:p w14:paraId="66D59F7A" w14:textId="77777777" w:rsidR="00DB3C1C" w:rsidRPr="00F45179" w:rsidRDefault="00DB3C1C" w:rsidP="00DB3C1C">
      <w:pPr>
        <w:jc w:val="center"/>
        <w:rPr>
          <w:b/>
        </w:rPr>
      </w:pPr>
    </w:p>
    <w:p w14:paraId="2C53F858" w14:textId="77777777" w:rsidR="00DB3C1C" w:rsidRPr="00F45179" w:rsidRDefault="00DB3C1C" w:rsidP="00DB3C1C">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2C6B0676" w14:textId="77777777" w:rsidR="00DB3C1C" w:rsidRPr="00F45179" w:rsidRDefault="00DB3C1C" w:rsidP="00DB3C1C">
      <w:pPr>
        <w:jc w:val="both"/>
      </w:pPr>
    </w:p>
    <w:p w14:paraId="20E3A314" w14:textId="77777777" w:rsidR="00DB3C1C" w:rsidRPr="00F45179" w:rsidRDefault="00DB3C1C" w:rsidP="00A5227C">
      <w:pPr>
        <w:numPr>
          <w:ilvl w:val="0"/>
          <w:numId w:val="46"/>
        </w:numPr>
        <w:ind w:left="567" w:hanging="567"/>
        <w:rPr>
          <w:b/>
        </w:rPr>
      </w:pPr>
      <w:r w:rsidRPr="00F45179">
        <w:rPr>
          <w:b/>
        </w:rPr>
        <w:t>Material accounting policies (continued)</w:t>
      </w:r>
    </w:p>
    <w:p w14:paraId="57F3F14F" w14:textId="77777777" w:rsidR="00A72C1C" w:rsidRPr="00871E8A" w:rsidRDefault="00A72C1C" w:rsidP="00F80503">
      <w:pPr>
        <w:tabs>
          <w:tab w:val="left" w:pos="567"/>
        </w:tabs>
        <w:ind w:left="624"/>
        <w:jc w:val="both"/>
      </w:pPr>
    </w:p>
    <w:p w14:paraId="447D42A2" w14:textId="77777777" w:rsidR="00A72C1C" w:rsidRPr="00F80503" w:rsidRDefault="00A72C1C" w:rsidP="00F80503">
      <w:pPr>
        <w:tabs>
          <w:tab w:val="left" w:pos="567"/>
        </w:tabs>
        <w:ind w:left="624"/>
        <w:rPr>
          <w:b/>
        </w:rPr>
      </w:pPr>
    </w:p>
    <w:p w14:paraId="14722003" w14:textId="77777777" w:rsidR="00EA1FCA" w:rsidRPr="00F80503" w:rsidRDefault="00EA1FCA" w:rsidP="00A5227C">
      <w:pPr>
        <w:numPr>
          <w:ilvl w:val="0"/>
          <w:numId w:val="44"/>
        </w:numPr>
        <w:ind w:left="587"/>
        <w:rPr>
          <w:b/>
        </w:rPr>
      </w:pPr>
      <w:r w:rsidRPr="00F80503">
        <w:rPr>
          <w:b/>
        </w:rPr>
        <w:t>Cash and cash equivalents</w:t>
      </w:r>
    </w:p>
    <w:p w14:paraId="7942E0CA" w14:textId="77777777" w:rsidR="00EA1FCA" w:rsidRPr="00F80503" w:rsidRDefault="00EA1FCA" w:rsidP="00F80503">
      <w:pPr>
        <w:tabs>
          <w:tab w:val="left" w:pos="567"/>
        </w:tabs>
        <w:ind w:left="227"/>
        <w:rPr>
          <w:b/>
        </w:rPr>
      </w:pPr>
    </w:p>
    <w:p w14:paraId="15B68D16" w14:textId="77777777" w:rsidR="00EA1FCA" w:rsidRPr="00871E8A" w:rsidRDefault="00EA1FCA" w:rsidP="00F80503">
      <w:pPr>
        <w:tabs>
          <w:tab w:val="left" w:pos="567"/>
        </w:tabs>
        <w:ind w:left="568" w:hanging="851"/>
        <w:jc w:val="both"/>
      </w:pPr>
      <w:r w:rsidRPr="00871E8A">
        <w:tab/>
        <w:t xml:space="preserve">For the purposes of the </w:t>
      </w:r>
      <w:r w:rsidR="00707CD2" w:rsidRPr="00871E8A">
        <w:t>S</w:t>
      </w:r>
      <w:r w:rsidRPr="00871E8A">
        <w:t xml:space="preserve">tatement of </w:t>
      </w:r>
      <w:r w:rsidR="00707CD2" w:rsidRPr="00871E8A">
        <w:t>C</w:t>
      </w:r>
      <w:r w:rsidRPr="00871E8A">
        <w:t xml:space="preserve">ash </w:t>
      </w:r>
      <w:r w:rsidR="00707CD2" w:rsidRPr="00871E8A">
        <w:t>F</w:t>
      </w:r>
      <w:r w:rsidRPr="00871E8A">
        <w:t>lows, cash includes cash on hand and at call deposits with banks or financial institutions, investments in money market instruments maturing within less than two months and is net of bank overdrafts.</w:t>
      </w:r>
    </w:p>
    <w:p w14:paraId="174F4775" w14:textId="77777777" w:rsidR="00EA1FCA" w:rsidRPr="00F80503" w:rsidRDefault="00EA1FCA" w:rsidP="00EA1FCA">
      <w:pPr>
        <w:tabs>
          <w:tab w:val="left" w:pos="567"/>
        </w:tabs>
        <w:rPr>
          <w:b/>
        </w:rPr>
      </w:pPr>
    </w:p>
    <w:p w14:paraId="57750B66" w14:textId="77777777" w:rsidR="00EA1FCA" w:rsidRPr="00F80503" w:rsidRDefault="00EA1FCA" w:rsidP="00A5227C">
      <w:pPr>
        <w:numPr>
          <w:ilvl w:val="0"/>
          <w:numId w:val="44"/>
        </w:numPr>
        <w:ind w:hanging="436"/>
        <w:rPr>
          <w:b/>
        </w:rPr>
      </w:pPr>
      <w:r w:rsidRPr="00F80503">
        <w:rPr>
          <w:b/>
        </w:rPr>
        <w:t>Revenue</w:t>
      </w:r>
      <w:r w:rsidR="002D2081" w:rsidRPr="00F80503">
        <w:rPr>
          <w:b/>
        </w:rPr>
        <w:t xml:space="preserve"> and other income</w:t>
      </w:r>
    </w:p>
    <w:p w14:paraId="4043353A" w14:textId="77777777" w:rsidR="00EA1FCA" w:rsidRPr="00F80503" w:rsidRDefault="00EA1FCA" w:rsidP="00AE6A00">
      <w:pPr>
        <w:tabs>
          <w:tab w:val="left" w:pos="567"/>
          <w:tab w:val="num" w:pos="851"/>
        </w:tabs>
        <w:ind w:left="851"/>
        <w:rPr>
          <w:b/>
        </w:rPr>
      </w:pPr>
    </w:p>
    <w:p w14:paraId="6D5DBE7F" w14:textId="77777777" w:rsidR="00642146" w:rsidRPr="00871E8A" w:rsidRDefault="00642146" w:rsidP="00107CF1">
      <w:pPr>
        <w:tabs>
          <w:tab w:val="left" w:pos="567"/>
        </w:tabs>
        <w:ind w:left="568" w:hanging="1"/>
        <w:jc w:val="both"/>
      </w:pPr>
      <w:r w:rsidRPr="00871E8A">
        <w:t xml:space="preserve">Revenue is recognised to the extent that it is probable that the economic benefits will flow to the </w:t>
      </w:r>
      <w:r w:rsidR="009A0D1C" w:rsidRPr="00871E8A">
        <w:t>G</w:t>
      </w:r>
      <w:r w:rsidRPr="00871E8A">
        <w:t>roup and the revenue can be reliably measured, regardless of when the payment is being made.</w:t>
      </w:r>
    </w:p>
    <w:p w14:paraId="4061F277" w14:textId="77777777" w:rsidR="00642146" w:rsidRPr="00871E8A" w:rsidRDefault="00642146" w:rsidP="00107CF1">
      <w:pPr>
        <w:tabs>
          <w:tab w:val="left" w:pos="567"/>
        </w:tabs>
        <w:ind w:left="568" w:hanging="851"/>
        <w:jc w:val="both"/>
      </w:pPr>
    </w:p>
    <w:p w14:paraId="089FA177" w14:textId="77777777" w:rsidR="00642146" w:rsidRPr="00871E8A" w:rsidRDefault="00642146" w:rsidP="00107CF1">
      <w:pPr>
        <w:tabs>
          <w:tab w:val="left" w:pos="567"/>
        </w:tabs>
        <w:ind w:left="568" w:hanging="1"/>
        <w:jc w:val="both"/>
      </w:pPr>
      <w:r w:rsidRPr="00871E8A">
        <w:t xml:space="preserve">Revenue is derived principally from the provision of transport </w:t>
      </w:r>
      <w:r w:rsidR="00333F32" w:rsidRPr="00871E8A">
        <w:t>services in the United Kingdom.</w:t>
      </w:r>
      <w:r w:rsidRPr="00871E8A">
        <w:t xml:space="preserve"> Revenue is recognised upon the delivery of the service to the customer with reference to the stage of completion of travel provided under contractual terms and when relevant shown net of refunds. The majority of revenue is generated from cash fares received from customers at the point of travel when the revenue is recognised.</w:t>
      </w:r>
    </w:p>
    <w:p w14:paraId="6F020AB9" w14:textId="77777777" w:rsidR="00642146" w:rsidRPr="00871E8A" w:rsidRDefault="00642146" w:rsidP="00107CF1">
      <w:pPr>
        <w:tabs>
          <w:tab w:val="left" w:pos="567"/>
        </w:tabs>
        <w:ind w:left="568" w:hanging="851"/>
        <w:jc w:val="both"/>
      </w:pPr>
      <w:r w:rsidRPr="00107CF1">
        <w:t xml:space="preserve"> </w:t>
      </w:r>
    </w:p>
    <w:p w14:paraId="3C6259C3" w14:textId="77777777" w:rsidR="00642146" w:rsidRPr="00107CF1" w:rsidRDefault="00642146" w:rsidP="00107CF1">
      <w:pPr>
        <w:tabs>
          <w:tab w:val="left" w:pos="567"/>
        </w:tabs>
        <w:ind w:left="568" w:hanging="1"/>
        <w:jc w:val="both"/>
      </w:pPr>
      <w:r w:rsidRPr="00871E8A">
        <w:t xml:space="preserve">IFRS 15 states that the </w:t>
      </w:r>
      <w:r w:rsidR="009A0D1C" w:rsidRPr="00871E8A">
        <w:t>G</w:t>
      </w:r>
      <w:r w:rsidRPr="00871E8A">
        <w:t xml:space="preserve">roup must identify revenue recognised from contracts with customers. This applies to M-Ticket and Ridacard income streams where income is received in advance of travel and therefore a contract is created with the customer with the obligation to provide future travel services. The income is initially accounted for as deferred income on the </w:t>
      </w:r>
      <w:r w:rsidR="007E1A40">
        <w:t>Statement of Financial Position</w:t>
      </w:r>
      <w:r w:rsidRPr="00871E8A">
        <w:t xml:space="preserve"> and is recognised as revenue when the performance obligation is met by the </w:t>
      </w:r>
      <w:r w:rsidR="009A0D1C" w:rsidRPr="00871E8A">
        <w:t>G</w:t>
      </w:r>
      <w:r w:rsidRPr="00871E8A">
        <w:t xml:space="preserve">roup. The performance obligation is considered to be met for M-Ticket income when the M-Ticket is activated on travel by the customer or when the M-Ticket expires. The performance obligation is considered to be met for Ridacard income when the period of right to travel for the customer has occurred. </w:t>
      </w:r>
      <w:r w:rsidR="00491B04" w:rsidRPr="00871E8A">
        <w:t xml:space="preserve">Income on these contracts was </w:t>
      </w:r>
      <w:r w:rsidR="00491B04" w:rsidRPr="00E90917">
        <w:t>£</w:t>
      </w:r>
      <w:r w:rsidR="00F57409" w:rsidRPr="00E90917">
        <w:t>2</w:t>
      </w:r>
      <w:r w:rsidR="00E90917" w:rsidRPr="00E90917">
        <w:t>5</w:t>
      </w:r>
      <w:r w:rsidR="00F57409" w:rsidRPr="00E90917">
        <w:t>,</w:t>
      </w:r>
      <w:r w:rsidR="00E90917" w:rsidRPr="00E90917">
        <w:t>127</w:t>
      </w:r>
      <w:r w:rsidR="00F57409" w:rsidRPr="00E90917">
        <w:t>,</w:t>
      </w:r>
      <w:r w:rsidR="00E90917" w:rsidRPr="00E90917">
        <w:t>835</w:t>
      </w:r>
      <w:r w:rsidR="00F57409" w:rsidRPr="00871E8A">
        <w:t xml:space="preserve"> </w:t>
      </w:r>
      <w:r w:rsidR="00491B04" w:rsidRPr="00871E8A">
        <w:t>(202</w:t>
      </w:r>
      <w:r w:rsidR="00871E8A" w:rsidRPr="00871E8A">
        <w:t>3</w:t>
      </w:r>
      <w:r w:rsidR="00491B04" w:rsidRPr="00871E8A">
        <w:t>: £</w:t>
      </w:r>
      <w:r w:rsidR="00871E8A" w:rsidRPr="00871E8A">
        <w:t>22,411,633</w:t>
      </w:r>
      <w:r w:rsidR="00491B04" w:rsidRPr="00871E8A">
        <w:t>) for the group and £nil (202</w:t>
      </w:r>
      <w:r w:rsidR="00871E8A" w:rsidRPr="00871E8A">
        <w:t>3</w:t>
      </w:r>
      <w:r w:rsidR="00491B04" w:rsidRPr="00871E8A">
        <w:t>: £nil) for the company.</w:t>
      </w:r>
    </w:p>
    <w:p w14:paraId="241A5FBD" w14:textId="77777777" w:rsidR="00642146" w:rsidRPr="00107CF1" w:rsidRDefault="00642146" w:rsidP="00107CF1">
      <w:pPr>
        <w:tabs>
          <w:tab w:val="left" w:pos="567"/>
        </w:tabs>
        <w:ind w:left="568" w:hanging="851"/>
        <w:jc w:val="both"/>
      </w:pPr>
    </w:p>
    <w:p w14:paraId="22D79D98" w14:textId="77777777" w:rsidR="00642146" w:rsidRPr="00871E8A" w:rsidRDefault="00642146" w:rsidP="00107CF1">
      <w:pPr>
        <w:tabs>
          <w:tab w:val="left" w:pos="567"/>
        </w:tabs>
        <w:ind w:left="568" w:hanging="1"/>
        <w:jc w:val="both"/>
      </w:pPr>
      <w:r w:rsidRPr="00871E8A">
        <w:t xml:space="preserve">All revenue recognised from the provision of transport services is based on </w:t>
      </w:r>
      <w:r w:rsidR="000B483F" w:rsidRPr="00871E8A">
        <w:t>pre-determined</w:t>
      </w:r>
      <w:r w:rsidRPr="00871E8A">
        <w:t xml:space="preserve"> ticket/service prices which are </w:t>
      </w:r>
      <w:r w:rsidR="000B483F" w:rsidRPr="00871E8A">
        <w:t>publicly</w:t>
      </w:r>
      <w:r w:rsidRPr="00871E8A">
        <w:t xml:space="preserve"> available at </w:t>
      </w:r>
      <w:hyperlink r:id="rId25" w:history="1">
        <w:r w:rsidRPr="00107CF1">
          <w:t>www.lothianbuses.com</w:t>
        </w:r>
      </w:hyperlink>
      <w:r w:rsidRPr="00107CF1">
        <w:t xml:space="preserve">, </w:t>
      </w:r>
      <w:hyperlink r:id="rId26" w:history="1">
        <w:r w:rsidR="009A0D1C" w:rsidRPr="00107CF1">
          <w:t>www.edinburghtour.com</w:t>
        </w:r>
      </w:hyperlink>
      <w:r w:rsidR="00B66929" w:rsidRPr="00107CF1">
        <w:t xml:space="preserve">, </w:t>
      </w:r>
      <w:hyperlink r:id="rId27" w:history="1">
        <w:r w:rsidR="00B66929" w:rsidRPr="00107CF1">
          <w:t>www.eastcoastbuses.co.uk</w:t>
        </w:r>
      </w:hyperlink>
      <w:r w:rsidR="00B66929" w:rsidRPr="00107CF1">
        <w:t xml:space="preserve">, www.edinburghtrams.com </w:t>
      </w:r>
    </w:p>
    <w:p w14:paraId="44C59215" w14:textId="77777777" w:rsidR="00642146" w:rsidRPr="00871E8A" w:rsidRDefault="00642146" w:rsidP="00107CF1">
      <w:pPr>
        <w:tabs>
          <w:tab w:val="left" w:pos="567"/>
        </w:tabs>
        <w:ind w:left="568" w:hanging="851"/>
        <w:jc w:val="both"/>
      </w:pPr>
    </w:p>
    <w:p w14:paraId="6A81FC81" w14:textId="77777777" w:rsidR="00642146" w:rsidRDefault="00642146" w:rsidP="00107CF1">
      <w:pPr>
        <w:tabs>
          <w:tab w:val="left" w:pos="567"/>
        </w:tabs>
        <w:ind w:left="568" w:hanging="1"/>
        <w:jc w:val="both"/>
      </w:pPr>
      <w:r w:rsidRPr="00871E8A">
        <w:t xml:space="preserve">Concessionary amounts are recognised in revenue in the period in which the service is provided. </w:t>
      </w:r>
    </w:p>
    <w:p w14:paraId="17C0C8A4" w14:textId="77777777" w:rsidR="00107CF1" w:rsidRPr="00871E8A" w:rsidRDefault="00107CF1" w:rsidP="00107CF1">
      <w:pPr>
        <w:tabs>
          <w:tab w:val="left" w:pos="567"/>
        </w:tabs>
        <w:ind w:left="568" w:hanging="1"/>
        <w:jc w:val="both"/>
      </w:pPr>
    </w:p>
    <w:p w14:paraId="59DE0502" w14:textId="77777777" w:rsidR="00642146" w:rsidRDefault="00642146" w:rsidP="00107CF1">
      <w:pPr>
        <w:tabs>
          <w:tab w:val="left" w:pos="567"/>
        </w:tabs>
        <w:ind w:left="568" w:hanging="1"/>
        <w:jc w:val="both"/>
      </w:pPr>
      <w:r w:rsidRPr="00871E8A">
        <w:t>All revenue is stated net of the amount of value added tax (VAT).</w:t>
      </w:r>
    </w:p>
    <w:p w14:paraId="3572F7DE" w14:textId="77777777" w:rsidR="00107CF1" w:rsidRPr="00871E8A" w:rsidRDefault="00107CF1" w:rsidP="00107CF1">
      <w:pPr>
        <w:tabs>
          <w:tab w:val="left" w:pos="567"/>
        </w:tabs>
        <w:ind w:left="568" w:hanging="1"/>
        <w:jc w:val="both"/>
      </w:pPr>
    </w:p>
    <w:p w14:paraId="169BC6D5" w14:textId="77777777" w:rsidR="00642146" w:rsidRDefault="00642146" w:rsidP="00107CF1">
      <w:pPr>
        <w:tabs>
          <w:tab w:val="left" w:pos="567"/>
        </w:tabs>
        <w:ind w:left="568" w:hanging="1"/>
        <w:jc w:val="both"/>
      </w:pPr>
      <w:r w:rsidRPr="00871E8A">
        <w:t xml:space="preserve">Interest income is recognised on an accruals basis. </w:t>
      </w:r>
    </w:p>
    <w:p w14:paraId="7127A248" w14:textId="77777777" w:rsidR="00107CF1" w:rsidRPr="00871E8A" w:rsidRDefault="00107CF1" w:rsidP="00107CF1">
      <w:pPr>
        <w:tabs>
          <w:tab w:val="left" w:pos="567"/>
        </w:tabs>
        <w:ind w:left="568" w:hanging="1"/>
        <w:jc w:val="both"/>
      </w:pPr>
    </w:p>
    <w:p w14:paraId="18899A3F" w14:textId="77777777" w:rsidR="00642146" w:rsidRDefault="008E6F46" w:rsidP="00107CF1">
      <w:pPr>
        <w:tabs>
          <w:tab w:val="left" w:pos="567"/>
        </w:tabs>
        <w:ind w:left="568" w:hanging="1"/>
        <w:jc w:val="both"/>
      </w:pPr>
      <w:r w:rsidRPr="00871E8A">
        <w:t>The Group receives a Network Support Grant (</w:t>
      </w:r>
      <w:r w:rsidR="00130546" w:rsidRPr="00871E8A">
        <w:t>NSG) from Transport Scotland on mileage operated on local registered bus services to help keep fares down and therefore benefit passengers while contributing to the maintenance of the overall bus network</w:t>
      </w:r>
      <w:r w:rsidRPr="00871E8A">
        <w:t>.</w:t>
      </w:r>
    </w:p>
    <w:p w14:paraId="71EF208D" w14:textId="77777777" w:rsidR="00107CF1" w:rsidRPr="00871E8A" w:rsidRDefault="00107CF1" w:rsidP="00107CF1">
      <w:pPr>
        <w:tabs>
          <w:tab w:val="left" w:pos="567"/>
        </w:tabs>
        <w:ind w:left="568" w:hanging="1"/>
        <w:jc w:val="both"/>
      </w:pPr>
    </w:p>
    <w:p w14:paraId="7DC0ADDE" w14:textId="77777777" w:rsidR="00487490" w:rsidRPr="00107CF1" w:rsidRDefault="00642146" w:rsidP="00107CF1">
      <w:pPr>
        <w:tabs>
          <w:tab w:val="left" w:pos="567"/>
        </w:tabs>
        <w:ind w:left="568" w:hanging="1"/>
        <w:jc w:val="both"/>
      </w:pPr>
      <w:r w:rsidRPr="00871E8A">
        <w:t xml:space="preserve">Grants from government bodies and similar organisations are recognised where there is reasonable assurance that the </w:t>
      </w:r>
      <w:r w:rsidRPr="0025317F">
        <w:t xml:space="preserve">grant will be received and the </w:t>
      </w:r>
      <w:r w:rsidR="009A0D1C" w:rsidRPr="0025317F">
        <w:t>G</w:t>
      </w:r>
      <w:r w:rsidRPr="0025317F">
        <w:t>roup will comply with all attached conditions.  Government grants relating to costs are deferred and recognised in the income statement over the period necessary to match them with the costs th</w:t>
      </w:r>
      <w:r w:rsidR="00333F32" w:rsidRPr="0025317F">
        <w:t xml:space="preserve">ey are intended to compensate. </w:t>
      </w:r>
      <w:r w:rsidRPr="0025317F">
        <w:t>Government grants relating to the purchase of property, plant and equipment are deducted from the initial purchase price in arriving at the</w:t>
      </w:r>
      <w:r w:rsidR="00333F32" w:rsidRPr="0025317F">
        <w:t xml:space="preserve"> carrying amount of the asset. </w:t>
      </w:r>
      <w:r w:rsidRPr="0025317F">
        <w:t>The grant is recognised as income over the life of a depreciable asset by way of a reduced depreciation charge.</w:t>
      </w:r>
    </w:p>
    <w:p w14:paraId="63DB062C" w14:textId="77777777" w:rsidR="005E31A9" w:rsidRPr="00F45179" w:rsidRDefault="00E341BE" w:rsidP="00EE27C5">
      <w:pPr>
        <w:jc w:val="center"/>
        <w:rPr>
          <w:b/>
        </w:rPr>
      </w:pPr>
      <w:r w:rsidRPr="00C328EF">
        <w:rPr>
          <w:highlight w:val="yellow"/>
        </w:rPr>
        <w:br w:type="page"/>
      </w:r>
      <w:r w:rsidR="00EE27C5" w:rsidRPr="00F45179">
        <w:rPr>
          <w:b/>
        </w:rPr>
        <w:lastRenderedPageBreak/>
        <w:t>TRANSPORT FOR EDINBURGH LIMITE</w:t>
      </w:r>
      <w:r w:rsidR="00487490" w:rsidRPr="00F45179">
        <w:rPr>
          <w:b/>
        </w:rPr>
        <w:t>D</w:t>
      </w:r>
    </w:p>
    <w:p w14:paraId="6488AECF" w14:textId="77777777" w:rsidR="00EE27C5" w:rsidRPr="00F45179" w:rsidRDefault="00EE27C5" w:rsidP="00EE27C5">
      <w:pPr>
        <w:jc w:val="center"/>
        <w:rPr>
          <w:b/>
        </w:rPr>
      </w:pPr>
    </w:p>
    <w:p w14:paraId="6AA71975" w14:textId="77777777" w:rsidR="005E31A9" w:rsidRPr="00F45179" w:rsidRDefault="005E31A9" w:rsidP="005E31A9">
      <w:pPr>
        <w:jc w:val="center"/>
        <w:rPr>
          <w:b/>
        </w:rPr>
      </w:pPr>
      <w:r w:rsidRPr="00F45179">
        <w:rPr>
          <w:b/>
        </w:rPr>
        <w:t>Notes to the Financial Statements (continued)</w:t>
      </w:r>
    </w:p>
    <w:p w14:paraId="27888AAD" w14:textId="77777777" w:rsidR="005E31A9" w:rsidRPr="00F45179" w:rsidRDefault="005E31A9" w:rsidP="005E31A9">
      <w:pPr>
        <w:jc w:val="center"/>
        <w:rPr>
          <w:b/>
        </w:rPr>
      </w:pPr>
    </w:p>
    <w:p w14:paraId="3C3CDB46" w14:textId="77777777" w:rsidR="00E455A6" w:rsidRPr="00F45179" w:rsidRDefault="00D90B89" w:rsidP="004E37A5">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05B4F0C3" w14:textId="77777777" w:rsidR="005E31A9" w:rsidRPr="00F45179" w:rsidRDefault="005E31A9" w:rsidP="005E31A9">
      <w:pPr>
        <w:tabs>
          <w:tab w:val="left" w:pos="567"/>
        </w:tabs>
        <w:ind w:left="1134" w:right="267" w:hanging="1134"/>
        <w:jc w:val="both"/>
      </w:pPr>
    </w:p>
    <w:p w14:paraId="098524A3" w14:textId="77777777" w:rsidR="00EA1FCA" w:rsidRPr="00F45179" w:rsidRDefault="008E0FA6" w:rsidP="00A5227C">
      <w:pPr>
        <w:numPr>
          <w:ilvl w:val="0"/>
          <w:numId w:val="17"/>
        </w:numPr>
        <w:ind w:left="567" w:hanging="567"/>
      </w:pPr>
      <w:r w:rsidRPr="00F45179">
        <w:rPr>
          <w:b/>
        </w:rPr>
        <w:t>Material accounting policies (continued)</w:t>
      </w:r>
    </w:p>
    <w:p w14:paraId="53DB32BE" w14:textId="77777777" w:rsidR="00BE2818" w:rsidRPr="00F45179" w:rsidRDefault="00BE2818" w:rsidP="00F45179">
      <w:pPr>
        <w:tabs>
          <w:tab w:val="left" w:pos="567"/>
          <w:tab w:val="num" w:pos="851"/>
        </w:tabs>
        <w:ind w:left="851"/>
        <w:jc w:val="both"/>
      </w:pPr>
    </w:p>
    <w:p w14:paraId="1B367F56" w14:textId="77777777" w:rsidR="00BE2818" w:rsidRPr="00871E8A" w:rsidRDefault="00BE2818" w:rsidP="00A5227C">
      <w:pPr>
        <w:numPr>
          <w:ilvl w:val="0"/>
          <w:numId w:val="44"/>
        </w:numPr>
        <w:ind w:right="267"/>
        <w:rPr>
          <w:b/>
        </w:rPr>
      </w:pPr>
      <w:r w:rsidRPr="00871E8A">
        <w:rPr>
          <w:b/>
        </w:rPr>
        <w:t>Value added tax</w:t>
      </w:r>
    </w:p>
    <w:p w14:paraId="14BFD7B1" w14:textId="77777777" w:rsidR="00BE2818" w:rsidRPr="00871E8A" w:rsidRDefault="00BE2818" w:rsidP="00BE2818">
      <w:pPr>
        <w:tabs>
          <w:tab w:val="left" w:pos="567"/>
          <w:tab w:val="num" w:pos="851"/>
        </w:tabs>
        <w:ind w:left="851"/>
      </w:pPr>
    </w:p>
    <w:p w14:paraId="1EC265CA" w14:textId="77777777" w:rsidR="00BE2818" w:rsidRPr="00871E8A" w:rsidRDefault="00BE2818" w:rsidP="00BB1A82">
      <w:pPr>
        <w:tabs>
          <w:tab w:val="left" w:pos="567"/>
          <w:tab w:val="left" w:pos="1134"/>
        </w:tabs>
        <w:ind w:left="851"/>
        <w:jc w:val="both"/>
      </w:pPr>
      <w:r w:rsidRPr="00871E8A">
        <w:t>Revenues, expenses and assets are recognised net of the amount of value added tax (VAT), except:</w:t>
      </w:r>
    </w:p>
    <w:p w14:paraId="22C7AA9C" w14:textId="77777777" w:rsidR="00BE2818" w:rsidRPr="00871E8A" w:rsidRDefault="00BE2818" w:rsidP="00BB1A82">
      <w:pPr>
        <w:tabs>
          <w:tab w:val="left" w:pos="567"/>
          <w:tab w:val="left" w:pos="1134"/>
        </w:tabs>
        <w:ind w:left="851"/>
        <w:jc w:val="both"/>
      </w:pPr>
      <w:r w:rsidRPr="00871E8A">
        <w:t>i.</w:t>
      </w:r>
      <w:r w:rsidRPr="00871E8A">
        <w:tab/>
        <w:t xml:space="preserve">Where the amount of VAT incurred is not recoverable from the taxation authority, it is recognised as part of the cost of acquisition of an asset or as part of an item of expense; or </w:t>
      </w:r>
    </w:p>
    <w:p w14:paraId="60E8ED4C" w14:textId="77777777" w:rsidR="00BE2818" w:rsidRPr="00871E8A" w:rsidRDefault="00BE2818" w:rsidP="00BB1A82">
      <w:pPr>
        <w:tabs>
          <w:tab w:val="left" w:pos="567"/>
          <w:tab w:val="left" w:pos="1134"/>
        </w:tabs>
        <w:ind w:left="851"/>
        <w:jc w:val="both"/>
      </w:pPr>
      <w:r w:rsidRPr="00871E8A">
        <w:t>ii.</w:t>
      </w:r>
      <w:r w:rsidRPr="00871E8A">
        <w:tab/>
        <w:t>For receivables and payables, which are recognised inclusive of VAT.</w:t>
      </w:r>
    </w:p>
    <w:p w14:paraId="62E47983" w14:textId="77777777" w:rsidR="00BE2818" w:rsidRPr="00871E8A" w:rsidRDefault="00BE2818" w:rsidP="00BB1A82">
      <w:pPr>
        <w:tabs>
          <w:tab w:val="left" w:pos="567"/>
          <w:tab w:val="left" w:pos="1134"/>
        </w:tabs>
        <w:ind w:left="851"/>
        <w:jc w:val="both"/>
      </w:pPr>
    </w:p>
    <w:p w14:paraId="72168EEC" w14:textId="77777777" w:rsidR="00BE2818" w:rsidRPr="00871E8A" w:rsidRDefault="00BE2818" w:rsidP="00BB1A82">
      <w:pPr>
        <w:tabs>
          <w:tab w:val="left" w:pos="567"/>
          <w:tab w:val="left" w:pos="1134"/>
        </w:tabs>
        <w:ind w:left="851"/>
        <w:jc w:val="both"/>
      </w:pPr>
      <w:r w:rsidRPr="00871E8A">
        <w:t>The net amount of VAT recoverable from, or payable to, the taxation authority is included as part of receivables or payables.</w:t>
      </w:r>
    </w:p>
    <w:p w14:paraId="6675E8FF" w14:textId="77777777" w:rsidR="00BE2818" w:rsidRPr="00871E8A" w:rsidRDefault="00BE2818" w:rsidP="00BB1A82">
      <w:pPr>
        <w:tabs>
          <w:tab w:val="left" w:pos="567"/>
          <w:tab w:val="left" w:pos="1134"/>
        </w:tabs>
        <w:ind w:left="851"/>
        <w:jc w:val="both"/>
      </w:pPr>
    </w:p>
    <w:p w14:paraId="547862D1" w14:textId="77777777" w:rsidR="003277C3" w:rsidRPr="00871E8A" w:rsidRDefault="00BE2818" w:rsidP="00BB1A82">
      <w:pPr>
        <w:tabs>
          <w:tab w:val="left" w:pos="567"/>
          <w:tab w:val="left" w:pos="1134"/>
        </w:tabs>
        <w:ind w:left="851"/>
        <w:jc w:val="both"/>
      </w:pPr>
      <w:r w:rsidRPr="00871E8A">
        <w:t>Cash flows are included in the Statement of Cash Flows on a gross basis.  The VAT component of cash flows arising from investing and financing activities which is recoverable from, or payable to, the taxation authority is classified as operating cash flows.</w:t>
      </w:r>
    </w:p>
    <w:p w14:paraId="2973C026" w14:textId="77777777" w:rsidR="003277C3" w:rsidRPr="00871E8A" w:rsidRDefault="003277C3" w:rsidP="003277C3">
      <w:pPr>
        <w:tabs>
          <w:tab w:val="left" w:pos="567"/>
          <w:tab w:val="left" w:pos="1134"/>
        </w:tabs>
        <w:ind w:right="267"/>
        <w:jc w:val="both"/>
      </w:pPr>
    </w:p>
    <w:p w14:paraId="589F2B93" w14:textId="77777777" w:rsidR="003277C3" w:rsidRDefault="003277C3" w:rsidP="00A5227C">
      <w:pPr>
        <w:numPr>
          <w:ilvl w:val="0"/>
          <w:numId w:val="44"/>
        </w:numPr>
        <w:ind w:right="267"/>
        <w:rPr>
          <w:b/>
        </w:rPr>
      </w:pPr>
      <w:r>
        <w:rPr>
          <w:b/>
        </w:rPr>
        <w:t xml:space="preserve">   Provisions</w:t>
      </w:r>
    </w:p>
    <w:p w14:paraId="6D5781F6" w14:textId="77777777" w:rsidR="003277C3" w:rsidRDefault="003277C3" w:rsidP="003277C3">
      <w:pPr>
        <w:ind w:left="720" w:right="267"/>
        <w:rPr>
          <w:b/>
        </w:rPr>
      </w:pPr>
    </w:p>
    <w:p w14:paraId="5121B938" w14:textId="77777777" w:rsidR="003277C3" w:rsidRPr="00822DF2" w:rsidRDefault="003277C3" w:rsidP="00BB1A82">
      <w:pPr>
        <w:ind w:left="851" w:right="267"/>
        <w:jc w:val="both"/>
      </w:pPr>
      <w:r w:rsidRPr="009F5CD7">
        <w:t xml:space="preserve">Provisions are recognised when the </w:t>
      </w:r>
      <w:r>
        <w:t xml:space="preserve">group and </w:t>
      </w:r>
      <w:r w:rsidRPr="009F5CD7">
        <w:t>company has a present legal or constructive</w:t>
      </w:r>
      <w:r w:rsidR="00CB44E0">
        <w:t xml:space="preserve"> </w:t>
      </w:r>
      <w:r w:rsidRPr="009F5CD7">
        <w:t>obligation as a result of past events, it is probable that an outflow of economic benefits will be</w:t>
      </w:r>
      <w:r w:rsidR="00CB44E0">
        <w:t xml:space="preserve"> </w:t>
      </w:r>
      <w:r w:rsidRPr="009F5CD7">
        <w:t>required to settle the obligation, and a reliable estimate of the amount can be made.</w:t>
      </w:r>
      <w:r>
        <w:t xml:space="preserve"> </w:t>
      </w:r>
      <w:r w:rsidRPr="006F5481">
        <w:rPr>
          <w:rFonts w:cs="Arial"/>
          <w:color w:val="000000"/>
        </w:rPr>
        <w:t>Further details</w:t>
      </w:r>
      <w:r w:rsidR="00CB44E0">
        <w:rPr>
          <w:rFonts w:cs="Arial"/>
          <w:color w:val="000000"/>
        </w:rPr>
        <w:t xml:space="preserve"> </w:t>
      </w:r>
      <w:r w:rsidRPr="006F5481">
        <w:rPr>
          <w:rFonts w:cs="Arial"/>
          <w:color w:val="000000"/>
        </w:rPr>
        <w:t xml:space="preserve">of the provisions recognised in the year can be found at </w:t>
      </w:r>
      <w:r>
        <w:rPr>
          <w:rFonts w:cs="Arial"/>
          <w:color w:val="000000"/>
        </w:rPr>
        <w:t>N</w:t>
      </w:r>
      <w:r w:rsidRPr="006F5481">
        <w:rPr>
          <w:rFonts w:cs="Arial"/>
          <w:color w:val="000000"/>
        </w:rPr>
        <w:t>ote 1</w:t>
      </w:r>
      <w:r>
        <w:rPr>
          <w:rFonts w:cs="Arial"/>
          <w:color w:val="000000"/>
        </w:rPr>
        <w:t>7</w:t>
      </w:r>
      <w:r w:rsidRPr="006F5481">
        <w:rPr>
          <w:rFonts w:cs="Arial"/>
          <w:color w:val="000000"/>
        </w:rPr>
        <w:t>.</w:t>
      </w:r>
    </w:p>
    <w:p w14:paraId="15CB871E" w14:textId="77777777" w:rsidR="003277C3" w:rsidRDefault="003277C3" w:rsidP="003277C3">
      <w:pPr>
        <w:ind w:left="720" w:right="267"/>
        <w:rPr>
          <w:b/>
        </w:rPr>
      </w:pPr>
    </w:p>
    <w:p w14:paraId="3C0B4159" w14:textId="77777777" w:rsidR="00EA1FCA" w:rsidRPr="00871E8A" w:rsidRDefault="00EA1FCA" w:rsidP="00A5227C">
      <w:pPr>
        <w:numPr>
          <w:ilvl w:val="0"/>
          <w:numId w:val="44"/>
        </w:numPr>
        <w:ind w:right="267"/>
        <w:rPr>
          <w:b/>
        </w:rPr>
      </w:pPr>
      <w:r w:rsidRPr="00871E8A">
        <w:rPr>
          <w:b/>
        </w:rPr>
        <w:t>Employee benefits</w:t>
      </w:r>
    </w:p>
    <w:p w14:paraId="16D6B6B2" w14:textId="77777777" w:rsidR="00EA1FCA" w:rsidRPr="00871E8A" w:rsidRDefault="00EA1FCA" w:rsidP="00EA1FCA">
      <w:pPr>
        <w:tabs>
          <w:tab w:val="left" w:pos="567"/>
        </w:tabs>
        <w:ind w:left="1140" w:right="267"/>
        <w:rPr>
          <w:b/>
        </w:rPr>
      </w:pPr>
    </w:p>
    <w:p w14:paraId="462B8974" w14:textId="77777777" w:rsidR="00EA1FCA" w:rsidRPr="00871E8A" w:rsidRDefault="00EA1FCA" w:rsidP="00AE6A00">
      <w:pPr>
        <w:tabs>
          <w:tab w:val="left" w:pos="567"/>
        </w:tabs>
        <w:ind w:left="851"/>
        <w:jc w:val="both"/>
      </w:pPr>
      <w:r w:rsidRPr="00871E8A">
        <w:t xml:space="preserve">The </w:t>
      </w:r>
      <w:r w:rsidR="00FC637A" w:rsidRPr="00871E8A">
        <w:t>G</w:t>
      </w:r>
      <w:r w:rsidR="00AE08B2" w:rsidRPr="00871E8A">
        <w:t>roup</w:t>
      </w:r>
      <w:r w:rsidRPr="00871E8A">
        <w:t xml:space="preserve"> contributes to a variety of money purchase schemes for employees and to a defined benefits scheme operated on behalf of local council employees.  </w:t>
      </w:r>
    </w:p>
    <w:p w14:paraId="0F45093A" w14:textId="77777777" w:rsidR="00EA1FCA" w:rsidRPr="00871E8A" w:rsidRDefault="00EA1FCA" w:rsidP="00AE6A00">
      <w:pPr>
        <w:tabs>
          <w:tab w:val="left" w:pos="567"/>
        </w:tabs>
        <w:ind w:left="851"/>
      </w:pPr>
    </w:p>
    <w:p w14:paraId="667FA0A1" w14:textId="77777777" w:rsidR="00BE2818" w:rsidRPr="00871E8A" w:rsidRDefault="00E14DFF" w:rsidP="00BE2818">
      <w:pPr>
        <w:ind w:left="851"/>
        <w:jc w:val="both"/>
      </w:pPr>
      <w:r w:rsidRPr="00871E8A">
        <w:t>Around half of the</w:t>
      </w:r>
      <w:r w:rsidR="0018563C" w:rsidRPr="00871E8A">
        <w:t xml:space="preserve"> employees </w:t>
      </w:r>
      <w:r w:rsidRPr="00871E8A">
        <w:t>in</w:t>
      </w:r>
      <w:r w:rsidR="0018563C" w:rsidRPr="00871E8A">
        <w:t xml:space="preserve"> Lothian Buses Limited</w:t>
      </w:r>
      <w:r w:rsidR="00D0070A" w:rsidRPr="00871E8A">
        <w:t xml:space="preserve"> participate in the Lothian Buses Pension Fund, which is part of the Local Government Pension Scheme administered by </w:t>
      </w:r>
      <w:r w:rsidR="00333F32" w:rsidRPr="00871E8A">
        <w:t xml:space="preserve">the City of Edinburgh Council. </w:t>
      </w:r>
      <w:r w:rsidR="00EA1FCA" w:rsidRPr="00871E8A">
        <w:t>The Scheme is of the defined benefit type with the assets held in external funds managed by professional investment managers.</w:t>
      </w:r>
      <w:r w:rsidR="00BE2818" w:rsidRPr="00871E8A">
        <w:t xml:space="preserve"> With effect from 1 January 2008 the scheme was closed to new employees who were offered the opportunity to join The Lothian Buses Group Personal Pension Plan.</w:t>
      </w:r>
    </w:p>
    <w:p w14:paraId="494220EC" w14:textId="77777777" w:rsidR="00EA1FCA" w:rsidRPr="00871E8A" w:rsidRDefault="00EA1FCA" w:rsidP="00AE6A00">
      <w:pPr>
        <w:tabs>
          <w:tab w:val="left" w:pos="567"/>
        </w:tabs>
        <w:ind w:left="851"/>
      </w:pPr>
    </w:p>
    <w:p w14:paraId="08F5CECF" w14:textId="77777777" w:rsidR="00EA1FCA" w:rsidRPr="00871E8A" w:rsidRDefault="00EA1FCA" w:rsidP="00AE6A00">
      <w:pPr>
        <w:tabs>
          <w:tab w:val="left" w:pos="567"/>
        </w:tabs>
        <w:ind w:left="851"/>
        <w:jc w:val="both"/>
      </w:pPr>
      <w:r w:rsidRPr="00871E8A">
        <w:t xml:space="preserve">Contributions to the schemes are charged to the Statement of </w:t>
      </w:r>
      <w:r w:rsidR="00564223" w:rsidRPr="00871E8A">
        <w:t xml:space="preserve">Profit or Loss and Other </w:t>
      </w:r>
      <w:r w:rsidRPr="00871E8A">
        <w:t>Compr</w:t>
      </w:r>
      <w:r w:rsidR="00333F32" w:rsidRPr="00871E8A">
        <w:t xml:space="preserve">ehensive Income as they arise. </w:t>
      </w:r>
      <w:r w:rsidR="00D0070A" w:rsidRPr="00871E8A">
        <w:t xml:space="preserve">The assets of the scheme are held separately from those of the </w:t>
      </w:r>
      <w:r w:rsidR="007E1A40">
        <w:t>Group</w:t>
      </w:r>
      <w:r w:rsidR="00D0070A" w:rsidRPr="00871E8A">
        <w:t xml:space="preserve"> in ind</w:t>
      </w:r>
      <w:r w:rsidR="00333F32" w:rsidRPr="00871E8A">
        <w:t xml:space="preserve">ependently administered funds. </w:t>
      </w:r>
      <w:r w:rsidRPr="00871E8A">
        <w:t xml:space="preserve">The </w:t>
      </w:r>
      <w:r w:rsidR="00FC637A" w:rsidRPr="00871E8A">
        <w:t>G</w:t>
      </w:r>
      <w:r w:rsidR="00AE08B2" w:rsidRPr="00871E8A">
        <w:t>roup</w:t>
      </w:r>
      <w:r w:rsidRPr="00871E8A">
        <w:t xml:space="preserve"> has fully adopted the accounting principles as required by International Accounting Standard 19 – Employee Benefits.</w:t>
      </w:r>
    </w:p>
    <w:p w14:paraId="590BA334" w14:textId="77777777" w:rsidR="00EA1FCA" w:rsidRPr="00871E8A" w:rsidRDefault="00EA1FCA" w:rsidP="00AE6A00">
      <w:pPr>
        <w:tabs>
          <w:tab w:val="left" w:pos="567"/>
        </w:tabs>
        <w:ind w:left="851"/>
        <w:jc w:val="both"/>
      </w:pPr>
    </w:p>
    <w:p w14:paraId="2E80F116" w14:textId="77777777" w:rsidR="00BB3E01" w:rsidRPr="00871E8A" w:rsidRDefault="00BB3E01" w:rsidP="00AE6A00">
      <w:pPr>
        <w:tabs>
          <w:tab w:val="left" w:pos="567"/>
        </w:tabs>
        <w:ind w:left="851"/>
        <w:jc w:val="both"/>
      </w:pPr>
      <w:r w:rsidRPr="00871E8A">
        <w:t xml:space="preserve">The </w:t>
      </w:r>
      <w:r w:rsidR="00E47675" w:rsidRPr="00871E8A">
        <w:t xml:space="preserve">asset or </w:t>
      </w:r>
      <w:r w:rsidRPr="00871E8A">
        <w:t xml:space="preserve">liability recognised in the </w:t>
      </w:r>
      <w:r w:rsidR="00707CD2" w:rsidRPr="00871E8A">
        <w:t>Statement of Financial Position</w:t>
      </w:r>
      <w:r w:rsidRPr="00871E8A">
        <w:t xml:space="preserve"> in respect of defined benefit pension plans is the present value of the defined benefit obligation at the end of the reporting period less the fair value of plan assets, together with adjustments for un</w:t>
      </w:r>
      <w:r w:rsidR="00333F32" w:rsidRPr="00871E8A">
        <w:t xml:space="preserve">recognised past-service costs. </w:t>
      </w:r>
      <w:r w:rsidRPr="00871E8A">
        <w:t>The defined benefit obligation is calculated annually by independent actuaries using the</w:t>
      </w:r>
      <w:r w:rsidR="00333F32" w:rsidRPr="00871E8A">
        <w:t xml:space="preserve"> projected unit credit method. </w:t>
      </w:r>
      <w:r w:rsidRPr="00871E8A">
        <w:t>The present value of defined benefit obligation is determined by discounting the estimated future cash outflows using interest rates of high-quality corporate bonds that are denominated in a currency in which the benefits will be paid, and that have terms to maturity approximating to the terms of the related pension obligations.</w:t>
      </w:r>
    </w:p>
    <w:p w14:paraId="23ADA1C0" w14:textId="77777777" w:rsidR="00BB3E01" w:rsidRPr="00871E8A" w:rsidRDefault="00BB3E01" w:rsidP="00AE6A00">
      <w:pPr>
        <w:tabs>
          <w:tab w:val="left" w:pos="567"/>
        </w:tabs>
        <w:ind w:left="851" w:right="267"/>
        <w:rPr>
          <w:b/>
        </w:rPr>
      </w:pPr>
    </w:p>
    <w:p w14:paraId="57230489" w14:textId="77777777" w:rsidR="00BB3E01" w:rsidRPr="00871E8A" w:rsidRDefault="00BB3E01" w:rsidP="00AE6A00">
      <w:pPr>
        <w:tabs>
          <w:tab w:val="left" w:pos="567"/>
        </w:tabs>
        <w:ind w:left="851"/>
        <w:jc w:val="both"/>
      </w:pPr>
      <w:r w:rsidRPr="00871E8A">
        <w:t xml:space="preserve">Actuarial gains and losses arising from experience adjustments and changes in actuarial assumptions are charged or credited to equity in other comprehensive income in the period in which they arise.  </w:t>
      </w:r>
    </w:p>
    <w:p w14:paraId="7571E80A" w14:textId="77777777" w:rsidR="00BB3E01" w:rsidRPr="00871E8A" w:rsidRDefault="00BB3E01" w:rsidP="00AE6A00">
      <w:pPr>
        <w:tabs>
          <w:tab w:val="left" w:pos="567"/>
        </w:tabs>
        <w:ind w:left="851"/>
        <w:jc w:val="both"/>
      </w:pPr>
    </w:p>
    <w:p w14:paraId="2DDFB388" w14:textId="77777777" w:rsidR="00BB3E01" w:rsidRPr="00871E8A" w:rsidRDefault="00BB3E01" w:rsidP="00AE6A00">
      <w:pPr>
        <w:tabs>
          <w:tab w:val="left" w:pos="567"/>
        </w:tabs>
        <w:ind w:left="851"/>
        <w:jc w:val="both"/>
      </w:pPr>
      <w:r w:rsidRPr="00871E8A">
        <w:t>Past-service costs are recognised immediately in income, unless the changes to the pension plan are conditional on the employees remaining in service for a specified period</w:t>
      </w:r>
      <w:r w:rsidR="00333F32" w:rsidRPr="00871E8A">
        <w:t xml:space="preserve"> of time (the vesting period). </w:t>
      </w:r>
      <w:r w:rsidRPr="00871E8A">
        <w:t>In this case, the past-service costs are amortised on a straight-line basis over the vesting period.</w:t>
      </w:r>
    </w:p>
    <w:p w14:paraId="79F73175" w14:textId="77777777" w:rsidR="00BB3E01" w:rsidRPr="00871E8A" w:rsidRDefault="00BB3E01" w:rsidP="00AE6A00">
      <w:pPr>
        <w:tabs>
          <w:tab w:val="left" w:pos="567"/>
        </w:tabs>
        <w:ind w:left="851"/>
      </w:pPr>
    </w:p>
    <w:p w14:paraId="1B315988" w14:textId="77777777" w:rsidR="00DB3C1C" w:rsidRDefault="00DB3C1C" w:rsidP="00AE6A00">
      <w:pPr>
        <w:ind w:left="851" w:right="-149"/>
        <w:jc w:val="both"/>
        <w:outlineLvl w:val="0"/>
        <w:rPr>
          <w:b/>
        </w:rPr>
      </w:pPr>
    </w:p>
    <w:p w14:paraId="4F446BFB" w14:textId="77777777" w:rsidR="00DB3C1C" w:rsidRDefault="00DB3C1C" w:rsidP="00AE6A00">
      <w:pPr>
        <w:ind w:left="851" w:right="-149"/>
        <w:jc w:val="both"/>
        <w:outlineLvl w:val="0"/>
        <w:rPr>
          <w:b/>
        </w:rPr>
      </w:pPr>
    </w:p>
    <w:p w14:paraId="0EEF5128" w14:textId="77777777" w:rsidR="005E31A9" w:rsidRPr="00F45179" w:rsidRDefault="00DB3C1C" w:rsidP="00DB3C1C">
      <w:pPr>
        <w:ind w:left="851" w:right="-149"/>
        <w:jc w:val="center"/>
        <w:outlineLvl w:val="0"/>
        <w:rPr>
          <w:b/>
        </w:rPr>
      </w:pPr>
      <w:r>
        <w:rPr>
          <w:b/>
        </w:rPr>
        <w:br w:type="page"/>
      </w:r>
      <w:r w:rsidR="00EE27C5" w:rsidRPr="00F45179">
        <w:rPr>
          <w:b/>
        </w:rPr>
        <w:lastRenderedPageBreak/>
        <w:t>TRANSPORT FOR EDINBURGH LIMITED</w:t>
      </w:r>
    </w:p>
    <w:p w14:paraId="0E091E43" w14:textId="77777777" w:rsidR="005E31A9" w:rsidRPr="00F45179" w:rsidRDefault="005E31A9" w:rsidP="005E31A9">
      <w:pPr>
        <w:rPr>
          <w:b/>
        </w:rPr>
      </w:pPr>
    </w:p>
    <w:p w14:paraId="0EDAA2B2" w14:textId="77777777" w:rsidR="005E31A9" w:rsidRPr="00F45179" w:rsidRDefault="005E31A9" w:rsidP="005E31A9">
      <w:pPr>
        <w:jc w:val="center"/>
        <w:rPr>
          <w:b/>
        </w:rPr>
      </w:pPr>
      <w:r w:rsidRPr="00F45179">
        <w:rPr>
          <w:b/>
        </w:rPr>
        <w:t>Notes to the Financial Statements (continued)</w:t>
      </w:r>
    </w:p>
    <w:p w14:paraId="74A03C89" w14:textId="77777777" w:rsidR="005E31A9" w:rsidRPr="00F45179" w:rsidRDefault="005E31A9" w:rsidP="005E31A9">
      <w:pPr>
        <w:jc w:val="center"/>
        <w:rPr>
          <w:b/>
        </w:rPr>
      </w:pPr>
    </w:p>
    <w:p w14:paraId="423F449D" w14:textId="77777777" w:rsidR="005E31A9" w:rsidRPr="00F45179" w:rsidRDefault="00D90B89" w:rsidP="005E31A9">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103803CB" w14:textId="77777777" w:rsidR="007032DC" w:rsidRPr="00F45179" w:rsidRDefault="007032DC" w:rsidP="0007629E">
      <w:pPr>
        <w:tabs>
          <w:tab w:val="left" w:pos="567"/>
        </w:tabs>
        <w:ind w:left="570" w:right="267"/>
        <w:jc w:val="both"/>
        <w:rPr>
          <w:b/>
        </w:rPr>
      </w:pPr>
    </w:p>
    <w:p w14:paraId="4FF64488" w14:textId="77777777" w:rsidR="00DB3C1C" w:rsidRDefault="00A809E1" w:rsidP="00AE6A00">
      <w:pPr>
        <w:ind w:left="567" w:hanging="567"/>
        <w:rPr>
          <w:b/>
        </w:rPr>
      </w:pPr>
      <w:r w:rsidRPr="00F45179">
        <w:rPr>
          <w:b/>
        </w:rPr>
        <w:t>1.</w:t>
      </w:r>
      <w:r w:rsidRPr="00F45179">
        <w:rPr>
          <w:b/>
        </w:rPr>
        <w:tab/>
      </w:r>
      <w:r w:rsidR="008E0FA6" w:rsidRPr="00F45179">
        <w:rPr>
          <w:b/>
        </w:rPr>
        <w:t>Material accounting policies (continued)</w:t>
      </w:r>
    </w:p>
    <w:p w14:paraId="35B001AE" w14:textId="77777777" w:rsidR="00DB3C1C" w:rsidRDefault="00DB3C1C" w:rsidP="00AE6A00">
      <w:pPr>
        <w:ind w:left="567" w:hanging="567"/>
        <w:rPr>
          <w:b/>
        </w:rPr>
      </w:pPr>
    </w:p>
    <w:p w14:paraId="3C3D35BF" w14:textId="77777777" w:rsidR="00DB3C1C" w:rsidRPr="00871E8A" w:rsidRDefault="00DB3C1C" w:rsidP="00DB3C1C">
      <w:pPr>
        <w:ind w:left="851" w:right="-149"/>
        <w:jc w:val="both"/>
        <w:outlineLvl w:val="0"/>
      </w:pPr>
      <w:r w:rsidRPr="00871E8A">
        <w:rPr>
          <w:b/>
        </w:rPr>
        <w:t>Defined contribution scheme</w:t>
      </w:r>
    </w:p>
    <w:p w14:paraId="1343A972" w14:textId="77777777" w:rsidR="00DB3C1C" w:rsidRPr="00871E8A" w:rsidRDefault="00DB3C1C" w:rsidP="00DB3C1C">
      <w:pPr>
        <w:ind w:left="851" w:right="-149"/>
        <w:jc w:val="both"/>
      </w:pPr>
    </w:p>
    <w:p w14:paraId="25C831B7" w14:textId="77777777" w:rsidR="00DB3C1C" w:rsidRPr="00871E8A" w:rsidRDefault="00DB3C1C" w:rsidP="00DB3C1C">
      <w:pPr>
        <w:ind w:left="851"/>
        <w:jc w:val="both"/>
      </w:pPr>
      <w:r w:rsidRPr="00871E8A">
        <w:t xml:space="preserve">From 1 January 2008 new employees were eligible to join The Lothian Buses Group Personal Pension Plan which is managed by Scottish Widows. Employees of Edinburgh Bus Tours Limited, East Coast Buses Limited and Edinburgh Trams Limited participate in a Pension Fund which is also managed by Scottish Widows. </w:t>
      </w:r>
      <w:r w:rsidRPr="0008397D">
        <w:t>Employees of Eve Coaches Limited participate in a NEST Pension Fund.</w:t>
      </w:r>
      <w:r>
        <w:t xml:space="preserve"> All of t</w:t>
      </w:r>
      <w:r w:rsidRPr="00871E8A">
        <w:t xml:space="preserve">hese schemes are of the defined contribution type and contributions are charged to the Statement of Profit or Loss and Other Comprehensive Income as they arise. </w:t>
      </w:r>
    </w:p>
    <w:p w14:paraId="0C27EEE8" w14:textId="77777777" w:rsidR="00EA1FCA" w:rsidRPr="00871E8A" w:rsidRDefault="00EA1FCA" w:rsidP="00DB3C1C">
      <w:pPr>
        <w:ind w:left="567" w:hanging="567"/>
      </w:pPr>
    </w:p>
    <w:p w14:paraId="7305014F" w14:textId="77777777" w:rsidR="00EA1FCA" w:rsidRPr="00871E8A" w:rsidRDefault="00EA1FCA" w:rsidP="00A5227C">
      <w:pPr>
        <w:numPr>
          <w:ilvl w:val="0"/>
          <w:numId w:val="44"/>
        </w:numPr>
        <w:tabs>
          <w:tab w:val="left" w:pos="993"/>
        </w:tabs>
        <w:ind w:right="267"/>
        <w:rPr>
          <w:b/>
        </w:rPr>
      </w:pPr>
      <w:r w:rsidRPr="00871E8A">
        <w:rPr>
          <w:b/>
        </w:rPr>
        <w:t>Critical accounting estimates and judgements</w:t>
      </w:r>
    </w:p>
    <w:p w14:paraId="22103B66" w14:textId="77777777" w:rsidR="00EA1FCA" w:rsidRPr="00871E8A" w:rsidRDefault="00EA1FCA" w:rsidP="00EA1FCA">
      <w:pPr>
        <w:tabs>
          <w:tab w:val="left" w:pos="567"/>
          <w:tab w:val="left" w:pos="1134"/>
        </w:tabs>
        <w:ind w:right="267"/>
      </w:pPr>
    </w:p>
    <w:p w14:paraId="63C369BB" w14:textId="77777777" w:rsidR="00F31896" w:rsidRPr="00871E8A" w:rsidRDefault="00F31896" w:rsidP="00F31896">
      <w:pPr>
        <w:tabs>
          <w:tab w:val="left" w:pos="567"/>
          <w:tab w:val="left" w:pos="1134"/>
        </w:tabs>
        <w:ind w:left="850" w:hanging="1134"/>
        <w:jc w:val="both"/>
      </w:pPr>
      <w:r w:rsidRPr="00871E8A">
        <w:tab/>
      </w:r>
      <w:r w:rsidRPr="00871E8A">
        <w:tab/>
        <w:t xml:space="preserve">The </w:t>
      </w:r>
      <w:r w:rsidR="00702853" w:rsidRPr="00871E8A">
        <w:t>D</w:t>
      </w:r>
      <w:r w:rsidRPr="00871E8A">
        <w:t xml:space="preserve">irectors evaluate estimates and judgements incorporated into the financial report based on historical knowledge and best </w:t>
      </w:r>
      <w:r w:rsidR="00333F32" w:rsidRPr="00871E8A">
        <w:t xml:space="preserve">available current information. </w:t>
      </w:r>
      <w:r w:rsidRPr="00871E8A">
        <w:t xml:space="preserve">Estimates assume a reasonable expectation of future events and are based on current trends and economic data, obtained both externally and within the </w:t>
      </w:r>
      <w:r w:rsidR="00FC637A" w:rsidRPr="00871E8A">
        <w:t>G</w:t>
      </w:r>
      <w:r w:rsidRPr="00871E8A">
        <w:t>roup.</w:t>
      </w:r>
      <w:r w:rsidR="00900515" w:rsidRPr="00871E8A">
        <w:t xml:space="preserve"> Key estimates are as follows:</w:t>
      </w:r>
    </w:p>
    <w:p w14:paraId="5ABC152E" w14:textId="77777777" w:rsidR="00642146" w:rsidRPr="00871E8A" w:rsidRDefault="00642146" w:rsidP="00642146">
      <w:pPr>
        <w:tabs>
          <w:tab w:val="left" w:pos="567"/>
          <w:tab w:val="left" w:pos="1134"/>
        </w:tabs>
        <w:ind w:left="1170" w:right="267" w:hanging="36"/>
        <w:rPr>
          <w:i/>
        </w:rPr>
      </w:pPr>
    </w:p>
    <w:p w14:paraId="7C857547" w14:textId="77777777" w:rsidR="00642146" w:rsidRPr="00871E8A" w:rsidRDefault="00642146" w:rsidP="00A5227C">
      <w:pPr>
        <w:numPr>
          <w:ilvl w:val="0"/>
          <w:numId w:val="23"/>
        </w:numPr>
        <w:tabs>
          <w:tab w:val="left" w:pos="567"/>
          <w:tab w:val="left" w:pos="1134"/>
        </w:tabs>
        <w:ind w:right="267" w:hanging="1276"/>
      </w:pPr>
      <w:r w:rsidRPr="00871E8A">
        <w:t>Impairment</w:t>
      </w:r>
    </w:p>
    <w:p w14:paraId="26F11064" w14:textId="77777777" w:rsidR="00642146" w:rsidRPr="00871E8A" w:rsidRDefault="00642146" w:rsidP="00642146">
      <w:pPr>
        <w:ind w:left="1134"/>
        <w:jc w:val="both"/>
      </w:pPr>
      <w:r w:rsidRPr="00871E8A">
        <w:t xml:space="preserve">The </w:t>
      </w:r>
      <w:r w:rsidR="009A0D1C" w:rsidRPr="00871E8A">
        <w:t>G</w:t>
      </w:r>
      <w:r w:rsidRPr="00871E8A">
        <w:t xml:space="preserve">roup assesses impairment at each reporting date by evaluating conditions specific to the </w:t>
      </w:r>
      <w:r w:rsidR="00713A41" w:rsidRPr="00871E8A">
        <w:t>G</w:t>
      </w:r>
      <w:r w:rsidRPr="00871E8A">
        <w:t>roup that may lead to an impairment of assets. Where an impairment trigger exists, the recoverable amount of the asset is determined. Value-in-use calculations performed in assessing recoverable amounts incorporate a number of key estimates.</w:t>
      </w:r>
    </w:p>
    <w:p w14:paraId="090E9FE0" w14:textId="77777777" w:rsidR="00642146" w:rsidRPr="00871E8A" w:rsidRDefault="00642146" w:rsidP="00642146">
      <w:pPr>
        <w:jc w:val="both"/>
      </w:pPr>
    </w:p>
    <w:p w14:paraId="11181C29" w14:textId="77777777" w:rsidR="00642146" w:rsidRPr="00871E8A" w:rsidRDefault="00642146" w:rsidP="00A5227C">
      <w:pPr>
        <w:numPr>
          <w:ilvl w:val="0"/>
          <w:numId w:val="23"/>
        </w:numPr>
        <w:ind w:left="1701" w:hanging="708"/>
        <w:jc w:val="both"/>
      </w:pPr>
      <w:r w:rsidRPr="00871E8A">
        <w:t>Retirement benefit costs</w:t>
      </w:r>
    </w:p>
    <w:p w14:paraId="64FD04D1" w14:textId="77777777" w:rsidR="00642146" w:rsidRPr="00871E8A" w:rsidRDefault="00642146" w:rsidP="00642146">
      <w:pPr>
        <w:ind w:left="1134"/>
        <w:jc w:val="both"/>
      </w:pPr>
      <w:r w:rsidRPr="00871E8A">
        <w:t>Measurement of defined benefit pension obligations requires estimation of a suitable discount rate, inflation rate, salary growth and assumptions about mortality rates.</w:t>
      </w:r>
    </w:p>
    <w:p w14:paraId="59AEC168" w14:textId="77777777" w:rsidR="00642146" w:rsidRPr="00871E8A" w:rsidRDefault="00642146" w:rsidP="00642146">
      <w:pPr>
        <w:ind w:left="1134"/>
        <w:jc w:val="both"/>
      </w:pPr>
      <w:bookmarkStart w:id="32" w:name="_Hlk33089437"/>
    </w:p>
    <w:p w14:paraId="203E99CF" w14:textId="77777777" w:rsidR="00642146" w:rsidRPr="00871E8A" w:rsidRDefault="00642146" w:rsidP="00A5227C">
      <w:pPr>
        <w:numPr>
          <w:ilvl w:val="0"/>
          <w:numId w:val="23"/>
        </w:numPr>
        <w:ind w:left="1380"/>
        <w:jc w:val="both"/>
      </w:pPr>
      <w:r w:rsidRPr="00871E8A">
        <w:t>Depreciation</w:t>
      </w:r>
    </w:p>
    <w:bookmarkEnd w:id="32"/>
    <w:p w14:paraId="1C9F6AAD" w14:textId="77777777" w:rsidR="00A809E1" w:rsidRPr="00871E8A" w:rsidRDefault="007E1A40" w:rsidP="00642146">
      <w:pPr>
        <w:ind w:left="1134"/>
        <w:jc w:val="both"/>
        <w:rPr>
          <w:rFonts w:cs="Arial"/>
        </w:rPr>
      </w:pPr>
      <w:r>
        <w:rPr>
          <w:rFonts w:cs="Arial"/>
        </w:rPr>
        <w:t>When setting depreciation policy there is an element of estimation in all cases and the depreciation rates are different for passenger vehicles, other vehicles, plant and machinery, other equipment and leased property.</w:t>
      </w:r>
    </w:p>
    <w:p w14:paraId="2ACC2579" w14:textId="77777777" w:rsidR="00780A8D" w:rsidRPr="00871E8A" w:rsidRDefault="00780A8D" w:rsidP="00780A8D">
      <w:pPr>
        <w:ind w:left="1134"/>
        <w:jc w:val="both"/>
      </w:pPr>
    </w:p>
    <w:p w14:paraId="74C65664" w14:textId="77777777" w:rsidR="00780A8D" w:rsidRPr="00871E8A" w:rsidRDefault="00780A8D" w:rsidP="00A5227C">
      <w:pPr>
        <w:numPr>
          <w:ilvl w:val="0"/>
          <w:numId w:val="23"/>
        </w:numPr>
        <w:ind w:left="1380"/>
        <w:jc w:val="both"/>
      </w:pPr>
      <w:r w:rsidRPr="00871E8A">
        <w:t>Lease contracts</w:t>
      </w:r>
    </w:p>
    <w:p w14:paraId="77ED2672" w14:textId="77777777" w:rsidR="00780A8D" w:rsidRPr="00871E8A" w:rsidRDefault="00780A8D" w:rsidP="00642146">
      <w:pPr>
        <w:ind w:left="1134"/>
        <w:jc w:val="both"/>
        <w:rPr>
          <w:rFonts w:cs="Arial"/>
        </w:rPr>
      </w:pPr>
      <w:r w:rsidRPr="00871E8A">
        <w:t>The Group has to determine whether or not a contract contains a lease. Once confirmed, the Group has to estimate an appropriate discount rate to use and the length of the lease term.</w:t>
      </w:r>
    </w:p>
    <w:p w14:paraId="5FE8E7D0" w14:textId="77777777" w:rsidR="00642146" w:rsidRPr="00742A4A" w:rsidRDefault="00642146" w:rsidP="00642146"/>
    <w:p w14:paraId="0511EEE8" w14:textId="77777777" w:rsidR="00357A1D" w:rsidRPr="00742A4A" w:rsidRDefault="00357A1D" w:rsidP="00A5227C">
      <w:pPr>
        <w:numPr>
          <w:ilvl w:val="0"/>
          <w:numId w:val="44"/>
        </w:numPr>
        <w:ind w:right="267"/>
        <w:rPr>
          <w:b/>
        </w:rPr>
      </w:pPr>
      <w:r w:rsidRPr="00742A4A">
        <w:rPr>
          <w:b/>
        </w:rPr>
        <w:t>Financial instruments</w:t>
      </w:r>
    </w:p>
    <w:p w14:paraId="1C06F3AE" w14:textId="77777777" w:rsidR="00357A1D" w:rsidRPr="00742A4A" w:rsidRDefault="00357A1D" w:rsidP="00D42088">
      <w:pPr>
        <w:ind w:left="78"/>
        <w:jc w:val="center"/>
        <w:rPr>
          <w:b/>
          <w:i/>
        </w:rPr>
      </w:pPr>
    </w:p>
    <w:p w14:paraId="51BF12EE" w14:textId="77777777" w:rsidR="00357A1D" w:rsidRPr="00742A4A" w:rsidRDefault="00333F32" w:rsidP="00333F32">
      <w:pPr>
        <w:tabs>
          <w:tab w:val="left" w:pos="567"/>
          <w:tab w:val="left" w:pos="851"/>
        </w:tabs>
        <w:ind w:left="1701" w:hanging="1134"/>
        <w:jc w:val="both"/>
        <w:rPr>
          <w:b/>
        </w:rPr>
      </w:pPr>
      <w:r w:rsidRPr="00742A4A">
        <w:rPr>
          <w:b/>
          <w:i/>
        </w:rPr>
        <w:tab/>
      </w:r>
      <w:r w:rsidR="00357A1D" w:rsidRPr="00742A4A">
        <w:rPr>
          <w:b/>
        </w:rPr>
        <w:t xml:space="preserve">Classification </w:t>
      </w:r>
    </w:p>
    <w:p w14:paraId="2A46218F" w14:textId="77777777" w:rsidR="00357A1D" w:rsidRPr="00742A4A" w:rsidRDefault="00357A1D" w:rsidP="00752DA8">
      <w:pPr>
        <w:tabs>
          <w:tab w:val="left" w:pos="567"/>
          <w:tab w:val="left" w:pos="1170"/>
        </w:tabs>
        <w:ind w:left="1134" w:hanging="1134"/>
        <w:rPr>
          <w:b/>
          <w:i/>
        </w:rPr>
      </w:pPr>
    </w:p>
    <w:p w14:paraId="5F823068" w14:textId="77777777" w:rsidR="00357A1D" w:rsidRPr="00742A4A" w:rsidRDefault="00357A1D" w:rsidP="00AE6A00">
      <w:pPr>
        <w:tabs>
          <w:tab w:val="left" w:pos="567"/>
          <w:tab w:val="left" w:pos="851"/>
        </w:tabs>
        <w:ind w:left="851" w:hanging="851"/>
        <w:jc w:val="both"/>
      </w:pPr>
      <w:r w:rsidRPr="00742A4A">
        <w:rPr>
          <w:b/>
          <w:i/>
        </w:rPr>
        <w:tab/>
      </w:r>
      <w:r w:rsidRPr="00742A4A">
        <w:rPr>
          <w:b/>
          <w:i/>
        </w:rPr>
        <w:tab/>
      </w:r>
      <w:r w:rsidR="000D0ABF" w:rsidRPr="00742A4A">
        <w:t xml:space="preserve">The </w:t>
      </w:r>
      <w:r w:rsidR="00FC637A" w:rsidRPr="00742A4A">
        <w:t>G</w:t>
      </w:r>
      <w:r w:rsidR="000D0ABF" w:rsidRPr="00742A4A">
        <w:t>roup classifies its financial assets in the following ca</w:t>
      </w:r>
      <w:r w:rsidR="00333F32" w:rsidRPr="00742A4A">
        <w:t xml:space="preserve">tegory: loans and receivables. </w:t>
      </w:r>
      <w:r w:rsidR="000D0ABF" w:rsidRPr="00742A4A">
        <w:t>The classification depends on the purpose for which the f</w:t>
      </w:r>
      <w:r w:rsidR="00333F32" w:rsidRPr="00742A4A">
        <w:t xml:space="preserve">inancial assets were acquired. </w:t>
      </w:r>
      <w:r w:rsidRPr="00742A4A">
        <w:t>Management determines the classification of its financial assets at initial recognition.</w:t>
      </w:r>
    </w:p>
    <w:p w14:paraId="2087EE3C" w14:textId="77777777" w:rsidR="00357A1D" w:rsidRPr="00742A4A" w:rsidRDefault="00357A1D" w:rsidP="00752DA8">
      <w:pPr>
        <w:ind w:left="936"/>
        <w:rPr>
          <w:i/>
        </w:rPr>
      </w:pPr>
    </w:p>
    <w:p w14:paraId="19CB2F38" w14:textId="77777777" w:rsidR="00357A1D" w:rsidRPr="00742A4A" w:rsidRDefault="00357A1D" w:rsidP="00A5227C">
      <w:pPr>
        <w:numPr>
          <w:ilvl w:val="0"/>
          <w:numId w:val="13"/>
        </w:numPr>
        <w:tabs>
          <w:tab w:val="clear" w:pos="1272"/>
          <w:tab w:val="num" w:pos="1134"/>
        </w:tabs>
        <w:ind w:hanging="563"/>
      </w:pPr>
      <w:r w:rsidRPr="00742A4A">
        <w:t>Loans and receivables</w:t>
      </w:r>
    </w:p>
    <w:p w14:paraId="22DF2C65" w14:textId="77777777" w:rsidR="00357A1D" w:rsidRPr="00742A4A" w:rsidRDefault="00357A1D" w:rsidP="00752DA8">
      <w:pPr>
        <w:ind w:left="936"/>
        <w:rPr>
          <w:i/>
        </w:rPr>
      </w:pPr>
    </w:p>
    <w:p w14:paraId="66B6E93E" w14:textId="77777777" w:rsidR="00357A1D" w:rsidRPr="00742A4A" w:rsidRDefault="00357A1D" w:rsidP="00AE6A00">
      <w:pPr>
        <w:tabs>
          <w:tab w:val="left" w:pos="567"/>
          <w:tab w:val="left" w:pos="1134"/>
        </w:tabs>
        <w:ind w:left="1170"/>
        <w:jc w:val="both"/>
      </w:pPr>
      <w:r w:rsidRPr="00742A4A">
        <w:t>Loans and receivables are non-derivative financial assets with fixed or determinable payments that are not quoted in an active market and are sub</w:t>
      </w:r>
      <w:r w:rsidR="00DA7AE4" w:rsidRPr="00742A4A">
        <w:t>sequent</w:t>
      </w:r>
      <w:r w:rsidR="00C9277C" w:rsidRPr="00742A4A">
        <w:t>ly measured at amortised cost.</w:t>
      </w:r>
    </w:p>
    <w:p w14:paraId="121EE577" w14:textId="77777777" w:rsidR="00357A1D" w:rsidRPr="00742A4A" w:rsidRDefault="00357A1D" w:rsidP="00752DA8">
      <w:pPr>
        <w:ind w:left="936"/>
        <w:rPr>
          <w:i/>
        </w:rPr>
      </w:pPr>
    </w:p>
    <w:p w14:paraId="4655B5F6" w14:textId="77777777" w:rsidR="00357A1D" w:rsidRPr="00742A4A" w:rsidRDefault="00357A1D" w:rsidP="00A5227C">
      <w:pPr>
        <w:numPr>
          <w:ilvl w:val="0"/>
          <w:numId w:val="13"/>
        </w:numPr>
        <w:tabs>
          <w:tab w:val="clear" w:pos="1272"/>
          <w:tab w:val="num" w:pos="1170"/>
        </w:tabs>
        <w:ind w:hanging="563"/>
      </w:pPr>
      <w:r w:rsidRPr="00742A4A">
        <w:t>Financial liabilities</w:t>
      </w:r>
    </w:p>
    <w:p w14:paraId="61326CE4" w14:textId="77777777" w:rsidR="00E47675" w:rsidRPr="00742A4A" w:rsidRDefault="00E47675" w:rsidP="00E47675">
      <w:pPr>
        <w:ind w:left="1134"/>
      </w:pPr>
    </w:p>
    <w:p w14:paraId="66884E74" w14:textId="77777777" w:rsidR="00E47675" w:rsidRPr="00742A4A" w:rsidRDefault="00E47675" w:rsidP="006F01AF">
      <w:pPr>
        <w:ind w:left="1134"/>
        <w:jc w:val="both"/>
        <w:rPr>
          <w:i/>
        </w:rPr>
      </w:pPr>
      <w:r w:rsidRPr="00742A4A">
        <w:t>Non-derivative financial liabilities (excluding financial guarantees) are subsequently measured at amortised cost.</w:t>
      </w:r>
    </w:p>
    <w:p w14:paraId="16369A00" w14:textId="77777777" w:rsidR="00E47675" w:rsidRPr="00742A4A" w:rsidRDefault="00E47675" w:rsidP="00E47675">
      <w:pPr>
        <w:ind w:left="1272"/>
        <w:rPr>
          <w:i/>
        </w:rPr>
      </w:pPr>
    </w:p>
    <w:p w14:paraId="47BEAE04" w14:textId="77777777" w:rsidR="00E47675" w:rsidRPr="00742A4A" w:rsidRDefault="00E47675" w:rsidP="00A5227C">
      <w:pPr>
        <w:numPr>
          <w:ilvl w:val="0"/>
          <w:numId w:val="13"/>
        </w:numPr>
        <w:tabs>
          <w:tab w:val="clear" w:pos="1272"/>
          <w:tab w:val="num" w:pos="1170"/>
        </w:tabs>
        <w:ind w:hanging="563"/>
      </w:pPr>
      <w:r w:rsidRPr="00742A4A">
        <w:t>Derivative financial instruments</w:t>
      </w:r>
    </w:p>
    <w:p w14:paraId="7926BC3F" w14:textId="77777777" w:rsidR="00357A1D" w:rsidRPr="00742A4A" w:rsidRDefault="00357A1D" w:rsidP="00752DA8">
      <w:pPr>
        <w:tabs>
          <w:tab w:val="left" w:pos="567"/>
          <w:tab w:val="left" w:pos="1134"/>
        </w:tabs>
        <w:ind w:left="1134" w:hanging="1134"/>
        <w:jc w:val="both"/>
      </w:pPr>
      <w:r w:rsidRPr="00742A4A">
        <w:tab/>
      </w:r>
      <w:r w:rsidRPr="00742A4A">
        <w:tab/>
      </w:r>
    </w:p>
    <w:p w14:paraId="5E10B332" w14:textId="77777777" w:rsidR="00616380" w:rsidRPr="00742A4A" w:rsidRDefault="00616380" w:rsidP="00DB3C1C">
      <w:pPr>
        <w:tabs>
          <w:tab w:val="left" w:pos="567"/>
          <w:tab w:val="left" w:pos="1134"/>
        </w:tabs>
        <w:ind w:left="1134" w:hanging="1134"/>
        <w:jc w:val="both"/>
      </w:pPr>
      <w:r w:rsidRPr="00742A4A">
        <w:rPr>
          <w:i/>
        </w:rPr>
        <w:tab/>
      </w:r>
      <w:r w:rsidRPr="00742A4A">
        <w:rPr>
          <w:i/>
        </w:rPr>
        <w:tab/>
      </w:r>
    </w:p>
    <w:p w14:paraId="41B77E2C" w14:textId="77777777" w:rsidR="00616380" w:rsidRPr="00F45179" w:rsidRDefault="00616380" w:rsidP="00616380">
      <w:pPr>
        <w:pageBreakBefore/>
        <w:ind w:left="79"/>
        <w:jc w:val="center"/>
        <w:rPr>
          <w:b/>
        </w:rPr>
      </w:pPr>
      <w:r w:rsidRPr="00F45179">
        <w:rPr>
          <w:b/>
        </w:rPr>
        <w:lastRenderedPageBreak/>
        <w:t>TRANSPORT FOR EDINBURGH LIMITED</w:t>
      </w:r>
    </w:p>
    <w:p w14:paraId="3770453D" w14:textId="77777777" w:rsidR="00616380" w:rsidRPr="00F45179" w:rsidRDefault="00616380" w:rsidP="00616380">
      <w:pPr>
        <w:jc w:val="center"/>
        <w:rPr>
          <w:b/>
        </w:rPr>
      </w:pPr>
    </w:p>
    <w:p w14:paraId="691CF42C" w14:textId="77777777" w:rsidR="00616380" w:rsidRPr="00F45179" w:rsidRDefault="00616380" w:rsidP="00616380">
      <w:pPr>
        <w:jc w:val="center"/>
        <w:rPr>
          <w:b/>
        </w:rPr>
      </w:pPr>
      <w:r w:rsidRPr="00F45179">
        <w:rPr>
          <w:b/>
        </w:rPr>
        <w:t>Notes to the Financial Statements (continued)</w:t>
      </w:r>
    </w:p>
    <w:p w14:paraId="16D032F9" w14:textId="77777777" w:rsidR="00616380" w:rsidRPr="00F45179" w:rsidRDefault="00616380" w:rsidP="00616380">
      <w:pPr>
        <w:jc w:val="center"/>
        <w:rPr>
          <w:b/>
        </w:rPr>
      </w:pPr>
    </w:p>
    <w:p w14:paraId="4C403F04" w14:textId="77777777" w:rsidR="00616380" w:rsidRPr="00F45179" w:rsidRDefault="00D90B89" w:rsidP="00616380">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57BE5E02" w14:textId="77777777" w:rsidR="00616380" w:rsidRPr="00F45179" w:rsidRDefault="00616380" w:rsidP="00616380">
      <w:pPr>
        <w:tabs>
          <w:tab w:val="left" w:pos="567"/>
          <w:tab w:val="left" w:pos="1134"/>
        </w:tabs>
        <w:ind w:left="1134" w:hanging="1134"/>
        <w:jc w:val="both"/>
      </w:pPr>
    </w:p>
    <w:p w14:paraId="3D295F99" w14:textId="77777777" w:rsidR="00616380" w:rsidRDefault="008E0FA6" w:rsidP="00A5227C">
      <w:pPr>
        <w:numPr>
          <w:ilvl w:val="0"/>
          <w:numId w:val="20"/>
        </w:numPr>
        <w:rPr>
          <w:b/>
        </w:rPr>
      </w:pPr>
      <w:r w:rsidRPr="00F45179">
        <w:rPr>
          <w:b/>
        </w:rPr>
        <w:t>Material accounting policies (continued)</w:t>
      </w:r>
    </w:p>
    <w:p w14:paraId="7745477F" w14:textId="77777777" w:rsidR="00DB3C1C" w:rsidRDefault="00DB3C1C" w:rsidP="00DB3C1C">
      <w:pPr>
        <w:ind w:left="930"/>
        <w:rPr>
          <w:b/>
        </w:rPr>
      </w:pPr>
    </w:p>
    <w:p w14:paraId="37D4C7F3" w14:textId="77777777" w:rsidR="00DB3C1C" w:rsidRPr="00742A4A" w:rsidRDefault="00DB3C1C" w:rsidP="00DB3C1C">
      <w:pPr>
        <w:ind w:left="851"/>
        <w:jc w:val="both"/>
      </w:pPr>
      <w:r w:rsidRPr="00742A4A">
        <w:t>Derivative financial instruments are initially recognised at fair value on the date on which a derivative contract is entered into and are subsequently remeasured at fair value. Derivatives are carried as assets when the fair value is positive and as liabilities when the fair value is negative.</w:t>
      </w:r>
    </w:p>
    <w:p w14:paraId="79079602" w14:textId="77777777" w:rsidR="00DB3C1C" w:rsidRPr="00742A4A" w:rsidRDefault="00DB3C1C" w:rsidP="00DB3C1C">
      <w:pPr>
        <w:ind w:left="851"/>
        <w:jc w:val="both"/>
      </w:pPr>
    </w:p>
    <w:p w14:paraId="3312B7AC" w14:textId="77777777" w:rsidR="00DB3C1C" w:rsidRPr="00742A4A" w:rsidRDefault="00DB3C1C" w:rsidP="00DB3C1C">
      <w:pPr>
        <w:ind w:left="851"/>
        <w:jc w:val="both"/>
      </w:pPr>
      <w:r w:rsidRPr="00742A4A">
        <w:t>In the case of hedge accounting, the hedging relationship is documented at its inception. This documentation identifies the hedging instrument, the hedged item or transaction, the nature of the risk being hedged and how effectiveness will be measured throughout its duration. Such hedges are expected at inception to be highly effective.</w:t>
      </w:r>
    </w:p>
    <w:p w14:paraId="701D1F84" w14:textId="77777777" w:rsidR="00E47675" w:rsidRPr="00D21C39" w:rsidRDefault="00E47675" w:rsidP="00E47675">
      <w:pPr>
        <w:jc w:val="both"/>
      </w:pPr>
    </w:p>
    <w:p w14:paraId="284F0995" w14:textId="77777777" w:rsidR="00520468" w:rsidRPr="00D21C39" w:rsidRDefault="00520468" w:rsidP="007F723A">
      <w:pPr>
        <w:tabs>
          <w:tab w:val="left" w:pos="567"/>
          <w:tab w:val="left" w:pos="1134"/>
        </w:tabs>
        <w:ind w:left="850" w:hanging="1134"/>
        <w:jc w:val="both"/>
      </w:pPr>
      <w:r w:rsidRPr="00D21C39">
        <w:tab/>
      </w:r>
      <w:r w:rsidR="007F723A" w:rsidRPr="00D21C39">
        <w:tab/>
      </w:r>
      <w:r w:rsidRPr="00D21C39">
        <w:t>For the purpose of hedge accounting, all hedges are classified as cash flow hedges, as exposure to variability in cash flows that is either attributable to a particular risk associated with a recognised asset or liability or a highly probable forecast transaction is being hedged.</w:t>
      </w:r>
    </w:p>
    <w:p w14:paraId="7B2F7211" w14:textId="77777777" w:rsidR="007F723A" w:rsidRPr="00D21C39" w:rsidRDefault="007F723A" w:rsidP="007F723A">
      <w:pPr>
        <w:ind w:left="850"/>
        <w:jc w:val="both"/>
      </w:pPr>
    </w:p>
    <w:p w14:paraId="6637E751" w14:textId="77777777" w:rsidR="00F31896" w:rsidRPr="00D21C39" w:rsidRDefault="00F31896" w:rsidP="007F723A">
      <w:pPr>
        <w:ind w:left="850"/>
        <w:jc w:val="both"/>
      </w:pPr>
      <w:r w:rsidRPr="00D21C39">
        <w:t xml:space="preserve">The effective portion of the gain or loss on the hedging instrument is recognised in the </w:t>
      </w:r>
      <w:r w:rsidR="00707CD2" w:rsidRPr="00D21C39">
        <w:t>S</w:t>
      </w:r>
      <w:r w:rsidRPr="00D21C39">
        <w:t xml:space="preserve">tatement of </w:t>
      </w:r>
      <w:r w:rsidR="00707CD2" w:rsidRPr="00D21C39">
        <w:t>O</w:t>
      </w:r>
      <w:r w:rsidR="009E0618" w:rsidRPr="00D21C39">
        <w:t xml:space="preserve">ther </w:t>
      </w:r>
      <w:r w:rsidR="00707CD2" w:rsidRPr="00D21C39">
        <w:t>C</w:t>
      </w:r>
      <w:r w:rsidRPr="00D21C39">
        <w:t xml:space="preserve">omprehensive </w:t>
      </w:r>
      <w:r w:rsidR="00707CD2" w:rsidRPr="00D21C39">
        <w:t>I</w:t>
      </w:r>
      <w:r w:rsidRPr="00D21C39">
        <w:t xml:space="preserve">ncome, while the ineffective portion is recognised in the </w:t>
      </w:r>
      <w:r w:rsidR="00707CD2" w:rsidRPr="00D21C39">
        <w:t>S</w:t>
      </w:r>
      <w:r w:rsidRPr="00D21C39">
        <w:t>tatement</w:t>
      </w:r>
      <w:r w:rsidR="009E0618" w:rsidRPr="00D21C39">
        <w:t xml:space="preserve"> of </w:t>
      </w:r>
      <w:r w:rsidR="00707CD2" w:rsidRPr="00D21C39">
        <w:t>P</w:t>
      </w:r>
      <w:r w:rsidR="009E0618" w:rsidRPr="00D21C39">
        <w:t xml:space="preserve">rofit or </w:t>
      </w:r>
      <w:r w:rsidR="00707CD2" w:rsidRPr="00D21C39">
        <w:t>L</w:t>
      </w:r>
      <w:r w:rsidR="009E0618" w:rsidRPr="00D21C39">
        <w:t>oss</w:t>
      </w:r>
      <w:r w:rsidRPr="00D21C39">
        <w:t xml:space="preserve">. Amounts recorded in the </w:t>
      </w:r>
      <w:r w:rsidR="00707CD2" w:rsidRPr="00D21C39">
        <w:t>S</w:t>
      </w:r>
      <w:r w:rsidRPr="00D21C39">
        <w:t xml:space="preserve">tatement of </w:t>
      </w:r>
      <w:r w:rsidR="00707CD2" w:rsidRPr="00D21C39">
        <w:t>O</w:t>
      </w:r>
      <w:r w:rsidR="009E0618" w:rsidRPr="00D21C39">
        <w:t xml:space="preserve">ther </w:t>
      </w:r>
      <w:r w:rsidR="00707CD2" w:rsidRPr="00D21C39">
        <w:t>C</w:t>
      </w:r>
      <w:r w:rsidRPr="00D21C39">
        <w:t xml:space="preserve">omprehensive </w:t>
      </w:r>
      <w:r w:rsidR="00707CD2" w:rsidRPr="00D21C39">
        <w:t>I</w:t>
      </w:r>
      <w:r w:rsidRPr="00D21C39">
        <w:t xml:space="preserve">ncome are transferred to the </w:t>
      </w:r>
      <w:r w:rsidR="00707CD2" w:rsidRPr="00D21C39">
        <w:t>S</w:t>
      </w:r>
      <w:r w:rsidRPr="00D21C39">
        <w:t xml:space="preserve">tatement </w:t>
      </w:r>
      <w:r w:rsidR="009E0618" w:rsidRPr="00D21C39">
        <w:t xml:space="preserve">of </w:t>
      </w:r>
      <w:r w:rsidR="00707CD2" w:rsidRPr="00D21C39">
        <w:t>P</w:t>
      </w:r>
      <w:r w:rsidR="009E0618" w:rsidRPr="00D21C39">
        <w:t xml:space="preserve">rofit or </w:t>
      </w:r>
      <w:r w:rsidR="00707CD2" w:rsidRPr="00D21C39">
        <w:t>L</w:t>
      </w:r>
      <w:r w:rsidR="009E0618" w:rsidRPr="00D21C39">
        <w:t xml:space="preserve">oss </w:t>
      </w:r>
      <w:r w:rsidRPr="00D21C39">
        <w:t>when the hedged transaction affects profit or loss, such as when a hedge contract is being settled.</w:t>
      </w:r>
    </w:p>
    <w:p w14:paraId="09B1F30F" w14:textId="77777777" w:rsidR="00F31896" w:rsidRPr="00D21C39" w:rsidRDefault="00F31896" w:rsidP="00E47675">
      <w:pPr>
        <w:ind w:left="851"/>
        <w:jc w:val="both"/>
      </w:pPr>
    </w:p>
    <w:p w14:paraId="0AC637C1" w14:textId="77777777" w:rsidR="00616380" w:rsidRPr="00D21C39" w:rsidRDefault="00616380" w:rsidP="00E47675">
      <w:pPr>
        <w:ind w:left="851"/>
        <w:jc w:val="both"/>
      </w:pPr>
      <w:r w:rsidRPr="00D21C39">
        <w:t>Hedge accounting is discontinued when the hedging instrument is sold, terminated, or exercised, or no longer qualifies for hedge accounting. At that time, any cumulative gain or loss on the hedging instrument recognised in equity is retained in equity until the forecasted transaction occurs. If a hedged transaction is no longer expected to occur, the net cumulative gain or loss recognised in equity is transferred to the income statement for the period.</w:t>
      </w:r>
    </w:p>
    <w:p w14:paraId="7155AE84" w14:textId="77777777" w:rsidR="00A809E1" w:rsidRPr="00D21C39" w:rsidRDefault="00A809E1" w:rsidP="004E7689">
      <w:pPr>
        <w:rPr>
          <w:b/>
          <w:i/>
        </w:rPr>
      </w:pPr>
    </w:p>
    <w:p w14:paraId="7F150220" w14:textId="77777777" w:rsidR="00A809E1" w:rsidRPr="00D21C39" w:rsidRDefault="00A809E1" w:rsidP="00AE6A00">
      <w:pPr>
        <w:ind w:left="851"/>
        <w:rPr>
          <w:b/>
        </w:rPr>
      </w:pPr>
      <w:r w:rsidRPr="00D21C39">
        <w:rPr>
          <w:b/>
        </w:rPr>
        <w:t>Recognition and measurement</w:t>
      </w:r>
    </w:p>
    <w:p w14:paraId="63FF6F59" w14:textId="77777777" w:rsidR="00A809E1" w:rsidRPr="00D21C39" w:rsidRDefault="00A809E1" w:rsidP="00D42088">
      <w:pPr>
        <w:ind w:left="78"/>
        <w:jc w:val="center"/>
        <w:rPr>
          <w:b/>
          <w:i/>
        </w:rPr>
      </w:pPr>
    </w:p>
    <w:p w14:paraId="595F8E8F" w14:textId="77777777" w:rsidR="004E7689" w:rsidRPr="00D21C39" w:rsidRDefault="00AC29B8" w:rsidP="00AE6A00">
      <w:pPr>
        <w:ind w:left="851"/>
        <w:jc w:val="both"/>
      </w:pPr>
      <w:r w:rsidRPr="00D21C39">
        <w:t>Loans and receivables are subsequently carried at amortised cost. Derivative financial instruments are measured based on mark to market prices at the end of the reporting period.</w:t>
      </w:r>
    </w:p>
    <w:p w14:paraId="41ECED00" w14:textId="77777777" w:rsidR="00A809E1" w:rsidRPr="00D21C39" w:rsidRDefault="00A809E1" w:rsidP="00D42088">
      <w:pPr>
        <w:ind w:left="78"/>
        <w:jc w:val="center"/>
        <w:rPr>
          <w:b/>
          <w:i/>
        </w:rPr>
      </w:pPr>
    </w:p>
    <w:p w14:paraId="394CE5CD" w14:textId="77777777" w:rsidR="00A809E1" w:rsidRPr="00D21C39" w:rsidRDefault="00A809E1" w:rsidP="00A5227C">
      <w:pPr>
        <w:numPr>
          <w:ilvl w:val="0"/>
          <w:numId w:val="44"/>
        </w:numPr>
        <w:ind w:left="814"/>
        <w:rPr>
          <w:b/>
        </w:rPr>
      </w:pPr>
      <w:r w:rsidRPr="00D21C39">
        <w:rPr>
          <w:b/>
        </w:rPr>
        <w:t>Offsetting financial instruments</w:t>
      </w:r>
    </w:p>
    <w:p w14:paraId="5618CA47" w14:textId="77777777" w:rsidR="00A809E1" w:rsidRPr="00D21C39" w:rsidRDefault="00A809E1" w:rsidP="00A809E1">
      <w:pPr>
        <w:ind w:left="1134" w:hanging="42"/>
        <w:rPr>
          <w:b/>
          <w:i/>
        </w:rPr>
      </w:pPr>
    </w:p>
    <w:p w14:paraId="1014F9B6" w14:textId="77777777" w:rsidR="00A809E1" w:rsidRPr="00D21C39" w:rsidRDefault="00A809E1" w:rsidP="00AE6A00">
      <w:pPr>
        <w:ind w:left="851" w:firstLine="6"/>
        <w:jc w:val="both"/>
      </w:pPr>
      <w:r w:rsidRPr="00D21C39">
        <w:t xml:space="preserve">Financial assets and liabilities are offset and the net amount reported in the </w:t>
      </w:r>
      <w:r w:rsidR="00707CD2" w:rsidRPr="00D21C39">
        <w:t>Statement of Financial Position</w:t>
      </w:r>
      <w:r w:rsidRPr="00D21C39">
        <w:t xml:space="preserve"> when there is a legally enforceable right to offset the recognised amount and there is an intention to settle on a net basis or realise the asset and settle the liability simultaneously.</w:t>
      </w:r>
    </w:p>
    <w:p w14:paraId="0FBC6E85" w14:textId="77777777" w:rsidR="00900515" w:rsidRPr="00D21C39" w:rsidRDefault="00900515" w:rsidP="00900515">
      <w:pPr>
        <w:tabs>
          <w:tab w:val="left" w:pos="567"/>
          <w:tab w:val="num" w:pos="851"/>
          <w:tab w:val="left" w:pos="1134"/>
        </w:tabs>
        <w:ind w:left="851"/>
        <w:jc w:val="both"/>
      </w:pPr>
    </w:p>
    <w:p w14:paraId="4AE8AF05" w14:textId="77777777" w:rsidR="00900515" w:rsidRPr="00D21C39" w:rsidRDefault="00900515" w:rsidP="00A5227C">
      <w:pPr>
        <w:numPr>
          <w:ilvl w:val="0"/>
          <w:numId w:val="44"/>
        </w:numPr>
        <w:ind w:left="814"/>
        <w:jc w:val="both"/>
        <w:rPr>
          <w:b/>
        </w:rPr>
      </w:pPr>
      <w:r w:rsidRPr="00D21C39">
        <w:rPr>
          <w:b/>
        </w:rPr>
        <w:t>Trade payables</w:t>
      </w:r>
    </w:p>
    <w:p w14:paraId="5B8F3053" w14:textId="77777777" w:rsidR="00900515" w:rsidRPr="00D21C39" w:rsidRDefault="00900515" w:rsidP="00900515">
      <w:pPr>
        <w:tabs>
          <w:tab w:val="left" w:pos="567"/>
          <w:tab w:val="num" w:pos="851"/>
        </w:tabs>
        <w:ind w:left="851"/>
        <w:jc w:val="both"/>
        <w:rPr>
          <w:b/>
        </w:rPr>
      </w:pPr>
    </w:p>
    <w:p w14:paraId="1F3DD45E" w14:textId="77777777" w:rsidR="00900515" w:rsidRPr="00D21C39" w:rsidRDefault="00900515" w:rsidP="00900515">
      <w:pPr>
        <w:tabs>
          <w:tab w:val="left" w:pos="567"/>
          <w:tab w:val="num" w:pos="851"/>
        </w:tabs>
        <w:ind w:left="851"/>
        <w:jc w:val="both"/>
      </w:pPr>
      <w:r w:rsidRPr="00D21C39">
        <w:t>Trade payables are obligations to pay for goods or services that have been acquired in the ordinary course of business from supplier</w:t>
      </w:r>
      <w:r w:rsidR="00333F32" w:rsidRPr="00D21C39">
        <w:t xml:space="preserve">s. </w:t>
      </w:r>
      <w:r w:rsidRPr="00D21C39">
        <w:t>Accounts payable are classified as current liabilities if payment is due within one year or less (or in the normal operating cy</w:t>
      </w:r>
      <w:r w:rsidR="00333F32" w:rsidRPr="00D21C39">
        <w:t>cle of the business</w:t>
      </w:r>
      <w:r w:rsidR="0013190F" w:rsidRPr="00D21C39">
        <w:t>,</w:t>
      </w:r>
      <w:r w:rsidR="00333F32" w:rsidRPr="00D21C39">
        <w:t xml:space="preserve"> if longer).</w:t>
      </w:r>
      <w:r w:rsidRPr="00D21C39">
        <w:t xml:space="preserve"> If not, they are presented as non-current liabilities.</w:t>
      </w:r>
    </w:p>
    <w:p w14:paraId="2208E96D" w14:textId="77777777" w:rsidR="00900515" w:rsidRPr="00D21C39" w:rsidRDefault="00900515" w:rsidP="00900515">
      <w:pPr>
        <w:tabs>
          <w:tab w:val="left" w:pos="567"/>
          <w:tab w:val="num" w:pos="851"/>
        </w:tabs>
        <w:ind w:left="851"/>
        <w:jc w:val="both"/>
      </w:pPr>
    </w:p>
    <w:p w14:paraId="4AEFB4D1" w14:textId="77777777" w:rsidR="00900515" w:rsidRPr="00D21C39" w:rsidRDefault="00900515" w:rsidP="00900515">
      <w:pPr>
        <w:tabs>
          <w:tab w:val="left" w:pos="567"/>
          <w:tab w:val="num" w:pos="851"/>
        </w:tabs>
        <w:ind w:left="851"/>
        <w:jc w:val="both"/>
      </w:pPr>
      <w:r w:rsidRPr="00D21C39">
        <w:t>Trade payables are recognised at cost.</w:t>
      </w:r>
    </w:p>
    <w:p w14:paraId="68F894EF" w14:textId="77777777" w:rsidR="00900515" w:rsidRPr="00D21C39" w:rsidRDefault="00900515" w:rsidP="00900515">
      <w:pPr>
        <w:tabs>
          <w:tab w:val="left" w:pos="567"/>
          <w:tab w:val="num" w:pos="851"/>
        </w:tabs>
        <w:ind w:left="851"/>
        <w:jc w:val="both"/>
      </w:pPr>
    </w:p>
    <w:p w14:paraId="23767AF4" w14:textId="77777777" w:rsidR="00900515" w:rsidRPr="00D21C39" w:rsidRDefault="00900515" w:rsidP="00A5227C">
      <w:pPr>
        <w:numPr>
          <w:ilvl w:val="0"/>
          <w:numId w:val="44"/>
        </w:numPr>
        <w:ind w:left="814" w:right="267"/>
        <w:jc w:val="both"/>
        <w:rPr>
          <w:b/>
        </w:rPr>
      </w:pPr>
      <w:r w:rsidRPr="00D21C39">
        <w:rPr>
          <w:b/>
        </w:rPr>
        <w:t>Trade receivables</w:t>
      </w:r>
    </w:p>
    <w:p w14:paraId="1357AC39" w14:textId="77777777" w:rsidR="00900515" w:rsidRPr="00D21C39" w:rsidRDefault="00900515" w:rsidP="00900515">
      <w:pPr>
        <w:tabs>
          <w:tab w:val="left" w:pos="567"/>
          <w:tab w:val="num" w:pos="851"/>
        </w:tabs>
        <w:ind w:left="851" w:right="267"/>
        <w:jc w:val="both"/>
        <w:rPr>
          <w:b/>
        </w:rPr>
      </w:pPr>
    </w:p>
    <w:p w14:paraId="2576C86C" w14:textId="77777777" w:rsidR="00900515" w:rsidRPr="00D21C39" w:rsidRDefault="00900515" w:rsidP="00900515">
      <w:pPr>
        <w:tabs>
          <w:tab w:val="left" w:pos="567"/>
          <w:tab w:val="num" w:pos="851"/>
          <w:tab w:val="left" w:pos="1134"/>
        </w:tabs>
        <w:ind w:left="851"/>
        <w:jc w:val="both"/>
      </w:pPr>
      <w:r w:rsidRPr="00D21C39">
        <w:t>Trade receivables are obligations to receive payment for goods or services that have been sold in the ordinary course of business to customers. Accounts receivable are classed as current debtors if payment is due within one year or less (or in the normal operating cycle of the business</w:t>
      </w:r>
      <w:r w:rsidR="0013190F" w:rsidRPr="00D21C39">
        <w:t>,</w:t>
      </w:r>
      <w:r w:rsidRPr="00D21C39">
        <w:t xml:space="preserve"> if longer). If not, they are classed as non-current assets.</w:t>
      </w:r>
    </w:p>
    <w:p w14:paraId="58F3962C" w14:textId="77777777" w:rsidR="00900515" w:rsidRPr="00D21C39" w:rsidRDefault="00900515" w:rsidP="00900515">
      <w:pPr>
        <w:tabs>
          <w:tab w:val="left" w:pos="567"/>
          <w:tab w:val="num" w:pos="851"/>
          <w:tab w:val="left" w:pos="1134"/>
        </w:tabs>
        <w:ind w:left="851" w:right="267"/>
        <w:jc w:val="both"/>
      </w:pPr>
    </w:p>
    <w:p w14:paraId="13D50601" w14:textId="77777777" w:rsidR="00960B47" w:rsidRDefault="00900515" w:rsidP="00900515">
      <w:pPr>
        <w:ind w:left="851" w:firstLine="6"/>
        <w:jc w:val="both"/>
      </w:pPr>
      <w:r w:rsidRPr="00D21C39">
        <w:t>Trade receivables are recognised net of a provision for bad or doubtful debts (if applicable).</w:t>
      </w:r>
    </w:p>
    <w:p w14:paraId="6E541D0B" w14:textId="77777777" w:rsidR="00960B47" w:rsidRPr="00F45179" w:rsidRDefault="00960B47" w:rsidP="00960B47">
      <w:pPr>
        <w:pageBreakBefore/>
        <w:ind w:left="79"/>
        <w:jc w:val="center"/>
        <w:rPr>
          <w:b/>
        </w:rPr>
      </w:pPr>
      <w:r w:rsidRPr="00F45179">
        <w:rPr>
          <w:b/>
        </w:rPr>
        <w:lastRenderedPageBreak/>
        <w:t>TRANSPORT FOR EDINBURGH LIMITED</w:t>
      </w:r>
    </w:p>
    <w:p w14:paraId="2BEB102E" w14:textId="77777777" w:rsidR="00960B47" w:rsidRPr="00F45179" w:rsidRDefault="00960B47" w:rsidP="00960B47">
      <w:pPr>
        <w:jc w:val="center"/>
        <w:rPr>
          <w:b/>
        </w:rPr>
      </w:pPr>
    </w:p>
    <w:p w14:paraId="73D87ED0" w14:textId="77777777" w:rsidR="00960B47" w:rsidRPr="00F45179" w:rsidRDefault="00960B47" w:rsidP="00960B47">
      <w:pPr>
        <w:jc w:val="center"/>
        <w:rPr>
          <w:b/>
        </w:rPr>
      </w:pPr>
      <w:r w:rsidRPr="00F45179">
        <w:rPr>
          <w:b/>
        </w:rPr>
        <w:t>Notes to the Financial Statements (continued)</w:t>
      </w:r>
    </w:p>
    <w:p w14:paraId="5385E40D" w14:textId="77777777" w:rsidR="00960B47" w:rsidRPr="00F45179" w:rsidRDefault="00960B47" w:rsidP="00960B47">
      <w:pPr>
        <w:jc w:val="center"/>
        <w:rPr>
          <w:b/>
        </w:rPr>
      </w:pPr>
    </w:p>
    <w:p w14:paraId="528AB58A" w14:textId="77777777" w:rsidR="00960B47" w:rsidRPr="00F45179" w:rsidRDefault="00960B47" w:rsidP="00960B47">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2E6361C6" w14:textId="77777777" w:rsidR="00960B47" w:rsidRPr="00F45179" w:rsidRDefault="00960B47" w:rsidP="00960B47">
      <w:pPr>
        <w:tabs>
          <w:tab w:val="left" w:pos="567"/>
          <w:tab w:val="left" w:pos="1134"/>
        </w:tabs>
        <w:ind w:left="1134" w:hanging="1134"/>
        <w:jc w:val="both"/>
      </w:pPr>
    </w:p>
    <w:p w14:paraId="35AABF53" w14:textId="77777777" w:rsidR="00960B47" w:rsidRDefault="00960B47" w:rsidP="00A5227C">
      <w:pPr>
        <w:numPr>
          <w:ilvl w:val="0"/>
          <w:numId w:val="47"/>
        </w:numPr>
        <w:ind w:left="567" w:hanging="567"/>
        <w:rPr>
          <w:b/>
        </w:rPr>
      </w:pPr>
      <w:r w:rsidRPr="00F45179">
        <w:rPr>
          <w:b/>
        </w:rPr>
        <w:t>Material accounting policies (continued)</w:t>
      </w:r>
    </w:p>
    <w:p w14:paraId="727A972F" w14:textId="77777777" w:rsidR="00900515" w:rsidRPr="00D21C39" w:rsidRDefault="00900515" w:rsidP="00900515">
      <w:pPr>
        <w:ind w:left="851" w:firstLine="6"/>
        <w:jc w:val="both"/>
      </w:pPr>
    </w:p>
    <w:p w14:paraId="6406E394" w14:textId="77777777" w:rsidR="00B2653C" w:rsidRPr="00D21C39" w:rsidRDefault="00B2653C" w:rsidP="00A5227C">
      <w:pPr>
        <w:numPr>
          <w:ilvl w:val="0"/>
          <w:numId w:val="44"/>
        </w:numPr>
        <w:ind w:left="814"/>
        <w:rPr>
          <w:b/>
        </w:rPr>
      </w:pPr>
      <w:r w:rsidRPr="00D21C39">
        <w:rPr>
          <w:b/>
        </w:rPr>
        <w:t>Share capital</w:t>
      </w:r>
    </w:p>
    <w:p w14:paraId="77558831" w14:textId="77777777" w:rsidR="00B2653C" w:rsidRPr="00D21C39" w:rsidRDefault="00B2653C" w:rsidP="00B2653C">
      <w:pPr>
        <w:ind w:left="1134" w:hanging="42"/>
        <w:rPr>
          <w:b/>
          <w:i/>
        </w:rPr>
      </w:pPr>
    </w:p>
    <w:p w14:paraId="2756C16E" w14:textId="77777777" w:rsidR="00333F32" w:rsidRDefault="00B2653C" w:rsidP="0013190F">
      <w:pPr>
        <w:ind w:left="851" w:firstLine="6"/>
        <w:jc w:val="both"/>
      </w:pPr>
      <w:r w:rsidRPr="00D21C39">
        <w:t>Ordinary shares are classified as equity.</w:t>
      </w:r>
    </w:p>
    <w:p w14:paraId="464755BA" w14:textId="77777777" w:rsidR="00565AE5" w:rsidRDefault="00565AE5" w:rsidP="0013190F">
      <w:pPr>
        <w:ind w:left="851" w:firstLine="6"/>
        <w:jc w:val="both"/>
      </w:pPr>
    </w:p>
    <w:p w14:paraId="39B0A653" w14:textId="77777777" w:rsidR="00565AE5" w:rsidRPr="00D21C39" w:rsidRDefault="00565AE5" w:rsidP="00A5227C">
      <w:pPr>
        <w:numPr>
          <w:ilvl w:val="0"/>
          <w:numId w:val="44"/>
        </w:numPr>
        <w:ind w:left="814"/>
        <w:rPr>
          <w:b/>
        </w:rPr>
      </w:pPr>
      <w:r>
        <w:rPr>
          <w:b/>
        </w:rPr>
        <w:t>Finance costs</w:t>
      </w:r>
    </w:p>
    <w:p w14:paraId="48E98B41" w14:textId="77777777" w:rsidR="00565AE5" w:rsidRPr="00D21C39" w:rsidRDefault="00565AE5" w:rsidP="00565AE5">
      <w:pPr>
        <w:ind w:left="1134" w:hanging="42"/>
        <w:rPr>
          <w:b/>
          <w:i/>
        </w:rPr>
      </w:pPr>
    </w:p>
    <w:p w14:paraId="429012EE" w14:textId="77777777" w:rsidR="00565AE5" w:rsidRDefault="00565AE5" w:rsidP="00565AE5">
      <w:pPr>
        <w:ind w:left="851" w:firstLine="6"/>
        <w:jc w:val="both"/>
      </w:pPr>
      <w:r>
        <w:t>Finance costs attributable to qualifying assets are capitalised as part of the asset</w:t>
      </w:r>
      <w:r w:rsidRPr="00D21C39">
        <w:t>.</w:t>
      </w:r>
      <w:r>
        <w:t xml:space="preserve"> All other finance costs are expensed in the period in which they are incurred.</w:t>
      </w:r>
    </w:p>
    <w:p w14:paraId="2C3317E4" w14:textId="77777777" w:rsidR="00492447" w:rsidRPr="00F45179" w:rsidRDefault="00492447" w:rsidP="00031EA4">
      <w:pPr>
        <w:tabs>
          <w:tab w:val="left" w:pos="567"/>
          <w:tab w:val="left" w:pos="1134"/>
        </w:tabs>
        <w:ind w:left="567" w:right="267" w:hanging="567"/>
        <w:jc w:val="both"/>
      </w:pPr>
    </w:p>
    <w:p w14:paraId="3F286117" w14:textId="77777777" w:rsidR="000878CE" w:rsidRPr="00F45179" w:rsidRDefault="004843F4" w:rsidP="00A5227C">
      <w:pPr>
        <w:numPr>
          <w:ilvl w:val="0"/>
          <w:numId w:val="17"/>
        </w:numPr>
        <w:tabs>
          <w:tab w:val="left" w:pos="567"/>
        </w:tabs>
        <w:ind w:left="426" w:hanging="426"/>
      </w:pPr>
      <w:r w:rsidRPr="00F45179">
        <w:rPr>
          <w:b/>
        </w:rPr>
        <w:t>L</w:t>
      </w:r>
      <w:r w:rsidR="00D9076B" w:rsidRPr="00F45179">
        <w:rPr>
          <w:b/>
        </w:rPr>
        <w:t>oss</w:t>
      </w:r>
      <w:r w:rsidR="000878CE" w:rsidRPr="00F45179">
        <w:rPr>
          <w:b/>
        </w:rPr>
        <w:t xml:space="preserve"> </w:t>
      </w:r>
      <w:r w:rsidR="00C9277C" w:rsidRPr="00F45179">
        <w:rPr>
          <w:b/>
        </w:rPr>
        <w:t>f</w:t>
      </w:r>
      <w:r w:rsidR="006F01AF" w:rsidRPr="00F45179">
        <w:rPr>
          <w:b/>
        </w:rPr>
        <w:t>rom operations</w:t>
      </w:r>
    </w:p>
    <w:tbl>
      <w:tblPr>
        <w:tblW w:w="10598" w:type="dxa"/>
        <w:tblLayout w:type="fixed"/>
        <w:tblLook w:val="0000" w:firstRow="0" w:lastRow="0" w:firstColumn="0" w:lastColumn="0" w:noHBand="0" w:noVBand="0"/>
      </w:tblPr>
      <w:tblGrid>
        <w:gridCol w:w="4077"/>
        <w:gridCol w:w="1701"/>
        <w:gridCol w:w="1701"/>
        <w:gridCol w:w="1560"/>
        <w:gridCol w:w="1559"/>
      </w:tblGrid>
      <w:tr w:rsidR="000878CE" w:rsidRPr="006B0B08" w14:paraId="3F983251" w14:textId="77777777" w:rsidTr="00AA2645">
        <w:tc>
          <w:tcPr>
            <w:tcW w:w="4077" w:type="dxa"/>
          </w:tcPr>
          <w:p w14:paraId="0B219257" w14:textId="77777777" w:rsidR="000878CE" w:rsidRPr="00C328EF" w:rsidRDefault="000878CE" w:rsidP="000878CE">
            <w:pPr>
              <w:jc w:val="both"/>
              <w:rPr>
                <w:highlight w:val="yellow"/>
              </w:rPr>
            </w:pPr>
          </w:p>
        </w:tc>
        <w:tc>
          <w:tcPr>
            <w:tcW w:w="3402" w:type="dxa"/>
            <w:gridSpan w:val="2"/>
          </w:tcPr>
          <w:p w14:paraId="21F7C50F" w14:textId="77777777" w:rsidR="000878CE" w:rsidRPr="006B0B08" w:rsidRDefault="000878CE" w:rsidP="006D548D">
            <w:pPr>
              <w:ind w:left="454"/>
              <w:jc w:val="center"/>
              <w:rPr>
                <w:b/>
              </w:rPr>
            </w:pPr>
            <w:r w:rsidRPr="006B0B08">
              <w:rPr>
                <w:b/>
              </w:rPr>
              <w:t>Consolidated</w:t>
            </w:r>
            <w:r w:rsidR="00381C19" w:rsidRPr="006B0B08">
              <w:rPr>
                <w:b/>
              </w:rPr>
              <w:t xml:space="preserve"> </w:t>
            </w:r>
            <w:r w:rsidR="00AE08B2" w:rsidRPr="006B0B08">
              <w:rPr>
                <w:b/>
              </w:rPr>
              <w:t>Group</w:t>
            </w:r>
          </w:p>
        </w:tc>
        <w:tc>
          <w:tcPr>
            <w:tcW w:w="3119" w:type="dxa"/>
            <w:gridSpan w:val="2"/>
          </w:tcPr>
          <w:p w14:paraId="394FA5CB" w14:textId="77777777" w:rsidR="000878CE" w:rsidRPr="006B0B08" w:rsidRDefault="000878CE" w:rsidP="006D548D">
            <w:pPr>
              <w:ind w:left="624"/>
              <w:jc w:val="center"/>
              <w:rPr>
                <w:b/>
              </w:rPr>
            </w:pPr>
            <w:r w:rsidRPr="006B0B08">
              <w:rPr>
                <w:b/>
              </w:rPr>
              <w:t>Parent</w:t>
            </w:r>
            <w:r w:rsidR="00381C19" w:rsidRPr="006B0B08">
              <w:rPr>
                <w:b/>
              </w:rPr>
              <w:t xml:space="preserve"> </w:t>
            </w:r>
            <w:r w:rsidRPr="006B0B08">
              <w:rPr>
                <w:b/>
              </w:rPr>
              <w:t>Entity</w:t>
            </w:r>
          </w:p>
        </w:tc>
      </w:tr>
      <w:tr w:rsidR="00C72A93" w:rsidRPr="006B0B08" w14:paraId="0A59742B" w14:textId="77777777" w:rsidTr="00AA2645">
        <w:tc>
          <w:tcPr>
            <w:tcW w:w="4077" w:type="dxa"/>
          </w:tcPr>
          <w:p w14:paraId="4CCF1189" w14:textId="77777777" w:rsidR="00C72A93" w:rsidRPr="00C328EF" w:rsidRDefault="00C72A93" w:rsidP="00C72A93">
            <w:pPr>
              <w:jc w:val="both"/>
              <w:rPr>
                <w:b/>
                <w:highlight w:val="yellow"/>
              </w:rPr>
            </w:pPr>
          </w:p>
        </w:tc>
        <w:tc>
          <w:tcPr>
            <w:tcW w:w="1701" w:type="dxa"/>
          </w:tcPr>
          <w:p w14:paraId="3EE092E1" w14:textId="77777777" w:rsidR="00C72A93" w:rsidRPr="006B0B08" w:rsidRDefault="00E146E5" w:rsidP="00C72A93">
            <w:pPr>
              <w:suppressAutoHyphens/>
              <w:ind w:right="138"/>
              <w:jc w:val="right"/>
              <w:rPr>
                <w:rFonts w:cs="Arial"/>
                <w:b/>
                <w:spacing w:val="-2"/>
              </w:rPr>
            </w:pPr>
            <w:r>
              <w:rPr>
                <w:rFonts w:cs="Arial"/>
                <w:b/>
                <w:spacing w:val="-2"/>
              </w:rPr>
              <w:t xml:space="preserve">Period to </w:t>
            </w:r>
            <w:r w:rsidR="00227005">
              <w:rPr>
                <w:rFonts w:cs="Arial"/>
                <w:b/>
                <w:spacing w:val="-2"/>
              </w:rPr>
              <w:t>28</w:t>
            </w:r>
            <w:r>
              <w:rPr>
                <w:rFonts w:cs="Arial"/>
                <w:b/>
                <w:spacing w:val="-2"/>
              </w:rPr>
              <w:t xml:space="preserve"> December </w:t>
            </w:r>
            <w:r w:rsidR="00C72A93" w:rsidRPr="006B0B08">
              <w:rPr>
                <w:rFonts w:cs="Arial"/>
                <w:b/>
                <w:spacing w:val="-2"/>
              </w:rPr>
              <w:t>20</w:t>
            </w:r>
            <w:r w:rsidR="003A3E32" w:rsidRPr="006B0B08">
              <w:rPr>
                <w:rFonts w:cs="Arial"/>
                <w:b/>
                <w:spacing w:val="-2"/>
              </w:rPr>
              <w:t>2</w:t>
            </w:r>
            <w:r w:rsidR="006B0B08" w:rsidRPr="006B0B08">
              <w:rPr>
                <w:rFonts w:cs="Arial"/>
                <w:b/>
                <w:spacing w:val="-2"/>
              </w:rPr>
              <w:t>4</w:t>
            </w:r>
          </w:p>
        </w:tc>
        <w:tc>
          <w:tcPr>
            <w:tcW w:w="1701" w:type="dxa"/>
          </w:tcPr>
          <w:p w14:paraId="486FA0F9" w14:textId="77777777" w:rsidR="00C72A93" w:rsidRPr="006B0B08" w:rsidRDefault="00E146E5" w:rsidP="00C72A93">
            <w:pPr>
              <w:suppressAutoHyphens/>
              <w:ind w:right="138"/>
              <w:jc w:val="right"/>
              <w:rPr>
                <w:rFonts w:cs="Arial"/>
                <w:b/>
                <w:spacing w:val="-2"/>
              </w:rPr>
            </w:pPr>
            <w:r>
              <w:rPr>
                <w:rFonts w:cs="Arial"/>
                <w:b/>
                <w:spacing w:val="-2"/>
              </w:rPr>
              <w:t xml:space="preserve">Period to 30 December </w:t>
            </w:r>
            <w:r w:rsidR="00C72A93" w:rsidRPr="006B0B08">
              <w:rPr>
                <w:rFonts w:cs="Arial"/>
                <w:b/>
                <w:spacing w:val="-2"/>
              </w:rPr>
              <w:t>20</w:t>
            </w:r>
            <w:r w:rsidR="00417526" w:rsidRPr="006B0B08">
              <w:rPr>
                <w:rFonts w:cs="Arial"/>
                <w:b/>
                <w:spacing w:val="-2"/>
              </w:rPr>
              <w:t>2</w:t>
            </w:r>
            <w:r w:rsidR="006B0B08" w:rsidRPr="006B0B08">
              <w:rPr>
                <w:rFonts w:cs="Arial"/>
                <w:b/>
                <w:spacing w:val="-2"/>
              </w:rPr>
              <w:t>3</w:t>
            </w:r>
          </w:p>
        </w:tc>
        <w:tc>
          <w:tcPr>
            <w:tcW w:w="1560" w:type="dxa"/>
          </w:tcPr>
          <w:p w14:paraId="7D7F451F" w14:textId="77777777" w:rsidR="00C72A93" w:rsidRPr="006B0B08" w:rsidRDefault="00E146E5" w:rsidP="00C72A93">
            <w:pPr>
              <w:suppressAutoHyphens/>
              <w:ind w:right="138"/>
              <w:jc w:val="right"/>
              <w:rPr>
                <w:rFonts w:cs="Arial"/>
                <w:b/>
                <w:spacing w:val="-2"/>
              </w:rPr>
            </w:pPr>
            <w:r>
              <w:rPr>
                <w:rFonts w:cs="Arial"/>
                <w:b/>
                <w:spacing w:val="-2"/>
              </w:rPr>
              <w:t xml:space="preserve">Period to </w:t>
            </w:r>
            <w:r w:rsidR="00227005">
              <w:rPr>
                <w:rFonts w:cs="Arial"/>
                <w:b/>
                <w:spacing w:val="-2"/>
              </w:rPr>
              <w:t>28</w:t>
            </w:r>
            <w:r>
              <w:rPr>
                <w:rFonts w:cs="Arial"/>
                <w:b/>
                <w:spacing w:val="-2"/>
              </w:rPr>
              <w:t xml:space="preserve"> December </w:t>
            </w:r>
            <w:r w:rsidR="00C72A93" w:rsidRPr="006B0B08">
              <w:rPr>
                <w:rFonts w:cs="Arial"/>
                <w:b/>
                <w:spacing w:val="-2"/>
              </w:rPr>
              <w:t>20</w:t>
            </w:r>
            <w:r w:rsidR="003A3E32" w:rsidRPr="006B0B08">
              <w:rPr>
                <w:rFonts w:cs="Arial"/>
                <w:b/>
                <w:spacing w:val="-2"/>
              </w:rPr>
              <w:t>2</w:t>
            </w:r>
            <w:r w:rsidR="006B0B08" w:rsidRPr="006B0B08">
              <w:rPr>
                <w:rFonts w:cs="Arial"/>
                <w:b/>
                <w:spacing w:val="-2"/>
              </w:rPr>
              <w:t>4</w:t>
            </w:r>
          </w:p>
        </w:tc>
        <w:tc>
          <w:tcPr>
            <w:tcW w:w="1559" w:type="dxa"/>
          </w:tcPr>
          <w:p w14:paraId="168BC035" w14:textId="77777777" w:rsidR="00C72A93" w:rsidRPr="006B0B08" w:rsidRDefault="00E146E5" w:rsidP="00C72A93">
            <w:pPr>
              <w:suppressAutoHyphens/>
              <w:ind w:right="138"/>
              <w:jc w:val="right"/>
              <w:rPr>
                <w:rFonts w:cs="Arial"/>
                <w:b/>
                <w:spacing w:val="-2"/>
              </w:rPr>
            </w:pPr>
            <w:r>
              <w:rPr>
                <w:rFonts w:cs="Arial"/>
                <w:b/>
                <w:spacing w:val="-2"/>
              </w:rPr>
              <w:t xml:space="preserve">Period to 30 December </w:t>
            </w:r>
            <w:r w:rsidR="00C72A93" w:rsidRPr="006B0B08">
              <w:rPr>
                <w:rFonts w:cs="Arial"/>
                <w:b/>
                <w:spacing w:val="-2"/>
              </w:rPr>
              <w:t>20</w:t>
            </w:r>
            <w:r w:rsidR="00417526" w:rsidRPr="006B0B08">
              <w:rPr>
                <w:rFonts w:cs="Arial"/>
                <w:b/>
                <w:spacing w:val="-2"/>
              </w:rPr>
              <w:t>2</w:t>
            </w:r>
            <w:r w:rsidR="006B0B08" w:rsidRPr="006B0B08">
              <w:rPr>
                <w:rFonts w:cs="Arial"/>
                <w:b/>
                <w:spacing w:val="-2"/>
              </w:rPr>
              <w:t>3</w:t>
            </w:r>
          </w:p>
        </w:tc>
      </w:tr>
      <w:tr w:rsidR="00C72A93" w:rsidRPr="006B0B08" w14:paraId="35F73A8A" w14:textId="77777777" w:rsidTr="00AA2645">
        <w:tc>
          <w:tcPr>
            <w:tcW w:w="4077" w:type="dxa"/>
          </w:tcPr>
          <w:p w14:paraId="24CA50F7" w14:textId="77777777" w:rsidR="00C72A93" w:rsidRPr="00565AE5" w:rsidRDefault="00C72A93" w:rsidP="00C72A93">
            <w:pPr>
              <w:jc w:val="both"/>
              <w:rPr>
                <w:b/>
              </w:rPr>
            </w:pPr>
          </w:p>
        </w:tc>
        <w:tc>
          <w:tcPr>
            <w:tcW w:w="1701" w:type="dxa"/>
          </w:tcPr>
          <w:p w14:paraId="0090E82E" w14:textId="77777777" w:rsidR="00C72A93" w:rsidRPr="00565AE5" w:rsidRDefault="00C72A93" w:rsidP="00C72A93">
            <w:pPr>
              <w:suppressAutoHyphens/>
              <w:ind w:right="138"/>
              <w:jc w:val="right"/>
              <w:rPr>
                <w:rFonts w:cs="Arial"/>
                <w:b/>
                <w:spacing w:val="-2"/>
              </w:rPr>
            </w:pPr>
            <w:r w:rsidRPr="00565AE5">
              <w:rPr>
                <w:rFonts w:cs="Arial"/>
                <w:b/>
                <w:spacing w:val="-2"/>
              </w:rPr>
              <w:t>£’000</w:t>
            </w:r>
          </w:p>
        </w:tc>
        <w:tc>
          <w:tcPr>
            <w:tcW w:w="1701" w:type="dxa"/>
          </w:tcPr>
          <w:p w14:paraId="5227D506" w14:textId="77777777" w:rsidR="00C72A93" w:rsidRPr="006B0B08" w:rsidRDefault="00C72A93" w:rsidP="00C72A93">
            <w:pPr>
              <w:suppressAutoHyphens/>
              <w:ind w:right="138"/>
              <w:jc w:val="right"/>
              <w:rPr>
                <w:rFonts w:cs="Arial"/>
                <w:b/>
                <w:spacing w:val="-2"/>
              </w:rPr>
            </w:pPr>
            <w:r w:rsidRPr="006B0B08">
              <w:rPr>
                <w:rFonts w:cs="Arial"/>
                <w:b/>
                <w:spacing w:val="-2"/>
              </w:rPr>
              <w:t>£’000</w:t>
            </w:r>
          </w:p>
        </w:tc>
        <w:tc>
          <w:tcPr>
            <w:tcW w:w="1560" w:type="dxa"/>
          </w:tcPr>
          <w:p w14:paraId="5D241661" w14:textId="77777777" w:rsidR="00C72A93" w:rsidRPr="006B0B08" w:rsidRDefault="00C72A93" w:rsidP="00C72A93">
            <w:pPr>
              <w:suppressAutoHyphens/>
              <w:ind w:right="138"/>
              <w:jc w:val="right"/>
              <w:rPr>
                <w:rFonts w:cs="Arial"/>
                <w:b/>
                <w:spacing w:val="-2"/>
              </w:rPr>
            </w:pPr>
            <w:r w:rsidRPr="006B0B08">
              <w:rPr>
                <w:rFonts w:cs="Arial"/>
                <w:b/>
                <w:spacing w:val="-2"/>
              </w:rPr>
              <w:t>£’000</w:t>
            </w:r>
          </w:p>
        </w:tc>
        <w:tc>
          <w:tcPr>
            <w:tcW w:w="1559" w:type="dxa"/>
          </w:tcPr>
          <w:p w14:paraId="4C7B6C51" w14:textId="77777777" w:rsidR="00C72A93" w:rsidRPr="006B0B08" w:rsidRDefault="00C72A93" w:rsidP="00C72A93">
            <w:pPr>
              <w:suppressAutoHyphens/>
              <w:ind w:right="138"/>
              <w:jc w:val="right"/>
              <w:rPr>
                <w:rFonts w:cs="Arial"/>
                <w:b/>
                <w:spacing w:val="-2"/>
              </w:rPr>
            </w:pPr>
            <w:r w:rsidRPr="006B0B08">
              <w:rPr>
                <w:rFonts w:cs="Arial"/>
                <w:b/>
                <w:spacing w:val="-2"/>
              </w:rPr>
              <w:t>£’000</w:t>
            </w:r>
          </w:p>
        </w:tc>
      </w:tr>
      <w:tr w:rsidR="00C72A93" w:rsidRPr="00C328EF" w14:paraId="6C33A282" w14:textId="77777777" w:rsidTr="00AA2645">
        <w:tc>
          <w:tcPr>
            <w:tcW w:w="4077" w:type="dxa"/>
          </w:tcPr>
          <w:p w14:paraId="688D952D" w14:textId="77777777" w:rsidR="00C72A93" w:rsidRPr="00565AE5" w:rsidRDefault="004843F4" w:rsidP="002A5C0E">
            <w:pPr>
              <w:suppressAutoHyphens/>
              <w:rPr>
                <w:rFonts w:cs="Arial"/>
                <w:b/>
                <w:spacing w:val="-2"/>
              </w:rPr>
            </w:pPr>
            <w:r w:rsidRPr="00565AE5">
              <w:t>L</w:t>
            </w:r>
            <w:r w:rsidR="00C72A93" w:rsidRPr="00565AE5">
              <w:t>oss</w:t>
            </w:r>
            <w:r w:rsidR="003A3E32" w:rsidRPr="00565AE5">
              <w:t xml:space="preserve"> </w:t>
            </w:r>
            <w:r w:rsidR="00C72A93" w:rsidRPr="00565AE5">
              <w:t>from operations has been determined after:</w:t>
            </w:r>
          </w:p>
        </w:tc>
        <w:tc>
          <w:tcPr>
            <w:tcW w:w="1701" w:type="dxa"/>
          </w:tcPr>
          <w:p w14:paraId="1AA0BF69" w14:textId="77777777" w:rsidR="00C72A93" w:rsidRPr="00C328EF" w:rsidRDefault="00C72A93" w:rsidP="00C72A93">
            <w:pPr>
              <w:tabs>
                <w:tab w:val="decimal" w:pos="912"/>
              </w:tabs>
              <w:jc w:val="both"/>
              <w:rPr>
                <w:highlight w:val="yellow"/>
              </w:rPr>
            </w:pPr>
          </w:p>
        </w:tc>
        <w:tc>
          <w:tcPr>
            <w:tcW w:w="1701" w:type="dxa"/>
          </w:tcPr>
          <w:p w14:paraId="23DBCD61" w14:textId="77777777" w:rsidR="00C72A93" w:rsidRPr="00C328EF" w:rsidRDefault="00C72A93" w:rsidP="00C72A93">
            <w:pPr>
              <w:tabs>
                <w:tab w:val="decimal" w:pos="912"/>
              </w:tabs>
              <w:jc w:val="both"/>
              <w:rPr>
                <w:highlight w:val="yellow"/>
              </w:rPr>
            </w:pPr>
          </w:p>
        </w:tc>
        <w:tc>
          <w:tcPr>
            <w:tcW w:w="1560" w:type="dxa"/>
          </w:tcPr>
          <w:p w14:paraId="4262B87D" w14:textId="77777777" w:rsidR="00C72A93" w:rsidRPr="00C328EF" w:rsidRDefault="00C72A93" w:rsidP="00C72A93">
            <w:pPr>
              <w:tabs>
                <w:tab w:val="decimal" w:pos="912"/>
              </w:tabs>
              <w:jc w:val="both"/>
              <w:rPr>
                <w:highlight w:val="yellow"/>
              </w:rPr>
            </w:pPr>
          </w:p>
        </w:tc>
        <w:tc>
          <w:tcPr>
            <w:tcW w:w="1559" w:type="dxa"/>
          </w:tcPr>
          <w:p w14:paraId="604C5A5E" w14:textId="77777777" w:rsidR="00C72A93" w:rsidRPr="00C328EF" w:rsidRDefault="00C72A93" w:rsidP="00C72A93">
            <w:pPr>
              <w:tabs>
                <w:tab w:val="decimal" w:pos="912"/>
              </w:tabs>
              <w:jc w:val="both"/>
              <w:rPr>
                <w:highlight w:val="yellow"/>
              </w:rPr>
            </w:pPr>
          </w:p>
        </w:tc>
      </w:tr>
      <w:tr w:rsidR="00C72A93" w:rsidRPr="00C328EF" w14:paraId="591E8267" w14:textId="77777777" w:rsidTr="00AA2645">
        <w:tc>
          <w:tcPr>
            <w:tcW w:w="4077" w:type="dxa"/>
          </w:tcPr>
          <w:p w14:paraId="13EE57AE" w14:textId="77777777" w:rsidR="00C72A93" w:rsidRPr="00565AE5" w:rsidRDefault="00C72A93" w:rsidP="002A5C0E">
            <w:pPr>
              <w:jc w:val="both"/>
            </w:pPr>
            <w:r w:rsidRPr="00565AE5">
              <w:t>Auditor’s remuneration:</w:t>
            </w:r>
          </w:p>
        </w:tc>
        <w:tc>
          <w:tcPr>
            <w:tcW w:w="1701" w:type="dxa"/>
          </w:tcPr>
          <w:p w14:paraId="39A66AD4" w14:textId="77777777" w:rsidR="00C72A93" w:rsidRPr="00C328EF" w:rsidRDefault="00C72A93" w:rsidP="002A5C0E">
            <w:pPr>
              <w:tabs>
                <w:tab w:val="decimal" w:pos="1026"/>
              </w:tabs>
              <w:jc w:val="both"/>
              <w:rPr>
                <w:highlight w:val="yellow"/>
              </w:rPr>
            </w:pPr>
          </w:p>
        </w:tc>
        <w:tc>
          <w:tcPr>
            <w:tcW w:w="1701" w:type="dxa"/>
          </w:tcPr>
          <w:p w14:paraId="405D1ED5" w14:textId="77777777" w:rsidR="00C72A93" w:rsidRPr="00C328EF" w:rsidRDefault="00C72A93" w:rsidP="00C72A93">
            <w:pPr>
              <w:tabs>
                <w:tab w:val="decimal" w:pos="1026"/>
              </w:tabs>
              <w:jc w:val="both"/>
              <w:rPr>
                <w:highlight w:val="yellow"/>
              </w:rPr>
            </w:pPr>
          </w:p>
        </w:tc>
        <w:tc>
          <w:tcPr>
            <w:tcW w:w="1560" w:type="dxa"/>
          </w:tcPr>
          <w:p w14:paraId="4F74A6B9" w14:textId="77777777" w:rsidR="00C72A93" w:rsidRPr="00C328EF" w:rsidRDefault="00C72A93" w:rsidP="00C72A93">
            <w:pPr>
              <w:tabs>
                <w:tab w:val="decimal" w:pos="1026"/>
              </w:tabs>
              <w:jc w:val="both"/>
              <w:rPr>
                <w:highlight w:val="yellow"/>
              </w:rPr>
            </w:pPr>
          </w:p>
        </w:tc>
        <w:tc>
          <w:tcPr>
            <w:tcW w:w="1559" w:type="dxa"/>
          </w:tcPr>
          <w:p w14:paraId="492CDCC6" w14:textId="77777777" w:rsidR="00C72A93" w:rsidRPr="00C328EF" w:rsidRDefault="00C72A93" w:rsidP="00C72A93">
            <w:pPr>
              <w:tabs>
                <w:tab w:val="decimal" w:pos="1026"/>
              </w:tabs>
              <w:jc w:val="both"/>
              <w:rPr>
                <w:highlight w:val="yellow"/>
              </w:rPr>
            </w:pPr>
          </w:p>
        </w:tc>
      </w:tr>
      <w:tr w:rsidR="006B0B08" w:rsidRPr="00C328EF" w14:paraId="2E04D349" w14:textId="77777777" w:rsidTr="00AA2645">
        <w:tc>
          <w:tcPr>
            <w:tcW w:w="4077" w:type="dxa"/>
          </w:tcPr>
          <w:p w14:paraId="027D8788" w14:textId="77777777" w:rsidR="006B0B08" w:rsidRPr="00FD3A58" w:rsidRDefault="006B0B08" w:rsidP="002A5C0E">
            <w:pPr>
              <w:jc w:val="both"/>
            </w:pPr>
            <w:r w:rsidRPr="00FD3A58">
              <w:t>Audit services</w:t>
            </w:r>
          </w:p>
        </w:tc>
        <w:tc>
          <w:tcPr>
            <w:tcW w:w="1701" w:type="dxa"/>
          </w:tcPr>
          <w:p w14:paraId="24C52547" w14:textId="77777777" w:rsidR="006B0B08" w:rsidRPr="00FD3A58" w:rsidRDefault="006B0B08" w:rsidP="002A5C0E">
            <w:pPr>
              <w:suppressAutoHyphens/>
              <w:ind w:right="138"/>
              <w:jc w:val="right"/>
              <w:rPr>
                <w:rFonts w:cs="Arial"/>
                <w:spacing w:val="-2"/>
              </w:rPr>
            </w:pPr>
            <w:r w:rsidRPr="00FD3A58">
              <w:rPr>
                <w:rFonts w:cs="Arial"/>
                <w:spacing w:val="-2"/>
              </w:rPr>
              <w:t>1</w:t>
            </w:r>
            <w:r w:rsidR="00565AE5" w:rsidRPr="00FD3A58">
              <w:rPr>
                <w:rFonts w:cs="Arial"/>
                <w:spacing w:val="-2"/>
              </w:rPr>
              <w:t>23</w:t>
            </w:r>
          </w:p>
        </w:tc>
        <w:tc>
          <w:tcPr>
            <w:tcW w:w="1701" w:type="dxa"/>
          </w:tcPr>
          <w:p w14:paraId="3A33E977" w14:textId="77777777" w:rsidR="006B0B08" w:rsidRPr="006B0B08" w:rsidRDefault="006B0B08" w:rsidP="006B0B08">
            <w:pPr>
              <w:suppressAutoHyphens/>
              <w:ind w:right="138"/>
              <w:jc w:val="right"/>
              <w:rPr>
                <w:rFonts w:cs="Arial"/>
                <w:spacing w:val="-2"/>
              </w:rPr>
            </w:pPr>
            <w:r w:rsidRPr="006B0B08">
              <w:rPr>
                <w:rFonts w:cs="Arial"/>
                <w:spacing w:val="-2"/>
              </w:rPr>
              <w:t>114</w:t>
            </w:r>
          </w:p>
        </w:tc>
        <w:tc>
          <w:tcPr>
            <w:tcW w:w="1560" w:type="dxa"/>
          </w:tcPr>
          <w:p w14:paraId="74904E72" w14:textId="77777777" w:rsidR="006B0B08" w:rsidRPr="00FE3510" w:rsidRDefault="00FE3510" w:rsidP="006B0B08">
            <w:pPr>
              <w:suppressAutoHyphens/>
              <w:ind w:right="138"/>
              <w:jc w:val="right"/>
              <w:rPr>
                <w:rFonts w:cs="Arial"/>
                <w:spacing w:val="-2"/>
              </w:rPr>
            </w:pPr>
            <w:r w:rsidRPr="00FE3510">
              <w:rPr>
                <w:rFonts w:cs="Arial"/>
                <w:spacing w:val="-2"/>
              </w:rPr>
              <w:t>20</w:t>
            </w:r>
          </w:p>
        </w:tc>
        <w:tc>
          <w:tcPr>
            <w:tcW w:w="1559" w:type="dxa"/>
          </w:tcPr>
          <w:p w14:paraId="5F1E71E9" w14:textId="77777777" w:rsidR="006B0B08" w:rsidRPr="006B0B08" w:rsidRDefault="006B0B08" w:rsidP="006B0B08">
            <w:pPr>
              <w:suppressAutoHyphens/>
              <w:ind w:right="138"/>
              <w:jc w:val="right"/>
              <w:rPr>
                <w:rFonts w:cs="Arial"/>
                <w:spacing w:val="-2"/>
              </w:rPr>
            </w:pPr>
            <w:r w:rsidRPr="006B0B08">
              <w:rPr>
                <w:rFonts w:cs="Arial"/>
                <w:spacing w:val="-2"/>
              </w:rPr>
              <w:t>18</w:t>
            </w:r>
          </w:p>
        </w:tc>
      </w:tr>
      <w:tr w:rsidR="006B0B08" w:rsidRPr="00C328EF" w14:paraId="43DE4110" w14:textId="77777777" w:rsidTr="00AA2645">
        <w:tc>
          <w:tcPr>
            <w:tcW w:w="4077" w:type="dxa"/>
          </w:tcPr>
          <w:p w14:paraId="0A2A509E" w14:textId="77777777" w:rsidR="006B0B08" w:rsidRPr="00FD3A58" w:rsidRDefault="006B0B08" w:rsidP="002A5C0E">
            <w:pPr>
              <w:jc w:val="both"/>
            </w:pPr>
            <w:r w:rsidRPr="00FD3A58">
              <w:t>Non-audit services</w:t>
            </w:r>
          </w:p>
        </w:tc>
        <w:tc>
          <w:tcPr>
            <w:tcW w:w="1701" w:type="dxa"/>
          </w:tcPr>
          <w:p w14:paraId="1463809D" w14:textId="77777777" w:rsidR="006B0B08" w:rsidRPr="00FD3A58" w:rsidRDefault="006B0B08" w:rsidP="002A5C0E">
            <w:pPr>
              <w:suppressAutoHyphens/>
              <w:ind w:right="138"/>
              <w:jc w:val="right"/>
              <w:rPr>
                <w:rFonts w:cs="Arial"/>
                <w:spacing w:val="-2"/>
              </w:rPr>
            </w:pPr>
            <w:r w:rsidRPr="00FD3A58">
              <w:rPr>
                <w:rFonts w:cs="Arial"/>
                <w:spacing w:val="-2"/>
              </w:rPr>
              <w:t>2</w:t>
            </w:r>
            <w:r w:rsidR="00FD3A58" w:rsidRPr="00FD3A58">
              <w:rPr>
                <w:rFonts w:cs="Arial"/>
                <w:spacing w:val="-2"/>
              </w:rPr>
              <w:t>2</w:t>
            </w:r>
          </w:p>
        </w:tc>
        <w:tc>
          <w:tcPr>
            <w:tcW w:w="1701" w:type="dxa"/>
          </w:tcPr>
          <w:p w14:paraId="4849B7E3" w14:textId="77777777" w:rsidR="006B0B08" w:rsidRPr="006B0B08" w:rsidRDefault="006B0B08" w:rsidP="006B0B08">
            <w:pPr>
              <w:suppressAutoHyphens/>
              <w:ind w:right="138"/>
              <w:jc w:val="right"/>
              <w:rPr>
                <w:rFonts w:cs="Arial"/>
                <w:spacing w:val="-2"/>
              </w:rPr>
            </w:pPr>
            <w:r w:rsidRPr="006B0B08">
              <w:rPr>
                <w:rFonts w:cs="Arial"/>
                <w:spacing w:val="-2"/>
              </w:rPr>
              <w:t>20</w:t>
            </w:r>
          </w:p>
        </w:tc>
        <w:tc>
          <w:tcPr>
            <w:tcW w:w="1560" w:type="dxa"/>
          </w:tcPr>
          <w:p w14:paraId="4F2069CA" w14:textId="77777777" w:rsidR="006B0B08" w:rsidRPr="00FE3510" w:rsidRDefault="00FE3510" w:rsidP="006B0B08">
            <w:pPr>
              <w:suppressAutoHyphens/>
              <w:ind w:right="138"/>
              <w:jc w:val="right"/>
              <w:rPr>
                <w:rFonts w:cs="Arial"/>
                <w:spacing w:val="-2"/>
              </w:rPr>
            </w:pPr>
            <w:r w:rsidRPr="00FE3510">
              <w:rPr>
                <w:rFonts w:cs="Arial"/>
                <w:spacing w:val="-2"/>
              </w:rPr>
              <w:t>2</w:t>
            </w:r>
          </w:p>
        </w:tc>
        <w:tc>
          <w:tcPr>
            <w:tcW w:w="1559" w:type="dxa"/>
          </w:tcPr>
          <w:p w14:paraId="29873A8F" w14:textId="77777777" w:rsidR="006B0B08" w:rsidRPr="006B0B08" w:rsidRDefault="006B0B08" w:rsidP="006B0B08">
            <w:pPr>
              <w:suppressAutoHyphens/>
              <w:ind w:right="138"/>
              <w:jc w:val="right"/>
              <w:rPr>
                <w:rFonts w:cs="Arial"/>
                <w:spacing w:val="-2"/>
              </w:rPr>
            </w:pPr>
            <w:r w:rsidRPr="006B0B08">
              <w:rPr>
                <w:rFonts w:cs="Arial"/>
                <w:spacing w:val="-2"/>
              </w:rPr>
              <w:t>1</w:t>
            </w:r>
          </w:p>
        </w:tc>
      </w:tr>
      <w:tr w:rsidR="006B0B08" w:rsidRPr="00C328EF" w14:paraId="6AB03A00" w14:textId="77777777" w:rsidTr="00AA2645">
        <w:tc>
          <w:tcPr>
            <w:tcW w:w="4077" w:type="dxa"/>
          </w:tcPr>
          <w:p w14:paraId="4072D6BC" w14:textId="77777777" w:rsidR="006B0B08" w:rsidRPr="00C328EF" w:rsidRDefault="006B0B08" w:rsidP="002A5C0E">
            <w:pPr>
              <w:jc w:val="both"/>
              <w:rPr>
                <w:highlight w:val="yellow"/>
              </w:rPr>
            </w:pPr>
            <w:r w:rsidRPr="006B0B08">
              <w:t xml:space="preserve">Pension current service </w:t>
            </w:r>
            <w:r w:rsidRPr="00CE5628">
              <w:t>costs (note 2</w:t>
            </w:r>
            <w:r w:rsidR="00CE5628" w:rsidRPr="00CE5628">
              <w:t>4</w:t>
            </w:r>
            <w:r w:rsidRPr="00CE5628">
              <w:t>)</w:t>
            </w:r>
          </w:p>
        </w:tc>
        <w:tc>
          <w:tcPr>
            <w:tcW w:w="1701" w:type="dxa"/>
          </w:tcPr>
          <w:p w14:paraId="10A4AE8F" w14:textId="77777777" w:rsidR="006B0B08" w:rsidRPr="00C328EF" w:rsidRDefault="00565AE5" w:rsidP="002A5C0E">
            <w:pPr>
              <w:suppressAutoHyphens/>
              <w:ind w:right="138"/>
              <w:jc w:val="right"/>
              <w:rPr>
                <w:rFonts w:cs="Arial"/>
                <w:spacing w:val="-2"/>
                <w:highlight w:val="yellow"/>
              </w:rPr>
            </w:pPr>
            <w:r w:rsidRPr="0008397D">
              <w:rPr>
                <w:rFonts w:cs="Arial"/>
                <w:spacing w:val="-2"/>
              </w:rPr>
              <w:t>7,269</w:t>
            </w:r>
          </w:p>
        </w:tc>
        <w:tc>
          <w:tcPr>
            <w:tcW w:w="1701" w:type="dxa"/>
          </w:tcPr>
          <w:p w14:paraId="18C969A3" w14:textId="77777777" w:rsidR="006B0B08" w:rsidRPr="006B0B08" w:rsidRDefault="006B0B08" w:rsidP="006B0B08">
            <w:pPr>
              <w:suppressAutoHyphens/>
              <w:ind w:right="138"/>
              <w:jc w:val="right"/>
              <w:rPr>
                <w:rFonts w:cs="Arial"/>
                <w:spacing w:val="-2"/>
              </w:rPr>
            </w:pPr>
            <w:r w:rsidRPr="006B0B08">
              <w:rPr>
                <w:rFonts w:cs="Arial"/>
                <w:spacing w:val="-2"/>
              </w:rPr>
              <w:t>5,284</w:t>
            </w:r>
          </w:p>
        </w:tc>
        <w:tc>
          <w:tcPr>
            <w:tcW w:w="1560" w:type="dxa"/>
          </w:tcPr>
          <w:p w14:paraId="01E642D9"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559" w:type="dxa"/>
          </w:tcPr>
          <w:p w14:paraId="799F2DE2" w14:textId="77777777" w:rsidR="006B0B08" w:rsidRPr="006B0B08" w:rsidRDefault="006B0B08" w:rsidP="006B0B08">
            <w:pPr>
              <w:suppressAutoHyphens/>
              <w:ind w:right="138"/>
              <w:jc w:val="right"/>
              <w:rPr>
                <w:rFonts w:cs="Arial"/>
                <w:spacing w:val="-2"/>
              </w:rPr>
            </w:pPr>
            <w:r w:rsidRPr="006B0B08">
              <w:rPr>
                <w:rFonts w:cs="Arial"/>
                <w:spacing w:val="-2"/>
              </w:rPr>
              <w:t>-</w:t>
            </w:r>
          </w:p>
        </w:tc>
      </w:tr>
      <w:tr w:rsidR="006B0B08" w:rsidRPr="00C328EF" w14:paraId="4AC44CE3" w14:textId="77777777" w:rsidTr="00AA2645">
        <w:tc>
          <w:tcPr>
            <w:tcW w:w="4077" w:type="dxa"/>
          </w:tcPr>
          <w:p w14:paraId="05AE0F5C" w14:textId="77777777" w:rsidR="006B0B08" w:rsidRPr="006B0B08" w:rsidRDefault="006B0B08" w:rsidP="002A5C0E">
            <w:r w:rsidRPr="006B0B08">
              <w:t>Depreciation and other amounts written off tangible fixed assets:</w:t>
            </w:r>
          </w:p>
        </w:tc>
        <w:tc>
          <w:tcPr>
            <w:tcW w:w="1701" w:type="dxa"/>
          </w:tcPr>
          <w:p w14:paraId="018FEB7B" w14:textId="77777777" w:rsidR="006B0B08" w:rsidRPr="00C328EF" w:rsidRDefault="006B0B08" w:rsidP="002A5C0E">
            <w:pPr>
              <w:suppressAutoHyphens/>
              <w:ind w:right="138"/>
              <w:jc w:val="right"/>
              <w:rPr>
                <w:rFonts w:cs="Arial"/>
                <w:spacing w:val="-2"/>
                <w:highlight w:val="yellow"/>
              </w:rPr>
            </w:pPr>
          </w:p>
        </w:tc>
        <w:tc>
          <w:tcPr>
            <w:tcW w:w="1701" w:type="dxa"/>
          </w:tcPr>
          <w:p w14:paraId="094983DC" w14:textId="77777777" w:rsidR="006B0B08" w:rsidRPr="006B0B08" w:rsidRDefault="006B0B08" w:rsidP="006B0B08">
            <w:pPr>
              <w:suppressAutoHyphens/>
              <w:ind w:right="138"/>
              <w:jc w:val="right"/>
              <w:rPr>
                <w:rFonts w:cs="Arial"/>
                <w:spacing w:val="-2"/>
              </w:rPr>
            </w:pPr>
          </w:p>
        </w:tc>
        <w:tc>
          <w:tcPr>
            <w:tcW w:w="1560" w:type="dxa"/>
          </w:tcPr>
          <w:p w14:paraId="64544EE9" w14:textId="77777777" w:rsidR="006B0B08" w:rsidRPr="006B0B08" w:rsidRDefault="006B0B08" w:rsidP="006B0B08">
            <w:pPr>
              <w:suppressAutoHyphens/>
              <w:ind w:right="138"/>
              <w:jc w:val="right"/>
              <w:rPr>
                <w:rFonts w:cs="Arial"/>
                <w:spacing w:val="-2"/>
              </w:rPr>
            </w:pPr>
          </w:p>
        </w:tc>
        <w:tc>
          <w:tcPr>
            <w:tcW w:w="1559" w:type="dxa"/>
          </w:tcPr>
          <w:p w14:paraId="11642AA2" w14:textId="77777777" w:rsidR="006B0B08" w:rsidRPr="006B0B08" w:rsidRDefault="006B0B08" w:rsidP="006B0B08">
            <w:pPr>
              <w:suppressAutoHyphens/>
              <w:ind w:right="138"/>
              <w:jc w:val="right"/>
              <w:rPr>
                <w:rFonts w:cs="Arial"/>
                <w:spacing w:val="-2"/>
              </w:rPr>
            </w:pPr>
          </w:p>
        </w:tc>
      </w:tr>
      <w:tr w:rsidR="006B0B08" w:rsidRPr="00C328EF" w14:paraId="728F0EA8" w14:textId="77777777" w:rsidTr="00AA2645">
        <w:tc>
          <w:tcPr>
            <w:tcW w:w="4077" w:type="dxa"/>
          </w:tcPr>
          <w:p w14:paraId="67C6779B" w14:textId="77777777" w:rsidR="006B0B08" w:rsidRPr="006B0B08" w:rsidRDefault="006B0B08" w:rsidP="002A5C0E">
            <w:pPr>
              <w:jc w:val="both"/>
            </w:pPr>
            <w:r w:rsidRPr="006B0B08">
              <w:t>Owned</w:t>
            </w:r>
          </w:p>
        </w:tc>
        <w:tc>
          <w:tcPr>
            <w:tcW w:w="1701" w:type="dxa"/>
          </w:tcPr>
          <w:p w14:paraId="43E758AA" w14:textId="77777777" w:rsidR="006B0B08" w:rsidRPr="00565AE5" w:rsidRDefault="006B0B08" w:rsidP="002A5C0E">
            <w:pPr>
              <w:suppressAutoHyphens/>
              <w:ind w:right="138"/>
              <w:jc w:val="right"/>
              <w:rPr>
                <w:rFonts w:cs="Arial"/>
                <w:spacing w:val="-2"/>
              </w:rPr>
            </w:pPr>
            <w:r w:rsidRPr="00565AE5">
              <w:rPr>
                <w:rFonts w:cs="Arial"/>
                <w:spacing w:val="-2"/>
              </w:rPr>
              <w:t>9,</w:t>
            </w:r>
            <w:r w:rsidR="00565AE5" w:rsidRPr="00565AE5">
              <w:rPr>
                <w:rFonts w:cs="Arial"/>
                <w:spacing w:val="-2"/>
              </w:rPr>
              <w:t>703</w:t>
            </w:r>
          </w:p>
        </w:tc>
        <w:tc>
          <w:tcPr>
            <w:tcW w:w="1701" w:type="dxa"/>
          </w:tcPr>
          <w:p w14:paraId="1D41460E" w14:textId="77777777" w:rsidR="006B0B08" w:rsidRPr="006B0B08" w:rsidRDefault="006B0B08" w:rsidP="006B0B08">
            <w:pPr>
              <w:suppressAutoHyphens/>
              <w:ind w:right="138"/>
              <w:jc w:val="right"/>
              <w:rPr>
                <w:rFonts w:cs="Arial"/>
                <w:spacing w:val="-2"/>
              </w:rPr>
            </w:pPr>
            <w:r w:rsidRPr="006B0B08">
              <w:rPr>
                <w:rFonts w:cs="Arial"/>
                <w:spacing w:val="-2"/>
              </w:rPr>
              <w:t>9,492</w:t>
            </w:r>
          </w:p>
        </w:tc>
        <w:tc>
          <w:tcPr>
            <w:tcW w:w="1560" w:type="dxa"/>
          </w:tcPr>
          <w:p w14:paraId="6C2947D2"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559" w:type="dxa"/>
          </w:tcPr>
          <w:p w14:paraId="06B54119" w14:textId="77777777" w:rsidR="006B0B08" w:rsidRPr="006B0B08" w:rsidRDefault="006B0B08" w:rsidP="006B0B08">
            <w:pPr>
              <w:suppressAutoHyphens/>
              <w:ind w:right="138"/>
              <w:jc w:val="right"/>
              <w:rPr>
                <w:rFonts w:cs="Arial"/>
                <w:spacing w:val="-2"/>
              </w:rPr>
            </w:pPr>
            <w:r w:rsidRPr="006B0B08">
              <w:rPr>
                <w:rFonts w:cs="Arial"/>
                <w:spacing w:val="-2"/>
              </w:rPr>
              <w:t>-</w:t>
            </w:r>
          </w:p>
        </w:tc>
      </w:tr>
      <w:tr w:rsidR="006B0B08" w:rsidRPr="00C328EF" w14:paraId="6D4FBA4C" w14:textId="77777777" w:rsidTr="00AA2645">
        <w:tc>
          <w:tcPr>
            <w:tcW w:w="4077" w:type="dxa"/>
          </w:tcPr>
          <w:p w14:paraId="7532342C" w14:textId="77777777" w:rsidR="006B0B08" w:rsidRPr="006B0B08" w:rsidRDefault="006B0B08" w:rsidP="002A5C0E">
            <w:pPr>
              <w:jc w:val="both"/>
            </w:pPr>
            <w:r w:rsidRPr="006B0B08">
              <w:t>Assets held under hire purchase leases</w:t>
            </w:r>
          </w:p>
        </w:tc>
        <w:tc>
          <w:tcPr>
            <w:tcW w:w="1701" w:type="dxa"/>
          </w:tcPr>
          <w:p w14:paraId="2208609D" w14:textId="77777777" w:rsidR="006B0B08" w:rsidRPr="00565AE5" w:rsidRDefault="00565AE5" w:rsidP="002A5C0E">
            <w:pPr>
              <w:suppressAutoHyphens/>
              <w:ind w:right="138"/>
              <w:jc w:val="right"/>
              <w:rPr>
                <w:rFonts w:cs="Arial"/>
                <w:spacing w:val="-2"/>
              </w:rPr>
            </w:pPr>
            <w:r w:rsidRPr="00565AE5">
              <w:rPr>
                <w:rFonts w:cs="Arial"/>
                <w:spacing w:val="-2"/>
              </w:rPr>
              <w:t>1,985</w:t>
            </w:r>
          </w:p>
        </w:tc>
        <w:tc>
          <w:tcPr>
            <w:tcW w:w="1701" w:type="dxa"/>
          </w:tcPr>
          <w:p w14:paraId="366F3EC7" w14:textId="77777777" w:rsidR="006B0B08" w:rsidRPr="006B0B08" w:rsidRDefault="006B0B08" w:rsidP="006B0B08">
            <w:pPr>
              <w:suppressAutoHyphens/>
              <w:ind w:right="138"/>
              <w:jc w:val="right"/>
              <w:rPr>
                <w:rFonts w:cs="Arial"/>
                <w:spacing w:val="-2"/>
              </w:rPr>
            </w:pPr>
            <w:r w:rsidRPr="006B0B08">
              <w:rPr>
                <w:rFonts w:cs="Arial"/>
                <w:spacing w:val="-2"/>
              </w:rPr>
              <w:t>2,235</w:t>
            </w:r>
          </w:p>
        </w:tc>
        <w:tc>
          <w:tcPr>
            <w:tcW w:w="1560" w:type="dxa"/>
          </w:tcPr>
          <w:p w14:paraId="64C826AB"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559" w:type="dxa"/>
          </w:tcPr>
          <w:p w14:paraId="6D8047CF" w14:textId="77777777" w:rsidR="006B0B08" w:rsidRPr="006B0B08" w:rsidRDefault="006B0B08" w:rsidP="006B0B08">
            <w:pPr>
              <w:suppressAutoHyphens/>
              <w:ind w:right="138"/>
              <w:jc w:val="right"/>
              <w:rPr>
                <w:rFonts w:cs="Arial"/>
                <w:spacing w:val="-2"/>
              </w:rPr>
            </w:pPr>
            <w:r w:rsidRPr="006B0B08">
              <w:rPr>
                <w:rFonts w:cs="Arial"/>
                <w:spacing w:val="-2"/>
              </w:rPr>
              <w:t>-</w:t>
            </w:r>
          </w:p>
        </w:tc>
      </w:tr>
      <w:tr w:rsidR="006B0B08" w:rsidRPr="00C328EF" w14:paraId="409EF468" w14:textId="77777777" w:rsidTr="00AA2645">
        <w:tc>
          <w:tcPr>
            <w:tcW w:w="4077" w:type="dxa"/>
          </w:tcPr>
          <w:p w14:paraId="26AAD73E" w14:textId="77777777" w:rsidR="006B0B08" w:rsidRPr="006B0B08" w:rsidRDefault="006B0B08" w:rsidP="002A5C0E">
            <w:pPr>
              <w:jc w:val="both"/>
            </w:pPr>
            <w:r w:rsidRPr="006B0B08">
              <w:t>Right-of-use assets</w:t>
            </w:r>
          </w:p>
        </w:tc>
        <w:tc>
          <w:tcPr>
            <w:tcW w:w="1701" w:type="dxa"/>
          </w:tcPr>
          <w:p w14:paraId="03103314" w14:textId="77777777" w:rsidR="006B0B08" w:rsidRPr="00565AE5" w:rsidRDefault="006B0B08" w:rsidP="002A5C0E">
            <w:pPr>
              <w:suppressAutoHyphens/>
              <w:ind w:right="138"/>
              <w:jc w:val="right"/>
              <w:rPr>
                <w:rFonts w:cs="Arial"/>
                <w:spacing w:val="-2"/>
              </w:rPr>
            </w:pPr>
            <w:r w:rsidRPr="00565AE5">
              <w:rPr>
                <w:rFonts w:cs="Arial"/>
                <w:spacing w:val="-2"/>
              </w:rPr>
              <w:t>7,</w:t>
            </w:r>
            <w:r w:rsidR="00565AE5" w:rsidRPr="00565AE5">
              <w:rPr>
                <w:rFonts w:cs="Arial"/>
                <w:spacing w:val="-2"/>
              </w:rPr>
              <w:t>903</w:t>
            </w:r>
          </w:p>
        </w:tc>
        <w:tc>
          <w:tcPr>
            <w:tcW w:w="1701" w:type="dxa"/>
          </w:tcPr>
          <w:p w14:paraId="1F8439AB" w14:textId="77777777" w:rsidR="006B0B08" w:rsidRPr="006B0B08" w:rsidRDefault="006B0B08" w:rsidP="006B0B08">
            <w:pPr>
              <w:suppressAutoHyphens/>
              <w:ind w:right="138"/>
              <w:jc w:val="right"/>
              <w:rPr>
                <w:rFonts w:cs="Arial"/>
                <w:spacing w:val="-2"/>
              </w:rPr>
            </w:pPr>
            <w:r w:rsidRPr="006B0B08">
              <w:rPr>
                <w:rFonts w:cs="Arial"/>
                <w:spacing w:val="-2"/>
              </w:rPr>
              <w:t>7,834</w:t>
            </w:r>
          </w:p>
        </w:tc>
        <w:tc>
          <w:tcPr>
            <w:tcW w:w="1560" w:type="dxa"/>
          </w:tcPr>
          <w:p w14:paraId="2EA51FD4"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559" w:type="dxa"/>
          </w:tcPr>
          <w:p w14:paraId="0FC2D62B" w14:textId="77777777" w:rsidR="006B0B08" w:rsidRPr="006B0B08" w:rsidRDefault="006B0B08" w:rsidP="006B0B08">
            <w:pPr>
              <w:suppressAutoHyphens/>
              <w:ind w:right="138"/>
              <w:jc w:val="right"/>
              <w:rPr>
                <w:rFonts w:cs="Arial"/>
                <w:spacing w:val="-2"/>
              </w:rPr>
            </w:pPr>
            <w:r w:rsidRPr="006B0B08">
              <w:rPr>
                <w:rFonts w:cs="Arial"/>
                <w:spacing w:val="-2"/>
              </w:rPr>
              <w:t>-</w:t>
            </w:r>
          </w:p>
        </w:tc>
      </w:tr>
      <w:tr w:rsidR="006B0B08" w:rsidRPr="00C328EF" w14:paraId="0B91E95F" w14:textId="77777777" w:rsidTr="00AA2645">
        <w:tc>
          <w:tcPr>
            <w:tcW w:w="4077" w:type="dxa"/>
          </w:tcPr>
          <w:p w14:paraId="2D1309E2" w14:textId="77777777" w:rsidR="006B0B08" w:rsidRPr="00565AE5" w:rsidRDefault="006B0B08" w:rsidP="002A5C0E">
            <w:pPr>
              <w:jc w:val="both"/>
            </w:pPr>
            <w:r w:rsidRPr="00565AE5">
              <w:t>Infrastructure maintenance</w:t>
            </w:r>
          </w:p>
        </w:tc>
        <w:tc>
          <w:tcPr>
            <w:tcW w:w="1701" w:type="dxa"/>
          </w:tcPr>
          <w:p w14:paraId="4E6EDD3F" w14:textId="77777777" w:rsidR="006B0B08" w:rsidRPr="00565AE5" w:rsidRDefault="006B0B08" w:rsidP="002A5C0E">
            <w:pPr>
              <w:suppressAutoHyphens/>
              <w:ind w:right="138"/>
              <w:jc w:val="right"/>
              <w:rPr>
                <w:rFonts w:cs="Arial"/>
                <w:spacing w:val="-2"/>
              </w:rPr>
            </w:pPr>
            <w:r w:rsidRPr="00565AE5">
              <w:rPr>
                <w:rFonts w:cs="Arial"/>
                <w:spacing w:val="-2"/>
              </w:rPr>
              <w:t>6,</w:t>
            </w:r>
            <w:r w:rsidR="00565AE5" w:rsidRPr="00565AE5">
              <w:rPr>
                <w:rFonts w:cs="Arial"/>
                <w:spacing w:val="-2"/>
              </w:rPr>
              <w:t>754</w:t>
            </w:r>
          </w:p>
        </w:tc>
        <w:tc>
          <w:tcPr>
            <w:tcW w:w="1701" w:type="dxa"/>
          </w:tcPr>
          <w:p w14:paraId="0E2A91EE" w14:textId="77777777" w:rsidR="006B0B08" w:rsidRPr="006B0B08" w:rsidRDefault="006B0B08" w:rsidP="006B0B08">
            <w:pPr>
              <w:suppressAutoHyphens/>
              <w:ind w:right="138"/>
              <w:jc w:val="right"/>
              <w:rPr>
                <w:rFonts w:cs="Arial"/>
                <w:spacing w:val="-2"/>
              </w:rPr>
            </w:pPr>
            <w:r w:rsidRPr="006B0B08">
              <w:rPr>
                <w:rFonts w:cs="Arial"/>
                <w:spacing w:val="-2"/>
              </w:rPr>
              <w:t>6,687</w:t>
            </w:r>
          </w:p>
        </w:tc>
        <w:tc>
          <w:tcPr>
            <w:tcW w:w="1560" w:type="dxa"/>
          </w:tcPr>
          <w:p w14:paraId="122D1B59"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559" w:type="dxa"/>
          </w:tcPr>
          <w:p w14:paraId="677EEE89" w14:textId="77777777" w:rsidR="006B0B08" w:rsidRPr="006B0B08" w:rsidRDefault="006B0B08" w:rsidP="006B0B08">
            <w:pPr>
              <w:suppressAutoHyphens/>
              <w:ind w:right="138"/>
              <w:jc w:val="right"/>
              <w:rPr>
                <w:rFonts w:cs="Arial"/>
                <w:spacing w:val="-2"/>
              </w:rPr>
            </w:pPr>
            <w:r w:rsidRPr="006B0B08">
              <w:rPr>
                <w:rFonts w:cs="Arial"/>
                <w:spacing w:val="-2"/>
              </w:rPr>
              <w:t>-</w:t>
            </w:r>
          </w:p>
        </w:tc>
      </w:tr>
      <w:tr w:rsidR="00156773" w:rsidRPr="00C328EF" w14:paraId="191A5B7F" w14:textId="77777777" w:rsidTr="00AA2645">
        <w:tc>
          <w:tcPr>
            <w:tcW w:w="4077" w:type="dxa"/>
          </w:tcPr>
          <w:p w14:paraId="77B28EB1" w14:textId="77777777" w:rsidR="00156773" w:rsidRPr="00565AE5" w:rsidRDefault="00565AE5" w:rsidP="002A5C0E">
            <w:pPr>
              <w:jc w:val="both"/>
            </w:pPr>
            <w:r w:rsidRPr="00565AE5">
              <w:t>Amortisation of intangible assets (note 9)</w:t>
            </w:r>
          </w:p>
        </w:tc>
        <w:tc>
          <w:tcPr>
            <w:tcW w:w="1701" w:type="dxa"/>
          </w:tcPr>
          <w:p w14:paraId="18190A73" w14:textId="77777777" w:rsidR="00156773" w:rsidRPr="00565AE5" w:rsidRDefault="00565AE5" w:rsidP="002A5C0E">
            <w:pPr>
              <w:suppressAutoHyphens/>
              <w:ind w:right="138"/>
              <w:jc w:val="right"/>
              <w:rPr>
                <w:rFonts w:cs="Arial"/>
                <w:spacing w:val="-2"/>
              </w:rPr>
            </w:pPr>
            <w:r w:rsidRPr="00565AE5">
              <w:rPr>
                <w:rFonts w:cs="Arial"/>
                <w:spacing w:val="-2"/>
              </w:rPr>
              <w:t>1,389</w:t>
            </w:r>
          </w:p>
        </w:tc>
        <w:tc>
          <w:tcPr>
            <w:tcW w:w="1701" w:type="dxa"/>
          </w:tcPr>
          <w:p w14:paraId="13B291DB" w14:textId="77777777" w:rsidR="00156773" w:rsidRPr="006B0B08" w:rsidRDefault="00156773" w:rsidP="006B0B08">
            <w:pPr>
              <w:suppressAutoHyphens/>
              <w:ind w:right="138"/>
              <w:jc w:val="right"/>
              <w:rPr>
                <w:rFonts w:cs="Arial"/>
                <w:spacing w:val="-2"/>
              </w:rPr>
            </w:pPr>
            <w:r>
              <w:rPr>
                <w:rFonts w:cs="Arial"/>
                <w:spacing w:val="-2"/>
              </w:rPr>
              <w:t>-</w:t>
            </w:r>
          </w:p>
        </w:tc>
        <w:tc>
          <w:tcPr>
            <w:tcW w:w="1560" w:type="dxa"/>
          </w:tcPr>
          <w:p w14:paraId="44923B40" w14:textId="77777777" w:rsidR="00156773" w:rsidRPr="006B0B08" w:rsidRDefault="00156773" w:rsidP="006B0B08">
            <w:pPr>
              <w:suppressAutoHyphens/>
              <w:ind w:right="138"/>
              <w:jc w:val="right"/>
              <w:rPr>
                <w:rFonts w:cs="Arial"/>
                <w:spacing w:val="-2"/>
              </w:rPr>
            </w:pPr>
            <w:r>
              <w:rPr>
                <w:rFonts w:cs="Arial"/>
                <w:spacing w:val="-2"/>
              </w:rPr>
              <w:t>-</w:t>
            </w:r>
          </w:p>
        </w:tc>
        <w:tc>
          <w:tcPr>
            <w:tcW w:w="1559" w:type="dxa"/>
          </w:tcPr>
          <w:p w14:paraId="38F7E509" w14:textId="77777777" w:rsidR="00156773" w:rsidRPr="006B0B08" w:rsidRDefault="00156773" w:rsidP="006B0B08">
            <w:pPr>
              <w:suppressAutoHyphens/>
              <w:ind w:right="138"/>
              <w:jc w:val="right"/>
              <w:rPr>
                <w:rFonts w:cs="Arial"/>
                <w:spacing w:val="-2"/>
              </w:rPr>
            </w:pPr>
            <w:r>
              <w:rPr>
                <w:rFonts w:cs="Arial"/>
                <w:spacing w:val="-2"/>
              </w:rPr>
              <w:t>-</w:t>
            </w:r>
          </w:p>
        </w:tc>
      </w:tr>
      <w:tr w:rsidR="00156773" w:rsidRPr="00C328EF" w14:paraId="18F73D4C" w14:textId="77777777" w:rsidTr="00AA2645">
        <w:tc>
          <w:tcPr>
            <w:tcW w:w="4077" w:type="dxa"/>
          </w:tcPr>
          <w:p w14:paraId="2334C6B8" w14:textId="77777777" w:rsidR="00156773" w:rsidRPr="00565AE5" w:rsidRDefault="00156773" w:rsidP="002A5C0E">
            <w:pPr>
              <w:jc w:val="both"/>
            </w:pPr>
            <w:r w:rsidRPr="00565AE5">
              <w:t xml:space="preserve">Goodwill </w:t>
            </w:r>
            <w:r w:rsidR="00565AE5" w:rsidRPr="00565AE5">
              <w:t>written back</w:t>
            </w:r>
            <w:r w:rsidR="007E1A40">
              <w:t xml:space="preserve"> (note 9)</w:t>
            </w:r>
          </w:p>
        </w:tc>
        <w:tc>
          <w:tcPr>
            <w:tcW w:w="1701" w:type="dxa"/>
          </w:tcPr>
          <w:p w14:paraId="3AB8416F" w14:textId="77777777" w:rsidR="00156773" w:rsidRPr="00565AE5" w:rsidRDefault="00565AE5" w:rsidP="002A5C0E">
            <w:pPr>
              <w:suppressAutoHyphens/>
              <w:ind w:right="138"/>
              <w:jc w:val="right"/>
              <w:rPr>
                <w:rFonts w:cs="Arial"/>
                <w:spacing w:val="-2"/>
              </w:rPr>
            </w:pPr>
            <w:r w:rsidRPr="00565AE5">
              <w:rPr>
                <w:rFonts w:cs="Arial"/>
                <w:spacing w:val="-2"/>
              </w:rPr>
              <w:t>(126)</w:t>
            </w:r>
          </w:p>
        </w:tc>
        <w:tc>
          <w:tcPr>
            <w:tcW w:w="1701" w:type="dxa"/>
          </w:tcPr>
          <w:p w14:paraId="49B308D4" w14:textId="77777777" w:rsidR="00156773" w:rsidRPr="006B0B08" w:rsidRDefault="00156773" w:rsidP="006B0B08">
            <w:pPr>
              <w:suppressAutoHyphens/>
              <w:ind w:right="138"/>
              <w:jc w:val="right"/>
              <w:rPr>
                <w:rFonts w:cs="Arial"/>
                <w:spacing w:val="-2"/>
              </w:rPr>
            </w:pPr>
            <w:r>
              <w:rPr>
                <w:rFonts w:cs="Arial"/>
                <w:spacing w:val="-2"/>
              </w:rPr>
              <w:t>-</w:t>
            </w:r>
          </w:p>
        </w:tc>
        <w:tc>
          <w:tcPr>
            <w:tcW w:w="1560" w:type="dxa"/>
          </w:tcPr>
          <w:p w14:paraId="74668E1F" w14:textId="77777777" w:rsidR="00156773" w:rsidRPr="006B0B08" w:rsidRDefault="00156773" w:rsidP="006B0B08">
            <w:pPr>
              <w:suppressAutoHyphens/>
              <w:ind w:right="138"/>
              <w:jc w:val="right"/>
              <w:rPr>
                <w:rFonts w:cs="Arial"/>
                <w:spacing w:val="-2"/>
              </w:rPr>
            </w:pPr>
            <w:r>
              <w:rPr>
                <w:rFonts w:cs="Arial"/>
                <w:spacing w:val="-2"/>
              </w:rPr>
              <w:t>-</w:t>
            </w:r>
          </w:p>
        </w:tc>
        <w:tc>
          <w:tcPr>
            <w:tcW w:w="1559" w:type="dxa"/>
          </w:tcPr>
          <w:p w14:paraId="1D6724B0" w14:textId="77777777" w:rsidR="00156773" w:rsidRPr="006B0B08" w:rsidRDefault="00156773" w:rsidP="006B0B08">
            <w:pPr>
              <w:suppressAutoHyphens/>
              <w:ind w:right="138"/>
              <w:jc w:val="right"/>
              <w:rPr>
                <w:rFonts w:cs="Arial"/>
                <w:spacing w:val="-2"/>
              </w:rPr>
            </w:pPr>
            <w:r>
              <w:rPr>
                <w:rFonts w:cs="Arial"/>
                <w:spacing w:val="-2"/>
              </w:rPr>
              <w:t>-</w:t>
            </w:r>
          </w:p>
        </w:tc>
      </w:tr>
      <w:tr w:rsidR="006B0B08" w:rsidRPr="00C328EF" w14:paraId="41B92EB3" w14:textId="77777777" w:rsidTr="00AA2645">
        <w:tc>
          <w:tcPr>
            <w:tcW w:w="4077" w:type="dxa"/>
          </w:tcPr>
          <w:p w14:paraId="5FF7396A" w14:textId="77777777" w:rsidR="006B0B08" w:rsidRPr="00C328EF" w:rsidRDefault="006B0B08" w:rsidP="002A5C0E">
            <w:pPr>
              <w:jc w:val="both"/>
              <w:rPr>
                <w:highlight w:val="yellow"/>
              </w:rPr>
            </w:pPr>
            <w:r w:rsidRPr="006B0B08">
              <w:t xml:space="preserve">Impairment of investment in </w:t>
            </w:r>
            <w:r w:rsidRPr="00CE5628">
              <w:t xml:space="preserve">subsidiary (note </w:t>
            </w:r>
            <w:r w:rsidR="00CE5628" w:rsidRPr="00CE5628">
              <w:t>1</w:t>
            </w:r>
            <w:r w:rsidRPr="00CE5628">
              <w:t>0)</w:t>
            </w:r>
          </w:p>
        </w:tc>
        <w:tc>
          <w:tcPr>
            <w:tcW w:w="1701" w:type="dxa"/>
          </w:tcPr>
          <w:p w14:paraId="2A62892D" w14:textId="77777777" w:rsidR="006B0B08" w:rsidRPr="006B0B08" w:rsidRDefault="006B0B08" w:rsidP="002A5C0E">
            <w:pPr>
              <w:suppressAutoHyphens/>
              <w:ind w:right="138"/>
              <w:jc w:val="right"/>
              <w:rPr>
                <w:rFonts w:cs="Arial"/>
                <w:spacing w:val="-2"/>
              </w:rPr>
            </w:pPr>
            <w:r w:rsidRPr="006B0B08">
              <w:rPr>
                <w:rFonts w:cs="Arial"/>
                <w:spacing w:val="-2"/>
              </w:rPr>
              <w:t>-</w:t>
            </w:r>
          </w:p>
        </w:tc>
        <w:tc>
          <w:tcPr>
            <w:tcW w:w="1701" w:type="dxa"/>
          </w:tcPr>
          <w:p w14:paraId="21354BE1"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560" w:type="dxa"/>
          </w:tcPr>
          <w:p w14:paraId="14ACC9FD" w14:textId="77777777" w:rsidR="006B0B08" w:rsidRPr="006B0B08" w:rsidRDefault="006B0B08" w:rsidP="006B0B08">
            <w:pPr>
              <w:suppressAutoHyphens/>
              <w:ind w:right="138"/>
              <w:jc w:val="right"/>
              <w:rPr>
                <w:rFonts w:cs="Arial"/>
                <w:spacing w:val="-2"/>
              </w:rPr>
            </w:pPr>
            <w:r w:rsidRPr="006B0B08">
              <w:rPr>
                <w:rFonts w:cs="Arial"/>
                <w:spacing w:val="-2"/>
              </w:rPr>
              <w:t>8,000</w:t>
            </w:r>
          </w:p>
        </w:tc>
        <w:tc>
          <w:tcPr>
            <w:tcW w:w="1559" w:type="dxa"/>
          </w:tcPr>
          <w:p w14:paraId="43CD9AD1" w14:textId="77777777" w:rsidR="006B0B08" w:rsidRPr="006B0B08" w:rsidRDefault="006B0B08" w:rsidP="006B0B08">
            <w:pPr>
              <w:suppressAutoHyphens/>
              <w:ind w:right="138"/>
              <w:jc w:val="right"/>
              <w:rPr>
                <w:rFonts w:cs="Arial"/>
                <w:spacing w:val="-2"/>
              </w:rPr>
            </w:pPr>
            <w:r w:rsidRPr="006B0B08">
              <w:rPr>
                <w:rFonts w:cs="Arial"/>
                <w:spacing w:val="-2"/>
              </w:rPr>
              <w:t>12,000</w:t>
            </w:r>
          </w:p>
        </w:tc>
      </w:tr>
      <w:tr w:rsidR="006B0B08" w:rsidRPr="00C328EF" w14:paraId="35F6DCE5" w14:textId="77777777" w:rsidTr="00AA2645">
        <w:tc>
          <w:tcPr>
            <w:tcW w:w="4077" w:type="dxa"/>
          </w:tcPr>
          <w:p w14:paraId="78415CA5" w14:textId="77777777" w:rsidR="006B0B08" w:rsidRPr="00565AE5" w:rsidRDefault="006B0B08" w:rsidP="002A5C0E">
            <w:r w:rsidRPr="00565AE5">
              <w:t>Gain on disposal of property, plant and equipment</w:t>
            </w:r>
          </w:p>
        </w:tc>
        <w:tc>
          <w:tcPr>
            <w:tcW w:w="1701" w:type="dxa"/>
          </w:tcPr>
          <w:p w14:paraId="7E8C1B0D" w14:textId="77777777" w:rsidR="006B0B08" w:rsidRPr="00565AE5" w:rsidRDefault="006B0B08" w:rsidP="002A5C0E">
            <w:pPr>
              <w:suppressAutoHyphens/>
              <w:ind w:right="138"/>
              <w:jc w:val="right"/>
              <w:rPr>
                <w:rFonts w:cs="Arial"/>
                <w:spacing w:val="-2"/>
              </w:rPr>
            </w:pPr>
          </w:p>
          <w:p w14:paraId="5FF6BE54" w14:textId="77777777" w:rsidR="006B0B08" w:rsidRPr="00565AE5" w:rsidRDefault="006B0B08" w:rsidP="002A5C0E">
            <w:pPr>
              <w:suppressAutoHyphens/>
              <w:ind w:right="138"/>
              <w:jc w:val="right"/>
              <w:rPr>
                <w:rFonts w:cs="Arial"/>
                <w:spacing w:val="-2"/>
              </w:rPr>
            </w:pPr>
            <w:r w:rsidRPr="00565AE5">
              <w:rPr>
                <w:rFonts w:cs="Arial"/>
                <w:spacing w:val="-2"/>
              </w:rPr>
              <w:t>(</w:t>
            </w:r>
            <w:r w:rsidR="00565AE5" w:rsidRPr="00565AE5">
              <w:rPr>
                <w:rFonts w:cs="Arial"/>
                <w:spacing w:val="-2"/>
              </w:rPr>
              <w:t>111</w:t>
            </w:r>
            <w:r w:rsidRPr="00565AE5">
              <w:rPr>
                <w:rFonts w:cs="Arial"/>
                <w:spacing w:val="-2"/>
              </w:rPr>
              <w:t>)</w:t>
            </w:r>
          </w:p>
        </w:tc>
        <w:tc>
          <w:tcPr>
            <w:tcW w:w="1701" w:type="dxa"/>
          </w:tcPr>
          <w:p w14:paraId="17F0790E" w14:textId="77777777" w:rsidR="006B0B08" w:rsidRPr="006B0B08" w:rsidRDefault="006B0B08" w:rsidP="006B0B08">
            <w:pPr>
              <w:suppressAutoHyphens/>
              <w:ind w:right="138"/>
              <w:jc w:val="right"/>
              <w:rPr>
                <w:rFonts w:cs="Arial"/>
                <w:spacing w:val="-2"/>
              </w:rPr>
            </w:pPr>
          </w:p>
          <w:p w14:paraId="7F60CE12" w14:textId="77777777" w:rsidR="006B0B08" w:rsidRPr="006B0B08" w:rsidRDefault="006B0B08" w:rsidP="006B0B08">
            <w:pPr>
              <w:suppressAutoHyphens/>
              <w:ind w:right="138"/>
              <w:jc w:val="right"/>
              <w:rPr>
                <w:rFonts w:cs="Arial"/>
                <w:spacing w:val="-2"/>
              </w:rPr>
            </w:pPr>
            <w:r w:rsidRPr="006B0B08">
              <w:rPr>
                <w:rFonts w:cs="Arial"/>
                <w:spacing w:val="-2"/>
              </w:rPr>
              <w:t>(335)</w:t>
            </w:r>
          </w:p>
        </w:tc>
        <w:tc>
          <w:tcPr>
            <w:tcW w:w="1560" w:type="dxa"/>
          </w:tcPr>
          <w:p w14:paraId="3FCE8D63" w14:textId="77777777" w:rsidR="006B0B08" w:rsidRPr="006B0B08" w:rsidRDefault="006B0B08" w:rsidP="006B0B08">
            <w:pPr>
              <w:suppressAutoHyphens/>
              <w:ind w:right="138"/>
              <w:jc w:val="right"/>
              <w:rPr>
                <w:rFonts w:cs="Arial"/>
                <w:spacing w:val="-2"/>
              </w:rPr>
            </w:pPr>
          </w:p>
          <w:p w14:paraId="7212EAC0"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559" w:type="dxa"/>
          </w:tcPr>
          <w:p w14:paraId="5AC4B525" w14:textId="77777777" w:rsidR="006B0B08" w:rsidRPr="006B0B08" w:rsidRDefault="006B0B08" w:rsidP="006B0B08">
            <w:pPr>
              <w:suppressAutoHyphens/>
              <w:ind w:right="138"/>
              <w:jc w:val="right"/>
              <w:rPr>
                <w:rFonts w:cs="Arial"/>
                <w:spacing w:val="-2"/>
              </w:rPr>
            </w:pPr>
          </w:p>
          <w:p w14:paraId="47662DC6" w14:textId="77777777" w:rsidR="006B0B08" w:rsidRPr="006B0B08" w:rsidRDefault="006B0B08" w:rsidP="006B0B08">
            <w:pPr>
              <w:suppressAutoHyphens/>
              <w:ind w:right="138"/>
              <w:jc w:val="right"/>
              <w:rPr>
                <w:rFonts w:cs="Arial"/>
                <w:spacing w:val="-2"/>
              </w:rPr>
            </w:pPr>
            <w:r w:rsidRPr="006B0B08">
              <w:rPr>
                <w:rFonts w:cs="Arial"/>
                <w:spacing w:val="-2"/>
              </w:rPr>
              <w:t>-</w:t>
            </w:r>
          </w:p>
        </w:tc>
      </w:tr>
      <w:tr w:rsidR="006B0B08" w:rsidRPr="00C328EF" w14:paraId="394115A0" w14:textId="77777777" w:rsidTr="00AA2645">
        <w:tc>
          <w:tcPr>
            <w:tcW w:w="4077" w:type="dxa"/>
          </w:tcPr>
          <w:p w14:paraId="5A852078" w14:textId="77777777" w:rsidR="006B0B08" w:rsidRPr="00C328EF" w:rsidRDefault="006B0B08" w:rsidP="006B0B08">
            <w:pPr>
              <w:jc w:val="both"/>
              <w:rPr>
                <w:highlight w:val="yellow"/>
              </w:rPr>
            </w:pPr>
          </w:p>
        </w:tc>
        <w:tc>
          <w:tcPr>
            <w:tcW w:w="1701" w:type="dxa"/>
          </w:tcPr>
          <w:p w14:paraId="403B8F49" w14:textId="77777777" w:rsidR="006B0B08" w:rsidRPr="006B0B08" w:rsidRDefault="006B0B08" w:rsidP="000144D0">
            <w:pPr>
              <w:tabs>
                <w:tab w:val="decimal" w:pos="1026"/>
              </w:tabs>
              <w:ind w:left="113"/>
              <w:jc w:val="right"/>
            </w:pPr>
            <w:r w:rsidRPr="006B0B08">
              <w:t>═══════</w:t>
            </w:r>
          </w:p>
        </w:tc>
        <w:tc>
          <w:tcPr>
            <w:tcW w:w="1701" w:type="dxa"/>
          </w:tcPr>
          <w:p w14:paraId="47F4A861" w14:textId="77777777" w:rsidR="006B0B08" w:rsidRPr="006B0B08" w:rsidRDefault="006B0B08" w:rsidP="000144D0">
            <w:pPr>
              <w:tabs>
                <w:tab w:val="decimal" w:pos="1026"/>
              </w:tabs>
              <w:ind w:left="113"/>
              <w:jc w:val="right"/>
            </w:pPr>
            <w:r w:rsidRPr="006B0B08">
              <w:t>═══════</w:t>
            </w:r>
          </w:p>
        </w:tc>
        <w:tc>
          <w:tcPr>
            <w:tcW w:w="1560" w:type="dxa"/>
          </w:tcPr>
          <w:p w14:paraId="0FEC684F" w14:textId="77777777" w:rsidR="006B0B08" w:rsidRPr="006B0B08" w:rsidRDefault="006B0B08" w:rsidP="000144D0">
            <w:pPr>
              <w:tabs>
                <w:tab w:val="decimal" w:pos="1114"/>
              </w:tabs>
              <w:jc w:val="right"/>
            </w:pPr>
            <w:r w:rsidRPr="006B0B08">
              <w:t>═══════</w:t>
            </w:r>
          </w:p>
        </w:tc>
        <w:tc>
          <w:tcPr>
            <w:tcW w:w="1559" w:type="dxa"/>
          </w:tcPr>
          <w:p w14:paraId="7B6A54B8" w14:textId="77777777" w:rsidR="006B0B08" w:rsidRPr="006B0B08" w:rsidRDefault="006B0B08" w:rsidP="000144D0">
            <w:pPr>
              <w:tabs>
                <w:tab w:val="decimal" w:pos="1114"/>
              </w:tabs>
              <w:jc w:val="right"/>
            </w:pPr>
            <w:r w:rsidRPr="006B0B08">
              <w:t>═══════</w:t>
            </w:r>
          </w:p>
        </w:tc>
      </w:tr>
    </w:tbl>
    <w:p w14:paraId="10E75B7E" w14:textId="77777777" w:rsidR="00246AB9" w:rsidRPr="00C328EF" w:rsidRDefault="00246AB9" w:rsidP="00DF2CC8">
      <w:pPr>
        <w:jc w:val="both"/>
        <w:rPr>
          <w:highlight w:val="yellow"/>
        </w:rPr>
      </w:pPr>
    </w:p>
    <w:p w14:paraId="16ADA560" w14:textId="77777777" w:rsidR="00EB7977" w:rsidRPr="006B0B08" w:rsidRDefault="00EB7977" w:rsidP="00DF2CC8">
      <w:pPr>
        <w:jc w:val="both"/>
      </w:pPr>
    </w:p>
    <w:p w14:paraId="1EAE1AFC" w14:textId="77777777" w:rsidR="0051539E" w:rsidRPr="006B0B08" w:rsidRDefault="00D42088" w:rsidP="00A5227C">
      <w:pPr>
        <w:numPr>
          <w:ilvl w:val="0"/>
          <w:numId w:val="17"/>
        </w:numPr>
        <w:tabs>
          <w:tab w:val="left" w:pos="567"/>
        </w:tabs>
        <w:ind w:left="426" w:hanging="426"/>
        <w:rPr>
          <w:b/>
        </w:rPr>
      </w:pPr>
      <w:r w:rsidRPr="006B0B08">
        <w:rPr>
          <w:b/>
        </w:rPr>
        <w:t>Finance income</w:t>
      </w:r>
    </w:p>
    <w:tbl>
      <w:tblPr>
        <w:tblW w:w="10598" w:type="dxa"/>
        <w:tblLayout w:type="fixed"/>
        <w:tblLook w:val="0000" w:firstRow="0" w:lastRow="0" w:firstColumn="0" w:lastColumn="0" w:noHBand="0" w:noVBand="0"/>
      </w:tblPr>
      <w:tblGrid>
        <w:gridCol w:w="4077"/>
        <w:gridCol w:w="1701"/>
        <w:gridCol w:w="1701"/>
        <w:gridCol w:w="1560"/>
        <w:gridCol w:w="1559"/>
      </w:tblGrid>
      <w:tr w:rsidR="00D42088" w:rsidRPr="006B0B08" w14:paraId="0239EFDC" w14:textId="77777777" w:rsidTr="000144D0">
        <w:tc>
          <w:tcPr>
            <w:tcW w:w="4077" w:type="dxa"/>
          </w:tcPr>
          <w:p w14:paraId="184DF77D" w14:textId="77777777" w:rsidR="00D42088" w:rsidRPr="006B0B08" w:rsidRDefault="00D42088" w:rsidP="006708A5">
            <w:pPr>
              <w:jc w:val="both"/>
            </w:pPr>
          </w:p>
        </w:tc>
        <w:tc>
          <w:tcPr>
            <w:tcW w:w="3402" w:type="dxa"/>
            <w:gridSpan w:val="2"/>
          </w:tcPr>
          <w:p w14:paraId="021C23E5" w14:textId="77777777" w:rsidR="00D42088" w:rsidRPr="006B0B08" w:rsidRDefault="00D42088" w:rsidP="006D548D">
            <w:pPr>
              <w:ind w:left="454"/>
              <w:jc w:val="center"/>
              <w:rPr>
                <w:b/>
              </w:rPr>
            </w:pPr>
            <w:r w:rsidRPr="006B0B08">
              <w:rPr>
                <w:b/>
              </w:rPr>
              <w:t>Consolidated</w:t>
            </w:r>
            <w:r w:rsidR="00381C19" w:rsidRPr="006B0B08">
              <w:rPr>
                <w:b/>
              </w:rPr>
              <w:t xml:space="preserve"> </w:t>
            </w:r>
            <w:r w:rsidR="00AE08B2" w:rsidRPr="006B0B08">
              <w:rPr>
                <w:b/>
              </w:rPr>
              <w:t>Group</w:t>
            </w:r>
          </w:p>
        </w:tc>
        <w:tc>
          <w:tcPr>
            <w:tcW w:w="3119" w:type="dxa"/>
            <w:gridSpan w:val="2"/>
          </w:tcPr>
          <w:p w14:paraId="0C99C57C" w14:textId="77777777" w:rsidR="00D42088" w:rsidRPr="006B0B08" w:rsidRDefault="00D42088" w:rsidP="006D548D">
            <w:pPr>
              <w:ind w:left="510"/>
              <w:jc w:val="center"/>
              <w:rPr>
                <w:b/>
              </w:rPr>
            </w:pPr>
            <w:r w:rsidRPr="006B0B08">
              <w:rPr>
                <w:b/>
              </w:rPr>
              <w:t>Parent</w:t>
            </w:r>
            <w:r w:rsidR="00252446" w:rsidRPr="006B0B08">
              <w:rPr>
                <w:b/>
              </w:rPr>
              <w:t xml:space="preserve"> </w:t>
            </w:r>
            <w:r w:rsidRPr="006B0B08">
              <w:rPr>
                <w:b/>
              </w:rPr>
              <w:t>Entity</w:t>
            </w:r>
          </w:p>
        </w:tc>
      </w:tr>
      <w:tr w:rsidR="00C72A93" w:rsidRPr="006B0B08" w14:paraId="42ACA477" w14:textId="77777777" w:rsidTr="000144D0">
        <w:tc>
          <w:tcPr>
            <w:tcW w:w="4077" w:type="dxa"/>
          </w:tcPr>
          <w:p w14:paraId="03B36BCF" w14:textId="77777777" w:rsidR="00C72A93" w:rsidRPr="006B0B08" w:rsidRDefault="00C72A93" w:rsidP="00C72A93">
            <w:pPr>
              <w:jc w:val="both"/>
              <w:rPr>
                <w:b/>
              </w:rPr>
            </w:pPr>
          </w:p>
        </w:tc>
        <w:tc>
          <w:tcPr>
            <w:tcW w:w="1701" w:type="dxa"/>
          </w:tcPr>
          <w:p w14:paraId="153BA4D2" w14:textId="77777777" w:rsidR="00C72A93" w:rsidRPr="006B0B08" w:rsidRDefault="00E146E5" w:rsidP="00C72A93">
            <w:pPr>
              <w:suppressAutoHyphens/>
              <w:ind w:right="138"/>
              <w:jc w:val="right"/>
              <w:rPr>
                <w:rFonts w:cs="Arial"/>
                <w:b/>
                <w:spacing w:val="-2"/>
              </w:rPr>
            </w:pPr>
            <w:r>
              <w:rPr>
                <w:rFonts w:cs="Arial"/>
                <w:b/>
                <w:spacing w:val="-2"/>
              </w:rPr>
              <w:t xml:space="preserve">Period to 28 December </w:t>
            </w:r>
            <w:r w:rsidR="00C72A93" w:rsidRPr="006B0B08">
              <w:rPr>
                <w:rFonts w:cs="Arial"/>
                <w:b/>
                <w:spacing w:val="-2"/>
              </w:rPr>
              <w:t>20</w:t>
            </w:r>
            <w:r w:rsidR="00B50062" w:rsidRPr="006B0B08">
              <w:rPr>
                <w:rFonts w:cs="Arial"/>
                <w:b/>
                <w:spacing w:val="-2"/>
              </w:rPr>
              <w:t>2</w:t>
            </w:r>
            <w:r w:rsidR="006B0B08">
              <w:rPr>
                <w:rFonts w:cs="Arial"/>
                <w:b/>
                <w:spacing w:val="-2"/>
              </w:rPr>
              <w:t>4</w:t>
            </w:r>
          </w:p>
        </w:tc>
        <w:tc>
          <w:tcPr>
            <w:tcW w:w="1701" w:type="dxa"/>
          </w:tcPr>
          <w:p w14:paraId="2C2ECDD6" w14:textId="77777777" w:rsidR="00C72A93" w:rsidRPr="006B0B08" w:rsidRDefault="00E146E5" w:rsidP="00C72A93">
            <w:pPr>
              <w:suppressAutoHyphens/>
              <w:ind w:right="138"/>
              <w:jc w:val="right"/>
              <w:rPr>
                <w:rFonts w:cs="Arial"/>
                <w:b/>
                <w:spacing w:val="-2"/>
              </w:rPr>
            </w:pPr>
            <w:r>
              <w:rPr>
                <w:rFonts w:cs="Arial"/>
                <w:b/>
                <w:spacing w:val="-2"/>
              </w:rPr>
              <w:t xml:space="preserve">Period to 30 December </w:t>
            </w:r>
            <w:r w:rsidR="00C72A93" w:rsidRPr="006B0B08">
              <w:rPr>
                <w:rFonts w:cs="Arial"/>
                <w:b/>
                <w:spacing w:val="-2"/>
              </w:rPr>
              <w:t>20</w:t>
            </w:r>
            <w:r w:rsidR="0004669A" w:rsidRPr="006B0B08">
              <w:rPr>
                <w:rFonts w:cs="Arial"/>
                <w:b/>
                <w:spacing w:val="-2"/>
              </w:rPr>
              <w:t>2</w:t>
            </w:r>
            <w:r w:rsidR="006B0B08">
              <w:rPr>
                <w:rFonts w:cs="Arial"/>
                <w:b/>
                <w:spacing w:val="-2"/>
              </w:rPr>
              <w:t>3</w:t>
            </w:r>
          </w:p>
        </w:tc>
        <w:tc>
          <w:tcPr>
            <w:tcW w:w="1560" w:type="dxa"/>
          </w:tcPr>
          <w:p w14:paraId="1A9B4399" w14:textId="77777777" w:rsidR="00C72A93" w:rsidRPr="006B0B08" w:rsidRDefault="00E146E5" w:rsidP="00C72A93">
            <w:pPr>
              <w:suppressAutoHyphens/>
              <w:ind w:right="138"/>
              <w:jc w:val="right"/>
              <w:rPr>
                <w:rFonts w:cs="Arial"/>
                <w:b/>
                <w:spacing w:val="-2"/>
              </w:rPr>
            </w:pPr>
            <w:r>
              <w:rPr>
                <w:rFonts w:cs="Arial"/>
                <w:b/>
                <w:spacing w:val="-2"/>
              </w:rPr>
              <w:t xml:space="preserve">Period to 28 December </w:t>
            </w:r>
            <w:r w:rsidR="00C72A93" w:rsidRPr="006B0B08">
              <w:rPr>
                <w:rFonts w:cs="Arial"/>
                <w:b/>
                <w:spacing w:val="-2"/>
              </w:rPr>
              <w:t>20</w:t>
            </w:r>
            <w:r w:rsidR="00B50062" w:rsidRPr="006B0B08">
              <w:rPr>
                <w:rFonts w:cs="Arial"/>
                <w:b/>
                <w:spacing w:val="-2"/>
              </w:rPr>
              <w:t>2</w:t>
            </w:r>
            <w:r w:rsidR="006B0B08">
              <w:rPr>
                <w:rFonts w:cs="Arial"/>
                <w:b/>
                <w:spacing w:val="-2"/>
              </w:rPr>
              <w:t>4</w:t>
            </w:r>
          </w:p>
        </w:tc>
        <w:tc>
          <w:tcPr>
            <w:tcW w:w="1559" w:type="dxa"/>
          </w:tcPr>
          <w:p w14:paraId="517CFAC1" w14:textId="77777777" w:rsidR="00C72A93" w:rsidRPr="006B0B08" w:rsidRDefault="00E146E5" w:rsidP="00C72A93">
            <w:pPr>
              <w:suppressAutoHyphens/>
              <w:ind w:right="138"/>
              <w:jc w:val="right"/>
              <w:rPr>
                <w:rFonts w:cs="Arial"/>
                <w:b/>
                <w:spacing w:val="-2"/>
              </w:rPr>
            </w:pPr>
            <w:r>
              <w:rPr>
                <w:rFonts w:cs="Arial"/>
                <w:b/>
                <w:spacing w:val="-2"/>
              </w:rPr>
              <w:t xml:space="preserve">Period to 30 December </w:t>
            </w:r>
            <w:r w:rsidR="00C72A93" w:rsidRPr="006B0B08">
              <w:rPr>
                <w:rFonts w:cs="Arial"/>
                <w:b/>
                <w:spacing w:val="-2"/>
              </w:rPr>
              <w:t>20</w:t>
            </w:r>
            <w:r w:rsidR="00DF46D0" w:rsidRPr="006B0B08">
              <w:rPr>
                <w:rFonts w:cs="Arial"/>
                <w:b/>
                <w:spacing w:val="-2"/>
              </w:rPr>
              <w:t>2</w:t>
            </w:r>
            <w:r w:rsidR="006B0B08">
              <w:rPr>
                <w:rFonts w:cs="Arial"/>
                <w:b/>
                <w:spacing w:val="-2"/>
              </w:rPr>
              <w:t>3</w:t>
            </w:r>
          </w:p>
        </w:tc>
      </w:tr>
      <w:tr w:rsidR="00C72A93" w:rsidRPr="006B0B08" w14:paraId="167178DF" w14:textId="77777777" w:rsidTr="000144D0">
        <w:tc>
          <w:tcPr>
            <w:tcW w:w="4077" w:type="dxa"/>
          </w:tcPr>
          <w:p w14:paraId="742E47B6" w14:textId="77777777" w:rsidR="00C72A93" w:rsidRPr="006B0B08" w:rsidRDefault="00C72A93" w:rsidP="0058500E">
            <w:pPr>
              <w:jc w:val="both"/>
              <w:rPr>
                <w:b/>
              </w:rPr>
            </w:pPr>
          </w:p>
        </w:tc>
        <w:tc>
          <w:tcPr>
            <w:tcW w:w="1701" w:type="dxa"/>
          </w:tcPr>
          <w:p w14:paraId="2E821332" w14:textId="77777777" w:rsidR="00C72A93" w:rsidRPr="006B0B08" w:rsidRDefault="00C72A93" w:rsidP="00C72A93">
            <w:pPr>
              <w:suppressAutoHyphens/>
              <w:ind w:right="138"/>
              <w:jc w:val="right"/>
              <w:rPr>
                <w:rFonts w:cs="Arial"/>
                <w:b/>
                <w:spacing w:val="-2"/>
              </w:rPr>
            </w:pPr>
            <w:r w:rsidRPr="006B0B08">
              <w:rPr>
                <w:rFonts w:cs="Arial"/>
                <w:b/>
                <w:spacing w:val="-2"/>
              </w:rPr>
              <w:t>£’000</w:t>
            </w:r>
          </w:p>
        </w:tc>
        <w:tc>
          <w:tcPr>
            <w:tcW w:w="1701" w:type="dxa"/>
          </w:tcPr>
          <w:p w14:paraId="4F27253A" w14:textId="77777777" w:rsidR="00C72A93" w:rsidRPr="006B0B08" w:rsidRDefault="00C72A93" w:rsidP="00C72A93">
            <w:pPr>
              <w:suppressAutoHyphens/>
              <w:ind w:right="138"/>
              <w:jc w:val="right"/>
              <w:rPr>
                <w:rFonts w:cs="Arial"/>
                <w:b/>
                <w:spacing w:val="-2"/>
              </w:rPr>
            </w:pPr>
            <w:r w:rsidRPr="006B0B08">
              <w:rPr>
                <w:rFonts w:cs="Arial"/>
                <w:b/>
                <w:spacing w:val="-2"/>
              </w:rPr>
              <w:t>£’000</w:t>
            </w:r>
          </w:p>
        </w:tc>
        <w:tc>
          <w:tcPr>
            <w:tcW w:w="1560" w:type="dxa"/>
          </w:tcPr>
          <w:p w14:paraId="2BCC0786" w14:textId="77777777" w:rsidR="00C72A93" w:rsidRPr="006B0B08" w:rsidRDefault="00C72A93" w:rsidP="00C72A93">
            <w:pPr>
              <w:suppressAutoHyphens/>
              <w:ind w:right="138"/>
              <w:jc w:val="right"/>
              <w:rPr>
                <w:rFonts w:cs="Arial"/>
                <w:b/>
                <w:spacing w:val="-2"/>
              </w:rPr>
            </w:pPr>
            <w:r w:rsidRPr="006B0B08">
              <w:rPr>
                <w:rFonts w:cs="Arial"/>
                <w:b/>
                <w:spacing w:val="-2"/>
              </w:rPr>
              <w:t>£’000</w:t>
            </w:r>
          </w:p>
        </w:tc>
        <w:tc>
          <w:tcPr>
            <w:tcW w:w="1559" w:type="dxa"/>
          </w:tcPr>
          <w:p w14:paraId="4D497745" w14:textId="77777777" w:rsidR="00C72A93" w:rsidRPr="006B0B08" w:rsidRDefault="00C72A93" w:rsidP="00C72A93">
            <w:pPr>
              <w:suppressAutoHyphens/>
              <w:ind w:right="138"/>
              <w:jc w:val="right"/>
              <w:rPr>
                <w:rFonts w:cs="Arial"/>
                <w:b/>
                <w:spacing w:val="-2"/>
              </w:rPr>
            </w:pPr>
            <w:r w:rsidRPr="006B0B08">
              <w:rPr>
                <w:rFonts w:cs="Arial"/>
                <w:b/>
                <w:spacing w:val="-2"/>
              </w:rPr>
              <w:t>£’000</w:t>
            </w:r>
          </w:p>
        </w:tc>
      </w:tr>
      <w:tr w:rsidR="00C72A93" w:rsidRPr="006B0B08" w14:paraId="2120ECA0" w14:textId="77777777" w:rsidTr="000144D0">
        <w:tc>
          <w:tcPr>
            <w:tcW w:w="4077" w:type="dxa"/>
          </w:tcPr>
          <w:p w14:paraId="1A36BE95" w14:textId="77777777" w:rsidR="00C72A93" w:rsidRPr="006B0B08" w:rsidRDefault="00C72A93" w:rsidP="0058500E">
            <w:pPr>
              <w:jc w:val="both"/>
            </w:pPr>
          </w:p>
        </w:tc>
        <w:tc>
          <w:tcPr>
            <w:tcW w:w="1701" w:type="dxa"/>
          </w:tcPr>
          <w:p w14:paraId="413A1D1D" w14:textId="77777777" w:rsidR="00C72A93" w:rsidRPr="006B0B08" w:rsidRDefault="00C72A93" w:rsidP="00C72A93">
            <w:pPr>
              <w:tabs>
                <w:tab w:val="decimal" w:pos="1026"/>
              </w:tabs>
              <w:jc w:val="both"/>
            </w:pPr>
          </w:p>
        </w:tc>
        <w:tc>
          <w:tcPr>
            <w:tcW w:w="1701" w:type="dxa"/>
          </w:tcPr>
          <w:p w14:paraId="6D7BCA35" w14:textId="77777777" w:rsidR="00C72A93" w:rsidRPr="006B0B08" w:rsidRDefault="00C72A93" w:rsidP="00C72A93">
            <w:pPr>
              <w:tabs>
                <w:tab w:val="decimal" w:pos="1026"/>
              </w:tabs>
              <w:jc w:val="both"/>
            </w:pPr>
          </w:p>
        </w:tc>
        <w:tc>
          <w:tcPr>
            <w:tcW w:w="1560" w:type="dxa"/>
          </w:tcPr>
          <w:p w14:paraId="410949F1" w14:textId="77777777" w:rsidR="00C72A93" w:rsidRPr="006B0B08" w:rsidRDefault="00C72A93" w:rsidP="00C72A93">
            <w:pPr>
              <w:tabs>
                <w:tab w:val="decimal" w:pos="1026"/>
              </w:tabs>
              <w:jc w:val="both"/>
            </w:pPr>
          </w:p>
        </w:tc>
        <w:tc>
          <w:tcPr>
            <w:tcW w:w="1559" w:type="dxa"/>
          </w:tcPr>
          <w:p w14:paraId="1C66719A" w14:textId="77777777" w:rsidR="00C72A93" w:rsidRPr="006B0B08" w:rsidRDefault="00C72A93" w:rsidP="00C72A93">
            <w:pPr>
              <w:tabs>
                <w:tab w:val="decimal" w:pos="1026"/>
              </w:tabs>
              <w:jc w:val="both"/>
            </w:pPr>
          </w:p>
        </w:tc>
      </w:tr>
      <w:tr w:rsidR="006B0B08" w:rsidRPr="00C328EF" w14:paraId="4BEFB86C" w14:textId="77777777" w:rsidTr="000144D0">
        <w:tc>
          <w:tcPr>
            <w:tcW w:w="4077" w:type="dxa"/>
          </w:tcPr>
          <w:p w14:paraId="07227B23" w14:textId="77777777" w:rsidR="006B0B08" w:rsidRPr="006B0B08" w:rsidRDefault="006B0B08" w:rsidP="0058500E">
            <w:pPr>
              <w:jc w:val="both"/>
            </w:pPr>
            <w:r w:rsidRPr="006B0B08">
              <w:t>Bank interest</w:t>
            </w:r>
          </w:p>
        </w:tc>
        <w:tc>
          <w:tcPr>
            <w:tcW w:w="1701" w:type="dxa"/>
          </w:tcPr>
          <w:p w14:paraId="50DAAC5B" w14:textId="77777777" w:rsidR="006B0B08" w:rsidRPr="00565AE5" w:rsidRDefault="00565AE5" w:rsidP="006B0B08">
            <w:pPr>
              <w:suppressAutoHyphens/>
              <w:ind w:right="138"/>
              <w:jc w:val="right"/>
              <w:rPr>
                <w:rFonts w:cs="Arial"/>
                <w:spacing w:val="-2"/>
              </w:rPr>
            </w:pPr>
            <w:r w:rsidRPr="00565AE5">
              <w:rPr>
                <w:rFonts w:cs="Arial"/>
                <w:spacing w:val="-2"/>
              </w:rPr>
              <w:t>1,164</w:t>
            </w:r>
          </w:p>
        </w:tc>
        <w:tc>
          <w:tcPr>
            <w:tcW w:w="1701" w:type="dxa"/>
          </w:tcPr>
          <w:p w14:paraId="7012F333" w14:textId="77777777" w:rsidR="006B0B08" w:rsidRPr="006B0B08" w:rsidRDefault="006B0B08" w:rsidP="006B0B08">
            <w:pPr>
              <w:suppressAutoHyphens/>
              <w:ind w:right="138"/>
              <w:jc w:val="right"/>
              <w:rPr>
                <w:rFonts w:cs="Arial"/>
                <w:spacing w:val="-2"/>
              </w:rPr>
            </w:pPr>
            <w:r w:rsidRPr="006B0B08">
              <w:rPr>
                <w:rFonts w:cs="Arial"/>
                <w:spacing w:val="-2"/>
              </w:rPr>
              <w:t>861</w:t>
            </w:r>
          </w:p>
        </w:tc>
        <w:tc>
          <w:tcPr>
            <w:tcW w:w="1560" w:type="dxa"/>
          </w:tcPr>
          <w:p w14:paraId="2208EB0F"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559" w:type="dxa"/>
          </w:tcPr>
          <w:p w14:paraId="4B2E57EB" w14:textId="77777777" w:rsidR="006B0B08" w:rsidRPr="006B0B08" w:rsidRDefault="006B0B08" w:rsidP="006B0B08">
            <w:pPr>
              <w:suppressAutoHyphens/>
              <w:ind w:right="138"/>
              <w:jc w:val="right"/>
              <w:rPr>
                <w:rFonts w:cs="Arial"/>
                <w:spacing w:val="-2"/>
              </w:rPr>
            </w:pPr>
            <w:r w:rsidRPr="006B0B08">
              <w:rPr>
                <w:rFonts w:cs="Arial"/>
                <w:spacing w:val="-2"/>
              </w:rPr>
              <w:t>-</w:t>
            </w:r>
          </w:p>
        </w:tc>
      </w:tr>
      <w:tr w:rsidR="006B0B08" w:rsidRPr="00C328EF" w14:paraId="306B12C6" w14:textId="77777777" w:rsidTr="000144D0">
        <w:tc>
          <w:tcPr>
            <w:tcW w:w="4077" w:type="dxa"/>
          </w:tcPr>
          <w:p w14:paraId="4682F035" w14:textId="77777777" w:rsidR="006B0B08" w:rsidRPr="006B0B08" w:rsidRDefault="006B0B08" w:rsidP="0058500E">
            <w:pPr>
              <w:jc w:val="both"/>
            </w:pPr>
            <w:r w:rsidRPr="006B0B08">
              <w:t>Dividend income from subsidiary</w:t>
            </w:r>
          </w:p>
        </w:tc>
        <w:tc>
          <w:tcPr>
            <w:tcW w:w="1701" w:type="dxa"/>
          </w:tcPr>
          <w:p w14:paraId="28460D74" w14:textId="77777777" w:rsidR="006B0B08" w:rsidRPr="00565AE5" w:rsidRDefault="006B0B08" w:rsidP="006B0B08">
            <w:pPr>
              <w:suppressAutoHyphens/>
              <w:ind w:right="138"/>
              <w:jc w:val="right"/>
              <w:rPr>
                <w:rFonts w:cs="Arial"/>
                <w:spacing w:val="-2"/>
              </w:rPr>
            </w:pPr>
            <w:r w:rsidRPr="00565AE5">
              <w:rPr>
                <w:rFonts w:cs="Arial"/>
                <w:spacing w:val="-2"/>
              </w:rPr>
              <w:t>-</w:t>
            </w:r>
          </w:p>
        </w:tc>
        <w:tc>
          <w:tcPr>
            <w:tcW w:w="1701" w:type="dxa"/>
          </w:tcPr>
          <w:p w14:paraId="227ED9B5"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560" w:type="dxa"/>
          </w:tcPr>
          <w:p w14:paraId="7772C1ED"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559" w:type="dxa"/>
          </w:tcPr>
          <w:p w14:paraId="0886A4C0" w14:textId="77777777" w:rsidR="006B0B08" w:rsidRPr="006B0B08" w:rsidRDefault="006B0B08" w:rsidP="006B0B08">
            <w:pPr>
              <w:suppressAutoHyphens/>
              <w:ind w:right="138"/>
              <w:jc w:val="right"/>
              <w:rPr>
                <w:rFonts w:cs="Arial"/>
                <w:spacing w:val="-2"/>
              </w:rPr>
            </w:pPr>
            <w:r w:rsidRPr="006B0B08">
              <w:rPr>
                <w:rFonts w:cs="Arial"/>
                <w:spacing w:val="-2"/>
              </w:rPr>
              <w:t>2,912</w:t>
            </w:r>
          </w:p>
        </w:tc>
      </w:tr>
      <w:tr w:rsidR="006B0B08" w:rsidRPr="00C328EF" w14:paraId="0C2ADE37" w14:textId="77777777" w:rsidTr="000144D0">
        <w:tc>
          <w:tcPr>
            <w:tcW w:w="4077" w:type="dxa"/>
          </w:tcPr>
          <w:p w14:paraId="16BBF22D" w14:textId="77777777" w:rsidR="006B0B08" w:rsidRPr="006B0B08" w:rsidRDefault="006B0B08" w:rsidP="0058500E">
            <w:pPr>
              <w:jc w:val="both"/>
            </w:pPr>
            <w:r w:rsidRPr="006B0B08">
              <w:t>Interest on corporation tax repayments</w:t>
            </w:r>
          </w:p>
        </w:tc>
        <w:tc>
          <w:tcPr>
            <w:tcW w:w="1701" w:type="dxa"/>
          </w:tcPr>
          <w:p w14:paraId="43465D52" w14:textId="77777777" w:rsidR="006B0B08" w:rsidRPr="00565AE5" w:rsidRDefault="00565AE5" w:rsidP="006B0B08">
            <w:pPr>
              <w:suppressAutoHyphens/>
              <w:ind w:right="138"/>
              <w:jc w:val="right"/>
              <w:rPr>
                <w:rFonts w:cs="Arial"/>
                <w:spacing w:val="-2"/>
              </w:rPr>
            </w:pPr>
            <w:r w:rsidRPr="00565AE5">
              <w:rPr>
                <w:rFonts w:cs="Arial"/>
                <w:spacing w:val="-2"/>
              </w:rPr>
              <w:t>-</w:t>
            </w:r>
          </w:p>
        </w:tc>
        <w:tc>
          <w:tcPr>
            <w:tcW w:w="1701" w:type="dxa"/>
          </w:tcPr>
          <w:p w14:paraId="7D76FCBC" w14:textId="77777777" w:rsidR="006B0B08" w:rsidRPr="006B0B08" w:rsidRDefault="006B0B08" w:rsidP="006B0B08">
            <w:pPr>
              <w:suppressAutoHyphens/>
              <w:ind w:right="138"/>
              <w:jc w:val="right"/>
              <w:rPr>
                <w:rFonts w:cs="Arial"/>
                <w:spacing w:val="-2"/>
              </w:rPr>
            </w:pPr>
            <w:r w:rsidRPr="006B0B08">
              <w:rPr>
                <w:rFonts w:cs="Arial"/>
                <w:spacing w:val="-2"/>
              </w:rPr>
              <w:t>7</w:t>
            </w:r>
          </w:p>
        </w:tc>
        <w:tc>
          <w:tcPr>
            <w:tcW w:w="1560" w:type="dxa"/>
          </w:tcPr>
          <w:p w14:paraId="58CAB25B"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559" w:type="dxa"/>
          </w:tcPr>
          <w:p w14:paraId="732922D9" w14:textId="77777777" w:rsidR="006B0B08" w:rsidRPr="006B0B08" w:rsidRDefault="006B0B08" w:rsidP="006B0B08">
            <w:pPr>
              <w:suppressAutoHyphens/>
              <w:ind w:right="138"/>
              <w:jc w:val="right"/>
              <w:rPr>
                <w:rFonts w:cs="Arial"/>
                <w:spacing w:val="-2"/>
              </w:rPr>
            </w:pPr>
            <w:r w:rsidRPr="006B0B08">
              <w:rPr>
                <w:rFonts w:cs="Arial"/>
                <w:spacing w:val="-2"/>
              </w:rPr>
              <w:t>-</w:t>
            </w:r>
          </w:p>
        </w:tc>
      </w:tr>
      <w:tr w:rsidR="006B0B08" w:rsidRPr="00C328EF" w14:paraId="7302DE6C" w14:textId="77777777" w:rsidTr="000144D0">
        <w:tc>
          <w:tcPr>
            <w:tcW w:w="4077" w:type="dxa"/>
          </w:tcPr>
          <w:p w14:paraId="639B8F5D" w14:textId="77777777" w:rsidR="006B0B08" w:rsidRPr="00C328EF" w:rsidRDefault="006B0B08" w:rsidP="0058500E">
            <w:pPr>
              <w:jc w:val="both"/>
              <w:rPr>
                <w:highlight w:val="yellow"/>
              </w:rPr>
            </w:pPr>
            <w:r w:rsidRPr="006B0B08">
              <w:t>Pension interest in</w:t>
            </w:r>
            <w:r w:rsidRPr="00CE5628">
              <w:t>come (note 2</w:t>
            </w:r>
            <w:r w:rsidR="00CE5628" w:rsidRPr="00CE5628">
              <w:t>4</w:t>
            </w:r>
            <w:r w:rsidRPr="00CE5628">
              <w:t>)</w:t>
            </w:r>
          </w:p>
        </w:tc>
        <w:tc>
          <w:tcPr>
            <w:tcW w:w="1701" w:type="dxa"/>
          </w:tcPr>
          <w:p w14:paraId="61D7C324" w14:textId="77777777" w:rsidR="006B0B08" w:rsidRPr="00565AE5" w:rsidRDefault="00565AE5" w:rsidP="006B0B08">
            <w:pPr>
              <w:suppressAutoHyphens/>
              <w:ind w:right="138"/>
              <w:jc w:val="right"/>
              <w:rPr>
                <w:rFonts w:cs="Arial"/>
                <w:spacing w:val="-2"/>
              </w:rPr>
            </w:pPr>
            <w:r w:rsidRPr="00565AE5">
              <w:rPr>
                <w:rFonts w:cs="Arial"/>
                <w:spacing w:val="-2"/>
              </w:rPr>
              <w:t>5</w:t>
            </w:r>
            <w:r w:rsidR="006B0B08" w:rsidRPr="00565AE5">
              <w:rPr>
                <w:rFonts w:cs="Arial"/>
                <w:spacing w:val="-2"/>
              </w:rPr>
              <w:t>,</w:t>
            </w:r>
            <w:r w:rsidRPr="00565AE5">
              <w:rPr>
                <w:rFonts w:cs="Arial"/>
                <w:spacing w:val="-2"/>
              </w:rPr>
              <w:t>014</w:t>
            </w:r>
          </w:p>
        </w:tc>
        <w:tc>
          <w:tcPr>
            <w:tcW w:w="1701" w:type="dxa"/>
          </w:tcPr>
          <w:p w14:paraId="2D662C8C" w14:textId="77777777" w:rsidR="006B0B08" w:rsidRPr="006B0B08" w:rsidRDefault="006B0B08" w:rsidP="006B0B08">
            <w:pPr>
              <w:suppressAutoHyphens/>
              <w:ind w:right="138"/>
              <w:jc w:val="right"/>
              <w:rPr>
                <w:rFonts w:cs="Arial"/>
                <w:spacing w:val="-2"/>
              </w:rPr>
            </w:pPr>
            <w:r w:rsidRPr="006B0B08">
              <w:rPr>
                <w:rFonts w:cs="Arial"/>
                <w:spacing w:val="-2"/>
              </w:rPr>
              <w:t>7,833</w:t>
            </w:r>
          </w:p>
        </w:tc>
        <w:tc>
          <w:tcPr>
            <w:tcW w:w="1560" w:type="dxa"/>
          </w:tcPr>
          <w:p w14:paraId="43C7C2FD"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559" w:type="dxa"/>
          </w:tcPr>
          <w:p w14:paraId="61902C5D" w14:textId="77777777" w:rsidR="006B0B08" w:rsidRPr="006B0B08" w:rsidRDefault="006B0B08" w:rsidP="006B0B08">
            <w:pPr>
              <w:suppressAutoHyphens/>
              <w:ind w:right="138"/>
              <w:jc w:val="right"/>
              <w:rPr>
                <w:rFonts w:cs="Arial"/>
                <w:spacing w:val="-2"/>
              </w:rPr>
            </w:pPr>
            <w:r w:rsidRPr="006B0B08">
              <w:rPr>
                <w:rFonts w:cs="Arial"/>
                <w:spacing w:val="-2"/>
              </w:rPr>
              <w:t>-</w:t>
            </w:r>
          </w:p>
        </w:tc>
      </w:tr>
      <w:tr w:rsidR="006B0B08" w:rsidRPr="00C328EF" w14:paraId="7E3F9F5D" w14:textId="77777777" w:rsidTr="000144D0">
        <w:tc>
          <w:tcPr>
            <w:tcW w:w="4077" w:type="dxa"/>
          </w:tcPr>
          <w:p w14:paraId="501BD1FD" w14:textId="77777777" w:rsidR="006B0B08" w:rsidRPr="00C328EF" w:rsidRDefault="006B0B08" w:rsidP="006B0B08">
            <w:pPr>
              <w:ind w:left="588"/>
              <w:jc w:val="both"/>
              <w:rPr>
                <w:highlight w:val="yellow"/>
              </w:rPr>
            </w:pPr>
          </w:p>
        </w:tc>
        <w:tc>
          <w:tcPr>
            <w:tcW w:w="1701" w:type="dxa"/>
          </w:tcPr>
          <w:p w14:paraId="5653C162" w14:textId="77777777" w:rsidR="006B0B08" w:rsidRPr="00565AE5" w:rsidRDefault="006B0B08" w:rsidP="000144D0">
            <w:pPr>
              <w:tabs>
                <w:tab w:val="decimal" w:pos="1026"/>
              </w:tabs>
              <w:ind w:left="113"/>
              <w:jc w:val="right"/>
            </w:pPr>
            <w:r w:rsidRPr="00565AE5">
              <w:rPr>
                <w:spacing w:val="-2"/>
              </w:rPr>
              <w:t>───────</w:t>
            </w:r>
          </w:p>
        </w:tc>
        <w:tc>
          <w:tcPr>
            <w:tcW w:w="1701" w:type="dxa"/>
          </w:tcPr>
          <w:p w14:paraId="662EAAB6" w14:textId="77777777" w:rsidR="006B0B08" w:rsidRPr="006B0B08" w:rsidRDefault="006B0B08" w:rsidP="000144D0">
            <w:pPr>
              <w:tabs>
                <w:tab w:val="decimal" w:pos="1026"/>
              </w:tabs>
              <w:ind w:left="113"/>
              <w:jc w:val="right"/>
            </w:pPr>
            <w:r w:rsidRPr="006B0B08">
              <w:rPr>
                <w:spacing w:val="-2"/>
              </w:rPr>
              <w:t>───────</w:t>
            </w:r>
          </w:p>
        </w:tc>
        <w:tc>
          <w:tcPr>
            <w:tcW w:w="1560" w:type="dxa"/>
          </w:tcPr>
          <w:p w14:paraId="2757E75A" w14:textId="77777777" w:rsidR="006B0B08" w:rsidRPr="006B0B08" w:rsidRDefault="006B0B08" w:rsidP="000144D0">
            <w:pPr>
              <w:tabs>
                <w:tab w:val="decimal" w:pos="1026"/>
              </w:tabs>
              <w:ind w:left="113"/>
              <w:jc w:val="right"/>
            </w:pPr>
            <w:r w:rsidRPr="006B0B08">
              <w:rPr>
                <w:spacing w:val="-2"/>
              </w:rPr>
              <w:t>───────</w:t>
            </w:r>
          </w:p>
        </w:tc>
        <w:tc>
          <w:tcPr>
            <w:tcW w:w="1559" w:type="dxa"/>
          </w:tcPr>
          <w:p w14:paraId="72533C5D" w14:textId="77777777" w:rsidR="006B0B08" w:rsidRPr="006B0B08" w:rsidRDefault="006B0B08" w:rsidP="000144D0">
            <w:pPr>
              <w:tabs>
                <w:tab w:val="decimal" w:pos="1026"/>
              </w:tabs>
              <w:ind w:left="113"/>
              <w:jc w:val="right"/>
            </w:pPr>
            <w:r w:rsidRPr="006B0B08">
              <w:rPr>
                <w:spacing w:val="-2"/>
              </w:rPr>
              <w:t>───────</w:t>
            </w:r>
          </w:p>
        </w:tc>
      </w:tr>
      <w:tr w:rsidR="006B0B08" w:rsidRPr="00C328EF" w14:paraId="354B533A" w14:textId="77777777" w:rsidTr="000144D0">
        <w:trPr>
          <w:trHeight w:val="95"/>
        </w:trPr>
        <w:tc>
          <w:tcPr>
            <w:tcW w:w="4077" w:type="dxa"/>
          </w:tcPr>
          <w:p w14:paraId="69D19C0F" w14:textId="77777777" w:rsidR="006B0B08" w:rsidRPr="00C328EF" w:rsidRDefault="006B0B08" w:rsidP="006B0B08">
            <w:pPr>
              <w:ind w:left="588"/>
              <w:jc w:val="both"/>
              <w:rPr>
                <w:highlight w:val="yellow"/>
              </w:rPr>
            </w:pPr>
          </w:p>
        </w:tc>
        <w:tc>
          <w:tcPr>
            <w:tcW w:w="1701" w:type="dxa"/>
          </w:tcPr>
          <w:p w14:paraId="295CCD3B" w14:textId="77777777" w:rsidR="006B0B08" w:rsidRPr="00565AE5" w:rsidRDefault="00565AE5" w:rsidP="006B0B08">
            <w:pPr>
              <w:suppressAutoHyphens/>
              <w:ind w:right="138"/>
              <w:jc w:val="right"/>
              <w:rPr>
                <w:rFonts w:cs="Arial"/>
                <w:spacing w:val="-2"/>
              </w:rPr>
            </w:pPr>
            <w:r w:rsidRPr="00565AE5">
              <w:rPr>
                <w:rFonts w:cs="Arial"/>
                <w:spacing w:val="-2"/>
              </w:rPr>
              <w:t>6,178</w:t>
            </w:r>
          </w:p>
        </w:tc>
        <w:tc>
          <w:tcPr>
            <w:tcW w:w="1701" w:type="dxa"/>
          </w:tcPr>
          <w:p w14:paraId="683A2BD8" w14:textId="77777777" w:rsidR="006B0B08" w:rsidRPr="006B0B08" w:rsidRDefault="006B0B08" w:rsidP="006B0B08">
            <w:pPr>
              <w:suppressAutoHyphens/>
              <w:ind w:right="138"/>
              <w:jc w:val="right"/>
              <w:rPr>
                <w:rFonts w:cs="Arial"/>
                <w:spacing w:val="-2"/>
              </w:rPr>
            </w:pPr>
            <w:r w:rsidRPr="006B0B08">
              <w:rPr>
                <w:rFonts w:cs="Arial"/>
                <w:spacing w:val="-2"/>
              </w:rPr>
              <w:t>8,701</w:t>
            </w:r>
          </w:p>
        </w:tc>
        <w:tc>
          <w:tcPr>
            <w:tcW w:w="1560" w:type="dxa"/>
          </w:tcPr>
          <w:p w14:paraId="1AB0EE63"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559" w:type="dxa"/>
          </w:tcPr>
          <w:p w14:paraId="10B61B8B" w14:textId="77777777" w:rsidR="006B0B08" w:rsidRPr="006B0B08" w:rsidRDefault="006B0B08" w:rsidP="006B0B08">
            <w:pPr>
              <w:suppressAutoHyphens/>
              <w:ind w:right="138"/>
              <w:jc w:val="right"/>
              <w:rPr>
                <w:rFonts w:cs="Arial"/>
                <w:spacing w:val="-2"/>
              </w:rPr>
            </w:pPr>
            <w:r w:rsidRPr="006B0B08">
              <w:rPr>
                <w:rFonts w:cs="Arial"/>
                <w:spacing w:val="-2"/>
              </w:rPr>
              <w:t>2,912</w:t>
            </w:r>
          </w:p>
        </w:tc>
      </w:tr>
      <w:tr w:rsidR="006B0B08" w:rsidRPr="00C328EF" w14:paraId="282B2EB6" w14:textId="77777777" w:rsidTr="000144D0">
        <w:tc>
          <w:tcPr>
            <w:tcW w:w="4077" w:type="dxa"/>
          </w:tcPr>
          <w:p w14:paraId="25C4A699" w14:textId="77777777" w:rsidR="006B0B08" w:rsidRPr="00C328EF" w:rsidRDefault="006B0B08" w:rsidP="006B0B08">
            <w:pPr>
              <w:jc w:val="both"/>
              <w:rPr>
                <w:highlight w:val="yellow"/>
              </w:rPr>
            </w:pPr>
          </w:p>
        </w:tc>
        <w:tc>
          <w:tcPr>
            <w:tcW w:w="1701" w:type="dxa"/>
          </w:tcPr>
          <w:p w14:paraId="0437FCD9" w14:textId="77777777" w:rsidR="006B0B08" w:rsidRPr="00565AE5" w:rsidRDefault="006B0B08" w:rsidP="000144D0">
            <w:pPr>
              <w:tabs>
                <w:tab w:val="decimal" w:pos="1026"/>
              </w:tabs>
              <w:ind w:left="113"/>
              <w:jc w:val="right"/>
            </w:pPr>
            <w:r w:rsidRPr="00565AE5">
              <w:t>═══════</w:t>
            </w:r>
          </w:p>
        </w:tc>
        <w:tc>
          <w:tcPr>
            <w:tcW w:w="1701" w:type="dxa"/>
          </w:tcPr>
          <w:p w14:paraId="72EBCC53" w14:textId="77777777" w:rsidR="006B0B08" w:rsidRPr="006B0B08" w:rsidRDefault="006B0B08" w:rsidP="000144D0">
            <w:pPr>
              <w:tabs>
                <w:tab w:val="decimal" w:pos="1026"/>
              </w:tabs>
              <w:ind w:left="113"/>
              <w:jc w:val="right"/>
            </w:pPr>
            <w:r w:rsidRPr="006B0B08">
              <w:t>═══════</w:t>
            </w:r>
          </w:p>
        </w:tc>
        <w:tc>
          <w:tcPr>
            <w:tcW w:w="1560" w:type="dxa"/>
          </w:tcPr>
          <w:p w14:paraId="5B0A6E88" w14:textId="77777777" w:rsidR="006B0B08" w:rsidRPr="006B0B08" w:rsidRDefault="006B0B08" w:rsidP="000144D0">
            <w:pPr>
              <w:tabs>
                <w:tab w:val="decimal" w:pos="1026"/>
              </w:tabs>
              <w:ind w:left="113"/>
              <w:jc w:val="right"/>
            </w:pPr>
            <w:r w:rsidRPr="006B0B08">
              <w:t>═══════</w:t>
            </w:r>
          </w:p>
        </w:tc>
        <w:tc>
          <w:tcPr>
            <w:tcW w:w="1559" w:type="dxa"/>
          </w:tcPr>
          <w:p w14:paraId="3A3F4447" w14:textId="77777777" w:rsidR="006B0B08" w:rsidRPr="006B0B08" w:rsidRDefault="006B0B08" w:rsidP="000144D0">
            <w:pPr>
              <w:tabs>
                <w:tab w:val="decimal" w:pos="1026"/>
              </w:tabs>
              <w:ind w:left="113"/>
              <w:jc w:val="right"/>
            </w:pPr>
            <w:r w:rsidRPr="006B0B08">
              <w:t>═══════</w:t>
            </w:r>
          </w:p>
        </w:tc>
      </w:tr>
    </w:tbl>
    <w:p w14:paraId="1BABCA92" w14:textId="77777777" w:rsidR="00960B47" w:rsidRDefault="00960B47"/>
    <w:p w14:paraId="2886FD56" w14:textId="77777777" w:rsidR="006B74D3" w:rsidRPr="00F45179" w:rsidRDefault="006B74D3" w:rsidP="006B74D3">
      <w:pPr>
        <w:pageBreakBefore/>
        <w:ind w:left="79"/>
        <w:jc w:val="center"/>
        <w:rPr>
          <w:b/>
        </w:rPr>
      </w:pPr>
      <w:r w:rsidRPr="00F45179">
        <w:rPr>
          <w:b/>
        </w:rPr>
        <w:lastRenderedPageBreak/>
        <w:t>TRANSPORT FOR EDINBURGH LIMITED</w:t>
      </w:r>
    </w:p>
    <w:p w14:paraId="5DB18BDB" w14:textId="77777777" w:rsidR="006B74D3" w:rsidRPr="00F45179" w:rsidRDefault="006B74D3" w:rsidP="006B74D3">
      <w:pPr>
        <w:jc w:val="center"/>
        <w:rPr>
          <w:b/>
        </w:rPr>
      </w:pPr>
    </w:p>
    <w:p w14:paraId="7F4F3290" w14:textId="77777777" w:rsidR="006B74D3" w:rsidRPr="00F45179" w:rsidRDefault="006B74D3" w:rsidP="006B74D3">
      <w:pPr>
        <w:jc w:val="center"/>
        <w:rPr>
          <w:b/>
        </w:rPr>
      </w:pPr>
      <w:r w:rsidRPr="00F45179">
        <w:rPr>
          <w:b/>
        </w:rPr>
        <w:t>Notes to the Financial Statements (continued)</w:t>
      </w:r>
    </w:p>
    <w:p w14:paraId="1C53AEA2" w14:textId="77777777" w:rsidR="006B74D3" w:rsidRPr="00F45179" w:rsidRDefault="006B74D3" w:rsidP="006B74D3">
      <w:pPr>
        <w:jc w:val="center"/>
        <w:rPr>
          <w:b/>
        </w:rPr>
      </w:pPr>
    </w:p>
    <w:p w14:paraId="515F3B1E" w14:textId="77777777" w:rsidR="006B74D3" w:rsidRPr="00F45179" w:rsidRDefault="006B74D3" w:rsidP="006B74D3">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4D6BC590" w14:textId="77777777" w:rsidR="0051539E" w:rsidRPr="006B0B08" w:rsidRDefault="0051539E"/>
    <w:p w14:paraId="3A871315" w14:textId="77777777" w:rsidR="00856BCD" w:rsidRPr="006B0B08" w:rsidRDefault="000068C0" w:rsidP="00A5227C">
      <w:pPr>
        <w:numPr>
          <w:ilvl w:val="0"/>
          <w:numId w:val="17"/>
        </w:numPr>
        <w:tabs>
          <w:tab w:val="left" w:pos="567"/>
        </w:tabs>
        <w:ind w:left="426" w:hanging="426"/>
        <w:rPr>
          <w:b/>
        </w:rPr>
      </w:pPr>
      <w:r w:rsidRPr="006B0B08">
        <w:rPr>
          <w:b/>
        </w:rPr>
        <w:t>Finance cost</w:t>
      </w:r>
      <w:r w:rsidR="004830EA" w:rsidRPr="006B0B08">
        <w:rPr>
          <w:b/>
        </w:rPr>
        <w:t>s</w:t>
      </w:r>
    </w:p>
    <w:tbl>
      <w:tblPr>
        <w:tblpPr w:leftFromText="180" w:rightFromText="180" w:vertAnchor="text" w:tblpY="1"/>
        <w:tblOverlap w:val="never"/>
        <w:tblW w:w="10598" w:type="dxa"/>
        <w:tblLayout w:type="fixed"/>
        <w:tblLook w:val="0000" w:firstRow="0" w:lastRow="0" w:firstColumn="0" w:lastColumn="0" w:noHBand="0" w:noVBand="0"/>
      </w:tblPr>
      <w:tblGrid>
        <w:gridCol w:w="4077"/>
        <w:gridCol w:w="1701"/>
        <w:gridCol w:w="1701"/>
        <w:gridCol w:w="1560"/>
        <w:gridCol w:w="1559"/>
      </w:tblGrid>
      <w:tr w:rsidR="00D42088" w:rsidRPr="006B0B08" w14:paraId="3CB5F690" w14:textId="77777777" w:rsidTr="000144D0">
        <w:tc>
          <w:tcPr>
            <w:tcW w:w="4077" w:type="dxa"/>
          </w:tcPr>
          <w:p w14:paraId="6AF3EA70" w14:textId="77777777" w:rsidR="00D42088" w:rsidRPr="006B0B08" w:rsidRDefault="00D42088" w:rsidP="004830EA">
            <w:pPr>
              <w:jc w:val="both"/>
            </w:pPr>
          </w:p>
        </w:tc>
        <w:tc>
          <w:tcPr>
            <w:tcW w:w="3402" w:type="dxa"/>
            <w:gridSpan w:val="2"/>
          </w:tcPr>
          <w:p w14:paraId="2A75B46A" w14:textId="77777777" w:rsidR="00D42088" w:rsidRPr="006B0B08" w:rsidRDefault="00D42088" w:rsidP="006D548D">
            <w:pPr>
              <w:ind w:left="454"/>
              <w:jc w:val="center"/>
              <w:rPr>
                <w:b/>
              </w:rPr>
            </w:pPr>
            <w:r w:rsidRPr="006B0B08">
              <w:rPr>
                <w:b/>
              </w:rPr>
              <w:t>Consolidated</w:t>
            </w:r>
            <w:r w:rsidR="00133DE8" w:rsidRPr="006B0B08">
              <w:rPr>
                <w:b/>
              </w:rPr>
              <w:t xml:space="preserve"> </w:t>
            </w:r>
            <w:r w:rsidR="00AE08B2" w:rsidRPr="006B0B08">
              <w:rPr>
                <w:b/>
              </w:rPr>
              <w:t>Group</w:t>
            </w:r>
          </w:p>
        </w:tc>
        <w:tc>
          <w:tcPr>
            <w:tcW w:w="3119" w:type="dxa"/>
            <w:gridSpan w:val="2"/>
          </w:tcPr>
          <w:p w14:paraId="00970560" w14:textId="77777777" w:rsidR="00D42088" w:rsidRPr="006B0B08" w:rsidRDefault="00D42088" w:rsidP="00133DE8">
            <w:pPr>
              <w:ind w:left="435"/>
              <w:jc w:val="center"/>
              <w:rPr>
                <w:b/>
              </w:rPr>
            </w:pPr>
            <w:r w:rsidRPr="006B0B08">
              <w:rPr>
                <w:b/>
              </w:rPr>
              <w:t>Parent</w:t>
            </w:r>
            <w:r w:rsidR="00133DE8" w:rsidRPr="006B0B08">
              <w:rPr>
                <w:b/>
              </w:rPr>
              <w:t xml:space="preserve"> </w:t>
            </w:r>
            <w:r w:rsidRPr="006B0B08">
              <w:rPr>
                <w:b/>
              </w:rPr>
              <w:t>Entity</w:t>
            </w:r>
          </w:p>
        </w:tc>
      </w:tr>
      <w:tr w:rsidR="00C72A93" w:rsidRPr="006B0B08" w14:paraId="5EE6D6D8" w14:textId="77777777" w:rsidTr="000144D0">
        <w:tc>
          <w:tcPr>
            <w:tcW w:w="4077" w:type="dxa"/>
          </w:tcPr>
          <w:p w14:paraId="2BC0BF1E" w14:textId="77777777" w:rsidR="00C72A93" w:rsidRPr="006B0B08" w:rsidRDefault="00C72A93" w:rsidP="00C72A93">
            <w:pPr>
              <w:jc w:val="both"/>
              <w:rPr>
                <w:b/>
              </w:rPr>
            </w:pPr>
          </w:p>
        </w:tc>
        <w:tc>
          <w:tcPr>
            <w:tcW w:w="1701" w:type="dxa"/>
          </w:tcPr>
          <w:p w14:paraId="1C70A7CF" w14:textId="77777777" w:rsidR="00C72A93" w:rsidRPr="006B0B08" w:rsidRDefault="00E146E5" w:rsidP="00C72A93">
            <w:pPr>
              <w:suppressAutoHyphens/>
              <w:ind w:right="138"/>
              <w:jc w:val="right"/>
              <w:rPr>
                <w:rFonts w:cs="Arial"/>
                <w:b/>
                <w:spacing w:val="-2"/>
              </w:rPr>
            </w:pPr>
            <w:r>
              <w:rPr>
                <w:rFonts w:cs="Arial"/>
                <w:b/>
                <w:spacing w:val="-2"/>
              </w:rPr>
              <w:t xml:space="preserve">Period to 28 December </w:t>
            </w:r>
            <w:r w:rsidR="00C72A93" w:rsidRPr="006B0B08">
              <w:rPr>
                <w:rFonts w:cs="Arial"/>
                <w:b/>
                <w:spacing w:val="-2"/>
              </w:rPr>
              <w:t>20</w:t>
            </w:r>
            <w:r w:rsidR="00CB61D2" w:rsidRPr="006B0B08">
              <w:rPr>
                <w:rFonts w:cs="Arial"/>
                <w:b/>
                <w:spacing w:val="-2"/>
              </w:rPr>
              <w:t>2</w:t>
            </w:r>
            <w:r w:rsidR="006B0B08">
              <w:rPr>
                <w:rFonts w:cs="Arial"/>
                <w:b/>
                <w:spacing w:val="-2"/>
              </w:rPr>
              <w:t>4</w:t>
            </w:r>
          </w:p>
        </w:tc>
        <w:tc>
          <w:tcPr>
            <w:tcW w:w="1701" w:type="dxa"/>
          </w:tcPr>
          <w:p w14:paraId="28E275BC" w14:textId="77777777" w:rsidR="00C72A93" w:rsidRPr="006B0B08" w:rsidRDefault="00E146E5" w:rsidP="00C72A93">
            <w:pPr>
              <w:suppressAutoHyphens/>
              <w:ind w:right="138"/>
              <w:jc w:val="right"/>
              <w:rPr>
                <w:rFonts w:cs="Arial"/>
                <w:b/>
                <w:spacing w:val="-2"/>
              </w:rPr>
            </w:pPr>
            <w:r>
              <w:rPr>
                <w:rFonts w:cs="Arial"/>
                <w:b/>
                <w:spacing w:val="-2"/>
              </w:rPr>
              <w:t xml:space="preserve">Period to 30 December </w:t>
            </w:r>
            <w:r w:rsidR="00C72A93" w:rsidRPr="006B0B08">
              <w:rPr>
                <w:rFonts w:cs="Arial"/>
                <w:b/>
                <w:spacing w:val="-2"/>
              </w:rPr>
              <w:t>20</w:t>
            </w:r>
            <w:r w:rsidR="00DF46D0" w:rsidRPr="006B0B08">
              <w:rPr>
                <w:rFonts w:cs="Arial"/>
                <w:b/>
                <w:spacing w:val="-2"/>
              </w:rPr>
              <w:t>2</w:t>
            </w:r>
            <w:r w:rsidR="006B0B08">
              <w:rPr>
                <w:rFonts w:cs="Arial"/>
                <w:b/>
                <w:spacing w:val="-2"/>
              </w:rPr>
              <w:t>3</w:t>
            </w:r>
          </w:p>
        </w:tc>
        <w:tc>
          <w:tcPr>
            <w:tcW w:w="1560" w:type="dxa"/>
          </w:tcPr>
          <w:p w14:paraId="12CB765B" w14:textId="77777777" w:rsidR="00C72A93" w:rsidRPr="006B0B08" w:rsidRDefault="00E146E5" w:rsidP="00C72A93">
            <w:pPr>
              <w:suppressAutoHyphens/>
              <w:ind w:right="138"/>
              <w:jc w:val="right"/>
              <w:rPr>
                <w:rFonts w:cs="Arial"/>
                <w:b/>
                <w:spacing w:val="-2"/>
              </w:rPr>
            </w:pPr>
            <w:r>
              <w:rPr>
                <w:rFonts w:cs="Arial"/>
                <w:b/>
                <w:spacing w:val="-2"/>
              </w:rPr>
              <w:t xml:space="preserve">Period to 28 December </w:t>
            </w:r>
            <w:r w:rsidR="00C72A93" w:rsidRPr="006B0B08">
              <w:rPr>
                <w:rFonts w:cs="Arial"/>
                <w:b/>
                <w:spacing w:val="-2"/>
              </w:rPr>
              <w:t>20</w:t>
            </w:r>
            <w:r w:rsidR="00CB61D2" w:rsidRPr="006B0B08">
              <w:rPr>
                <w:rFonts w:cs="Arial"/>
                <w:b/>
                <w:spacing w:val="-2"/>
              </w:rPr>
              <w:t>2</w:t>
            </w:r>
            <w:r w:rsidR="006B0B08">
              <w:rPr>
                <w:rFonts w:cs="Arial"/>
                <w:b/>
                <w:spacing w:val="-2"/>
              </w:rPr>
              <w:t>4</w:t>
            </w:r>
          </w:p>
        </w:tc>
        <w:tc>
          <w:tcPr>
            <w:tcW w:w="1559" w:type="dxa"/>
          </w:tcPr>
          <w:p w14:paraId="2288385C" w14:textId="77777777" w:rsidR="00C72A93" w:rsidRPr="006B0B08" w:rsidRDefault="00E146E5" w:rsidP="00C72A93">
            <w:pPr>
              <w:suppressAutoHyphens/>
              <w:ind w:right="138"/>
              <w:jc w:val="right"/>
              <w:rPr>
                <w:rFonts w:cs="Arial"/>
                <w:b/>
                <w:spacing w:val="-2"/>
              </w:rPr>
            </w:pPr>
            <w:r>
              <w:rPr>
                <w:rFonts w:cs="Arial"/>
                <w:b/>
                <w:spacing w:val="-2"/>
              </w:rPr>
              <w:t xml:space="preserve">Period to 30 December </w:t>
            </w:r>
            <w:r w:rsidR="00C72A93" w:rsidRPr="006B0B08">
              <w:rPr>
                <w:rFonts w:cs="Arial"/>
                <w:b/>
                <w:spacing w:val="-2"/>
              </w:rPr>
              <w:t>20</w:t>
            </w:r>
            <w:r w:rsidR="00DF46D0" w:rsidRPr="006B0B08">
              <w:rPr>
                <w:rFonts w:cs="Arial"/>
                <w:b/>
                <w:spacing w:val="-2"/>
              </w:rPr>
              <w:t>2</w:t>
            </w:r>
            <w:r w:rsidR="006B0B08">
              <w:rPr>
                <w:rFonts w:cs="Arial"/>
                <w:b/>
                <w:spacing w:val="-2"/>
              </w:rPr>
              <w:t>3</w:t>
            </w:r>
          </w:p>
        </w:tc>
      </w:tr>
      <w:tr w:rsidR="00C72A93" w:rsidRPr="006B0B08" w14:paraId="60F236B8" w14:textId="77777777" w:rsidTr="000144D0">
        <w:tc>
          <w:tcPr>
            <w:tcW w:w="4077" w:type="dxa"/>
          </w:tcPr>
          <w:p w14:paraId="58CD09DD" w14:textId="77777777" w:rsidR="00C72A93" w:rsidRPr="006B0B08" w:rsidRDefault="00C72A93" w:rsidP="00C72A93">
            <w:pPr>
              <w:jc w:val="both"/>
              <w:rPr>
                <w:b/>
              </w:rPr>
            </w:pPr>
          </w:p>
        </w:tc>
        <w:tc>
          <w:tcPr>
            <w:tcW w:w="1701" w:type="dxa"/>
          </w:tcPr>
          <w:p w14:paraId="4D00449E" w14:textId="77777777" w:rsidR="00C72A93" w:rsidRPr="006B0B08" w:rsidRDefault="00C72A93" w:rsidP="00C72A93">
            <w:pPr>
              <w:suppressAutoHyphens/>
              <w:ind w:right="138"/>
              <w:jc w:val="right"/>
              <w:rPr>
                <w:rFonts w:cs="Arial"/>
                <w:b/>
                <w:spacing w:val="-2"/>
              </w:rPr>
            </w:pPr>
            <w:r w:rsidRPr="006B0B08">
              <w:rPr>
                <w:rFonts w:cs="Arial"/>
                <w:b/>
                <w:spacing w:val="-2"/>
              </w:rPr>
              <w:t>£’000</w:t>
            </w:r>
          </w:p>
        </w:tc>
        <w:tc>
          <w:tcPr>
            <w:tcW w:w="1701" w:type="dxa"/>
          </w:tcPr>
          <w:p w14:paraId="1E55395E" w14:textId="77777777" w:rsidR="00C72A93" w:rsidRPr="006B0B08" w:rsidRDefault="00C72A93" w:rsidP="00C72A93">
            <w:pPr>
              <w:suppressAutoHyphens/>
              <w:ind w:right="138"/>
              <w:jc w:val="right"/>
              <w:rPr>
                <w:rFonts w:cs="Arial"/>
                <w:b/>
                <w:spacing w:val="-2"/>
              </w:rPr>
            </w:pPr>
            <w:r w:rsidRPr="006B0B08">
              <w:rPr>
                <w:rFonts w:cs="Arial"/>
                <w:b/>
                <w:spacing w:val="-2"/>
              </w:rPr>
              <w:t>£’000</w:t>
            </w:r>
          </w:p>
        </w:tc>
        <w:tc>
          <w:tcPr>
            <w:tcW w:w="1560" w:type="dxa"/>
          </w:tcPr>
          <w:p w14:paraId="46868811" w14:textId="77777777" w:rsidR="00C72A93" w:rsidRPr="006B0B08" w:rsidRDefault="00C72A93" w:rsidP="00C72A93">
            <w:pPr>
              <w:suppressAutoHyphens/>
              <w:ind w:right="138"/>
              <w:jc w:val="right"/>
              <w:rPr>
                <w:rFonts w:cs="Arial"/>
                <w:b/>
                <w:spacing w:val="-2"/>
              </w:rPr>
            </w:pPr>
            <w:r w:rsidRPr="006B0B08">
              <w:rPr>
                <w:rFonts w:cs="Arial"/>
                <w:b/>
                <w:spacing w:val="-2"/>
              </w:rPr>
              <w:t>£’000</w:t>
            </w:r>
          </w:p>
        </w:tc>
        <w:tc>
          <w:tcPr>
            <w:tcW w:w="1559" w:type="dxa"/>
          </w:tcPr>
          <w:p w14:paraId="321EC181" w14:textId="77777777" w:rsidR="00C72A93" w:rsidRPr="006B0B08" w:rsidRDefault="00C72A93" w:rsidP="00C72A93">
            <w:pPr>
              <w:suppressAutoHyphens/>
              <w:ind w:right="138"/>
              <w:jc w:val="right"/>
              <w:rPr>
                <w:rFonts w:cs="Arial"/>
                <w:b/>
                <w:spacing w:val="-2"/>
              </w:rPr>
            </w:pPr>
            <w:r w:rsidRPr="006B0B08">
              <w:rPr>
                <w:rFonts w:cs="Arial"/>
                <w:b/>
                <w:spacing w:val="-2"/>
              </w:rPr>
              <w:t>£’000</w:t>
            </w:r>
          </w:p>
        </w:tc>
      </w:tr>
      <w:tr w:rsidR="00A81B64" w:rsidRPr="006B0B08" w14:paraId="26D08194" w14:textId="77777777" w:rsidTr="000144D0">
        <w:tc>
          <w:tcPr>
            <w:tcW w:w="4077" w:type="dxa"/>
          </w:tcPr>
          <w:p w14:paraId="472A2E46" w14:textId="77777777" w:rsidR="00A81B64" w:rsidRPr="006B0B08" w:rsidRDefault="00A81B64" w:rsidP="00A81B64">
            <w:pPr>
              <w:jc w:val="both"/>
            </w:pPr>
          </w:p>
        </w:tc>
        <w:tc>
          <w:tcPr>
            <w:tcW w:w="1701" w:type="dxa"/>
          </w:tcPr>
          <w:p w14:paraId="383E0FD1" w14:textId="77777777" w:rsidR="00A81B64" w:rsidRPr="006B0B08" w:rsidRDefault="00A81B64" w:rsidP="00A81B64">
            <w:pPr>
              <w:tabs>
                <w:tab w:val="decimal" w:pos="1026"/>
              </w:tabs>
              <w:jc w:val="both"/>
            </w:pPr>
          </w:p>
        </w:tc>
        <w:tc>
          <w:tcPr>
            <w:tcW w:w="1701" w:type="dxa"/>
          </w:tcPr>
          <w:p w14:paraId="3FF19D57" w14:textId="77777777" w:rsidR="00A81B64" w:rsidRPr="006B0B08" w:rsidRDefault="00A81B64" w:rsidP="00A81B64">
            <w:pPr>
              <w:tabs>
                <w:tab w:val="decimal" w:pos="1026"/>
              </w:tabs>
              <w:jc w:val="both"/>
            </w:pPr>
          </w:p>
        </w:tc>
        <w:tc>
          <w:tcPr>
            <w:tcW w:w="1560" w:type="dxa"/>
          </w:tcPr>
          <w:p w14:paraId="332DF955" w14:textId="77777777" w:rsidR="00A81B64" w:rsidRPr="006B0B08" w:rsidRDefault="00A81B64" w:rsidP="00A81B64">
            <w:pPr>
              <w:tabs>
                <w:tab w:val="decimal" w:pos="1026"/>
              </w:tabs>
              <w:jc w:val="both"/>
            </w:pPr>
          </w:p>
        </w:tc>
        <w:tc>
          <w:tcPr>
            <w:tcW w:w="1559" w:type="dxa"/>
          </w:tcPr>
          <w:p w14:paraId="05C30CD9" w14:textId="77777777" w:rsidR="00A81B64" w:rsidRPr="006B0B08" w:rsidRDefault="00A81B64" w:rsidP="00A81B64">
            <w:pPr>
              <w:tabs>
                <w:tab w:val="decimal" w:pos="1026"/>
              </w:tabs>
              <w:jc w:val="both"/>
            </w:pPr>
          </w:p>
        </w:tc>
      </w:tr>
      <w:tr w:rsidR="00244B0F" w:rsidRPr="00C328EF" w14:paraId="3D790D59" w14:textId="77777777" w:rsidTr="000144D0">
        <w:tc>
          <w:tcPr>
            <w:tcW w:w="4077" w:type="dxa"/>
          </w:tcPr>
          <w:p w14:paraId="2807CCB4" w14:textId="77777777" w:rsidR="00244B0F" w:rsidRPr="006B0B08" w:rsidRDefault="00244B0F" w:rsidP="00244B0F">
            <w:pPr>
              <w:jc w:val="both"/>
            </w:pPr>
            <w:r w:rsidRPr="006B0B08">
              <w:t>Lease charges</w:t>
            </w:r>
          </w:p>
        </w:tc>
        <w:tc>
          <w:tcPr>
            <w:tcW w:w="1701" w:type="dxa"/>
          </w:tcPr>
          <w:p w14:paraId="4E44E93C" w14:textId="77777777" w:rsidR="00244B0F" w:rsidRPr="00565AE5" w:rsidRDefault="00565AE5" w:rsidP="00244B0F">
            <w:pPr>
              <w:suppressAutoHyphens/>
              <w:ind w:right="138"/>
              <w:jc w:val="right"/>
              <w:rPr>
                <w:rFonts w:cs="Arial"/>
                <w:spacing w:val="-2"/>
              </w:rPr>
            </w:pPr>
            <w:r w:rsidRPr="00565AE5">
              <w:rPr>
                <w:rFonts w:cs="Arial"/>
                <w:spacing w:val="-2"/>
              </w:rPr>
              <w:t>1,197</w:t>
            </w:r>
          </w:p>
        </w:tc>
        <w:tc>
          <w:tcPr>
            <w:tcW w:w="1701" w:type="dxa"/>
          </w:tcPr>
          <w:p w14:paraId="44B48674" w14:textId="77777777" w:rsidR="00244B0F" w:rsidRPr="006B0B08" w:rsidRDefault="006B0B08" w:rsidP="00244B0F">
            <w:pPr>
              <w:suppressAutoHyphens/>
              <w:ind w:right="138"/>
              <w:jc w:val="right"/>
              <w:rPr>
                <w:rFonts w:cs="Arial"/>
                <w:spacing w:val="-2"/>
              </w:rPr>
            </w:pPr>
            <w:r w:rsidRPr="006B0B08">
              <w:rPr>
                <w:rFonts w:cs="Arial"/>
                <w:spacing w:val="-2"/>
              </w:rPr>
              <w:t>1,423</w:t>
            </w:r>
          </w:p>
        </w:tc>
        <w:tc>
          <w:tcPr>
            <w:tcW w:w="1560" w:type="dxa"/>
          </w:tcPr>
          <w:p w14:paraId="5C96D9F2" w14:textId="77777777" w:rsidR="00244B0F" w:rsidRPr="006B0B08" w:rsidRDefault="00244B0F" w:rsidP="00244B0F">
            <w:pPr>
              <w:suppressAutoHyphens/>
              <w:ind w:right="138"/>
              <w:jc w:val="right"/>
              <w:rPr>
                <w:rFonts w:cs="Arial"/>
                <w:spacing w:val="-2"/>
              </w:rPr>
            </w:pPr>
            <w:r w:rsidRPr="006B0B08">
              <w:rPr>
                <w:rFonts w:cs="Arial"/>
                <w:spacing w:val="-2"/>
              </w:rPr>
              <w:t>-</w:t>
            </w:r>
          </w:p>
        </w:tc>
        <w:tc>
          <w:tcPr>
            <w:tcW w:w="1559" w:type="dxa"/>
          </w:tcPr>
          <w:p w14:paraId="2233EF89" w14:textId="77777777" w:rsidR="00244B0F" w:rsidRPr="006B0B08" w:rsidRDefault="00244B0F" w:rsidP="00244B0F">
            <w:pPr>
              <w:suppressAutoHyphens/>
              <w:ind w:right="138"/>
              <w:jc w:val="right"/>
              <w:rPr>
                <w:rFonts w:cs="Arial"/>
                <w:spacing w:val="-2"/>
              </w:rPr>
            </w:pPr>
            <w:r w:rsidRPr="006B0B08">
              <w:rPr>
                <w:rFonts w:cs="Arial"/>
                <w:spacing w:val="-2"/>
              </w:rPr>
              <w:t>-</w:t>
            </w:r>
          </w:p>
        </w:tc>
      </w:tr>
      <w:tr w:rsidR="00244B0F" w:rsidRPr="00C328EF" w14:paraId="5DFA9A8B" w14:textId="77777777" w:rsidTr="000144D0">
        <w:tc>
          <w:tcPr>
            <w:tcW w:w="4077" w:type="dxa"/>
          </w:tcPr>
          <w:p w14:paraId="6801DA1C" w14:textId="77777777" w:rsidR="00244B0F" w:rsidRPr="006B0B08" w:rsidRDefault="00244B0F" w:rsidP="000144D0">
            <w:pPr>
              <w:jc w:val="right"/>
            </w:pPr>
          </w:p>
        </w:tc>
        <w:tc>
          <w:tcPr>
            <w:tcW w:w="1701" w:type="dxa"/>
          </w:tcPr>
          <w:p w14:paraId="2A1948A7" w14:textId="77777777" w:rsidR="00244B0F" w:rsidRPr="00565AE5" w:rsidRDefault="00244B0F" w:rsidP="000144D0">
            <w:pPr>
              <w:tabs>
                <w:tab w:val="decimal" w:pos="1026"/>
              </w:tabs>
              <w:ind w:left="113"/>
              <w:jc w:val="right"/>
            </w:pPr>
            <w:r w:rsidRPr="00565AE5">
              <w:t>═══════</w:t>
            </w:r>
          </w:p>
        </w:tc>
        <w:tc>
          <w:tcPr>
            <w:tcW w:w="1701" w:type="dxa"/>
          </w:tcPr>
          <w:p w14:paraId="2704F866" w14:textId="77777777" w:rsidR="00244B0F" w:rsidRPr="006B0B08" w:rsidRDefault="00244B0F" w:rsidP="000144D0">
            <w:pPr>
              <w:tabs>
                <w:tab w:val="decimal" w:pos="1026"/>
              </w:tabs>
              <w:ind w:left="113"/>
              <w:jc w:val="right"/>
            </w:pPr>
            <w:r w:rsidRPr="006B0B08">
              <w:t>═══════</w:t>
            </w:r>
          </w:p>
        </w:tc>
        <w:tc>
          <w:tcPr>
            <w:tcW w:w="1560" w:type="dxa"/>
          </w:tcPr>
          <w:p w14:paraId="04BA30B5" w14:textId="77777777" w:rsidR="00244B0F" w:rsidRPr="006B0B08" w:rsidRDefault="00244B0F" w:rsidP="000144D0">
            <w:pPr>
              <w:tabs>
                <w:tab w:val="decimal" w:pos="1026"/>
              </w:tabs>
              <w:ind w:left="113"/>
              <w:jc w:val="right"/>
            </w:pPr>
            <w:r w:rsidRPr="006B0B08">
              <w:t>═══════</w:t>
            </w:r>
          </w:p>
        </w:tc>
        <w:tc>
          <w:tcPr>
            <w:tcW w:w="1559" w:type="dxa"/>
          </w:tcPr>
          <w:p w14:paraId="75EB4673" w14:textId="77777777" w:rsidR="00244B0F" w:rsidRPr="006B0B08" w:rsidRDefault="00244B0F" w:rsidP="000144D0">
            <w:pPr>
              <w:tabs>
                <w:tab w:val="decimal" w:pos="1026"/>
              </w:tabs>
              <w:ind w:left="113"/>
              <w:jc w:val="right"/>
            </w:pPr>
            <w:r w:rsidRPr="006B0B08">
              <w:t>═══════</w:t>
            </w:r>
          </w:p>
        </w:tc>
      </w:tr>
    </w:tbl>
    <w:p w14:paraId="7207AE92" w14:textId="77777777" w:rsidR="00BD532C" w:rsidRDefault="00BD532C" w:rsidP="000144D0">
      <w:pPr>
        <w:jc w:val="right"/>
      </w:pPr>
    </w:p>
    <w:p w14:paraId="2BC0FC58" w14:textId="77777777" w:rsidR="00E146E5" w:rsidRPr="006B0B08" w:rsidRDefault="00E146E5"/>
    <w:p w14:paraId="259D85A0" w14:textId="77777777" w:rsidR="00856BCD" w:rsidRPr="006B0B08" w:rsidRDefault="007277FB" w:rsidP="00A5227C">
      <w:pPr>
        <w:numPr>
          <w:ilvl w:val="0"/>
          <w:numId w:val="17"/>
        </w:numPr>
        <w:ind w:hanging="906"/>
        <w:rPr>
          <w:b/>
        </w:rPr>
      </w:pPr>
      <w:r w:rsidRPr="006B0B08">
        <w:rPr>
          <w:b/>
        </w:rPr>
        <w:t>Other income</w:t>
      </w:r>
    </w:p>
    <w:tbl>
      <w:tblPr>
        <w:tblW w:w="10881" w:type="dxa"/>
        <w:tblLayout w:type="fixed"/>
        <w:tblLook w:val="0000" w:firstRow="0" w:lastRow="0" w:firstColumn="0" w:lastColumn="0" w:noHBand="0" w:noVBand="0"/>
      </w:tblPr>
      <w:tblGrid>
        <w:gridCol w:w="3510"/>
        <w:gridCol w:w="1843"/>
        <w:gridCol w:w="1843"/>
        <w:gridCol w:w="1843"/>
        <w:gridCol w:w="1842"/>
      </w:tblGrid>
      <w:tr w:rsidR="00C24838" w:rsidRPr="006B0B08" w14:paraId="2EEC2DFE" w14:textId="77777777" w:rsidTr="00F46B8F">
        <w:tc>
          <w:tcPr>
            <w:tcW w:w="3510" w:type="dxa"/>
          </w:tcPr>
          <w:p w14:paraId="271C13CF" w14:textId="77777777" w:rsidR="00C24838" w:rsidRPr="006B0B08" w:rsidRDefault="00C24838" w:rsidP="00251F46">
            <w:pPr>
              <w:jc w:val="both"/>
            </w:pPr>
          </w:p>
        </w:tc>
        <w:tc>
          <w:tcPr>
            <w:tcW w:w="3686" w:type="dxa"/>
            <w:gridSpan w:val="2"/>
          </w:tcPr>
          <w:p w14:paraId="7B30A704" w14:textId="77777777" w:rsidR="00C24838" w:rsidRPr="006B0B08" w:rsidRDefault="00C24838" w:rsidP="00251F46">
            <w:pPr>
              <w:ind w:left="680"/>
              <w:jc w:val="center"/>
              <w:rPr>
                <w:b/>
              </w:rPr>
            </w:pPr>
            <w:r w:rsidRPr="006B0B08">
              <w:rPr>
                <w:b/>
              </w:rPr>
              <w:t>Consolidated Group</w:t>
            </w:r>
          </w:p>
        </w:tc>
        <w:tc>
          <w:tcPr>
            <w:tcW w:w="3685" w:type="dxa"/>
            <w:gridSpan w:val="2"/>
          </w:tcPr>
          <w:p w14:paraId="148434D9" w14:textId="77777777" w:rsidR="00C24838" w:rsidRPr="006B0B08" w:rsidRDefault="00C24838" w:rsidP="00251F46">
            <w:pPr>
              <w:ind w:left="850"/>
              <w:rPr>
                <w:b/>
              </w:rPr>
            </w:pPr>
            <w:r w:rsidRPr="006B0B08">
              <w:rPr>
                <w:b/>
              </w:rPr>
              <w:t>Parent Entity</w:t>
            </w:r>
          </w:p>
        </w:tc>
      </w:tr>
      <w:tr w:rsidR="00C24838" w:rsidRPr="006B0B08" w14:paraId="380E206A" w14:textId="77777777" w:rsidTr="00F46B8F">
        <w:tc>
          <w:tcPr>
            <w:tcW w:w="3510" w:type="dxa"/>
          </w:tcPr>
          <w:p w14:paraId="35AD35DA" w14:textId="77777777" w:rsidR="00C24838" w:rsidRPr="006B0B08" w:rsidRDefault="00C24838" w:rsidP="00251F46">
            <w:pPr>
              <w:jc w:val="both"/>
              <w:rPr>
                <w:b/>
              </w:rPr>
            </w:pPr>
          </w:p>
        </w:tc>
        <w:tc>
          <w:tcPr>
            <w:tcW w:w="1843" w:type="dxa"/>
          </w:tcPr>
          <w:p w14:paraId="50F7B819" w14:textId="77777777" w:rsidR="00C24838" w:rsidRPr="006B0B08" w:rsidRDefault="00E146E5" w:rsidP="00251F46">
            <w:pPr>
              <w:tabs>
                <w:tab w:val="left" w:pos="1033"/>
              </w:tabs>
              <w:suppressAutoHyphens/>
              <w:ind w:right="138"/>
              <w:jc w:val="right"/>
              <w:rPr>
                <w:rFonts w:cs="Arial"/>
                <w:b/>
                <w:spacing w:val="-2"/>
              </w:rPr>
            </w:pPr>
            <w:r>
              <w:rPr>
                <w:rFonts w:cs="Arial"/>
                <w:b/>
                <w:spacing w:val="-2"/>
              </w:rPr>
              <w:t xml:space="preserve">Period to 28 December </w:t>
            </w:r>
            <w:r w:rsidR="00C24838" w:rsidRPr="006B0B08">
              <w:rPr>
                <w:rFonts w:cs="Arial"/>
                <w:b/>
                <w:spacing w:val="-2"/>
              </w:rPr>
              <w:t>202</w:t>
            </w:r>
            <w:r w:rsidR="00D21C39">
              <w:rPr>
                <w:rFonts w:cs="Arial"/>
                <w:b/>
                <w:spacing w:val="-2"/>
              </w:rPr>
              <w:t>4</w:t>
            </w:r>
          </w:p>
        </w:tc>
        <w:tc>
          <w:tcPr>
            <w:tcW w:w="1843" w:type="dxa"/>
          </w:tcPr>
          <w:p w14:paraId="4A5E70FF" w14:textId="77777777" w:rsidR="00C24838" w:rsidRPr="006B0B08" w:rsidRDefault="00E146E5" w:rsidP="00251F46">
            <w:pPr>
              <w:tabs>
                <w:tab w:val="left" w:pos="1033"/>
              </w:tabs>
              <w:suppressAutoHyphens/>
              <w:ind w:right="138"/>
              <w:jc w:val="right"/>
              <w:rPr>
                <w:rFonts w:cs="Arial"/>
                <w:b/>
                <w:spacing w:val="-2"/>
              </w:rPr>
            </w:pPr>
            <w:r>
              <w:rPr>
                <w:rFonts w:cs="Arial"/>
                <w:b/>
                <w:spacing w:val="-2"/>
              </w:rPr>
              <w:t xml:space="preserve">Period to 30 December </w:t>
            </w:r>
            <w:r w:rsidR="00C24838" w:rsidRPr="006B0B08">
              <w:rPr>
                <w:rFonts w:cs="Arial"/>
                <w:b/>
                <w:spacing w:val="-2"/>
              </w:rPr>
              <w:t>20</w:t>
            </w:r>
            <w:r w:rsidR="00417526" w:rsidRPr="006B0B08">
              <w:rPr>
                <w:rFonts w:cs="Arial"/>
                <w:b/>
                <w:spacing w:val="-2"/>
              </w:rPr>
              <w:t>2</w:t>
            </w:r>
            <w:r w:rsidR="00D21C39">
              <w:rPr>
                <w:rFonts w:cs="Arial"/>
                <w:b/>
                <w:spacing w:val="-2"/>
              </w:rPr>
              <w:t>3</w:t>
            </w:r>
          </w:p>
        </w:tc>
        <w:tc>
          <w:tcPr>
            <w:tcW w:w="1843" w:type="dxa"/>
          </w:tcPr>
          <w:p w14:paraId="2421BF47" w14:textId="77777777" w:rsidR="00C24838" w:rsidRPr="006B0B08" w:rsidRDefault="00E146E5" w:rsidP="00251F46">
            <w:pPr>
              <w:suppressAutoHyphens/>
              <w:ind w:right="138"/>
              <w:jc w:val="right"/>
              <w:rPr>
                <w:rFonts w:cs="Arial"/>
                <w:b/>
                <w:spacing w:val="-2"/>
              </w:rPr>
            </w:pPr>
            <w:r>
              <w:rPr>
                <w:rFonts w:cs="Arial"/>
                <w:b/>
                <w:spacing w:val="-2"/>
              </w:rPr>
              <w:t xml:space="preserve">Period to 28 December </w:t>
            </w:r>
            <w:r w:rsidR="00C24838" w:rsidRPr="006B0B08">
              <w:rPr>
                <w:rFonts w:cs="Arial"/>
                <w:b/>
                <w:spacing w:val="-2"/>
              </w:rPr>
              <w:t>202</w:t>
            </w:r>
            <w:r w:rsidR="00D21C39">
              <w:rPr>
                <w:rFonts w:cs="Arial"/>
                <w:b/>
                <w:spacing w:val="-2"/>
              </w:rPr>
              <w:t>4</w:t>
            </w:r>
          </w:p>
        </w:tc>
        <w:tc>
          <w:tcPr>
            <w:tcW w:w="1842" w:type="dxa"/>
          </w:tcPr>
          <w:p w14:paraId="3DB3DC10" w14:textId="77777777" w:rsidR="00C24838" w:rsidRPr="006B0B08" w:rsidRDefault="00E146E5" w:rsidP="00251F46">
            <w:pPr>
              <w:suppressAutoHyphens/>
              <w:ind w:right="138"/>
              <w:jc w:val="right"/>
              <w:rPr>
                <w:rFonts w:cs="Arial"/>
                <w:b/>
                <w:spacing w:val="-2"/>
              </w:rPr>
            </w:pPr>
            <w:r>
              <w:rPr>
                <w:rFonts w:cs="Arial"/>
                <w:b/>
                <w:spacing w:val="-2"/>
              </w:rPr>
              <w:t xml:space="preserve">Period to 30 December </w:t>
            </w:r>
            <w:r w:rsidR="00C24838" w:rsidRPr="006B0B08">
              <w:rPr>
                <w:rFonts w:cs="Arial"/>
                <w:b/>
                <w:spacing w:val="-2"/>
              </w:rPr>
              <w:t>20</w:t>
            </w:r>
            <w:r w:rsidR="00417526" w:rsidRPr="006B0B08">
              <w:rPr>
                <w:rFonts w:cs="Arial"/>
                <w:b/>
                <w:spacing w:val="-2"/>
              </w:rPr>
              <w:t>2</w:t>
            </w:r>
            <w:r w:rsidR="00D21C39">
              <w:rPr>
                <w:rFonts w:cs="Arial"/>
                <w:b/>
                <w:spacing w:val="-2"/>
              </w:rPr>
              <w:t>3</w:t>
            </w:r>
          </w:p>
        </w:tc>
      </w:tr>
      <w:tr w:rsidR="00C24838" w:rsidRPr="006B0B08" w14:paraId="4C476463" w14:textId="77777777" w:rsidTr="00F46B8F">
        <w:tc>
          <w:tcPr>
            <w:tcW w:w="3510" w:type="dxa"/>
          </w:tcPr>
          <w:p w14:paraId="10FE4ABE" w14:textId="77777777" w:rsidR="00C24838" w:rsidRPr="006B0B08" w:rsidRDefault="00C24838" w:rsidP="00251F46">
            <w:pPr>
              <w:jc w:val="both"/>
              <w:rPr>
                <w:b/>
              </w:rPr>
            </w:pPr>
          </w:p>
        </w:tc>
        <w:tc>
          <w:tcPr>
            <w:tcW w:w="1843" w:type="dxa"/>
          </w:tcPr>
          <w:p w14:paraId="06861266" w14:textId="77777777" w:rsidR="00C24838" w:rsidRPr="006B0B08" w:rsidRDefault="00C24838" w:rsidP="00251F46">
            <w:pPr>
              <w:tabs>
                <w:tab w:val="left" w:pos="1033"/>
              </w:tabs>
              <w:suppressAutoHyphens/>
              <w:ind w:right="138"/>
              <w:jc w:val="right"/>
              <w:rPr>
                <w:rFonts w:cs="Arial"/>
                <w:b/>
                <w:spacing w:val="-2"/>
              </w:rPr>
            </w:pPr>
            <w:r w:rsidRPr="006B0B08">
              <w:rPr>
                <w:rFonts w:cs="Arial"/>
                <w:b/>
                <w:spacing w:val="-2"/>
              </w:rPr>
              <w:t>£’000</w:t>
            </w:r>
          </w:p>
        </w:tc>
        <w:tc>
          <w:tcPr>
            <w:tcW w:w="1843" w:type="dxa"/>
          </w:tcPr>
          <w:p w14:paraId="607C8F72" w14:textId="77777777" w:rsidR="00C24838" w:rsidRPr="006B0B08" w:rsidRDefault="00C24838" w:rsidP="00251F46">
            <w:pPr>
              <w:tabs>
                <w:tab w:val="left" w:pos="1033"/>
              </w:tabs>
              <w:suppressAutoHyphens/>
              <w:ind w:right="138"/>
              <w:jc w:val="right"/>
              <w:rPr>
                <w:rFonts w:cs="Arial"/>
                <w:b/>
                <w:spacing w:val="-2"/>
              </w:rPr>
            </w:pPr>
            <w:r w:rsidRPr="006B0B08">
              <w:rPr>
                <w:rFonts w:cs="Arial"/>
                <w:b/>
                <w:spacing w:val="-2"/>
              </w:rPr>
              <w:t>£’000</w:t>
            </w:r>
          </w:p>
        </w:tc>
        <w:tc>
          <w:tcPr>
            <w:tcW w:w="1843" w:type="dxa"/>
          </w:tcPr>
          <w:p w14:paraId="2597F1B1" w14:textId="77777777" w:rsidR="00C24838" w:rsidRPr="006B0B08" w:rsidRDefault="00C24838" w:rsidP="00251F46">
            <w:pPr>
              <w:suppressAutoHyphens/>
              <w:ind w:right="138"/>
              <w:jc w:val="right"/>
              <w:rPr>
                <w:rFonts w:cs="Arial"/>
                <w:b/>
                <w:spacing w:val="-2"/>
              </w:rPr>
            </w:pPr>
            <w:r w:rsidRPr="006B0B08">
              <w:rPr>
                <w:rFonts w:cs="Arial"/>
                <w:b/>
                <w:spacing w:val="-2"/>
              </w:rPr>
              <w:t>£’000</w:t>
            </w:r>
          </w:p>
        </w:tc>
        <w:tc>
          <w:tcPr>
            <w:tcW w:w="1842" w:type="dxa"/>
          </w:tcPr>
          <w:p w14:paraId="511FCEA5" w14:textId="77777777" w:rsidR="00C24838" w:rsidRPr="006B0B08" w:rsidRDefault="00C24838" w:rsidP="00251F46">
            <w:pPr>
              <w:suppressAutoHyphens/>
              <w:ind w:right="138"/>
              <w:jc w:val="right"/>
              <w:rPr>
                <w:rFonts w:cs="Arial"/>
                <w:b/>
                <w:spacing w:val="-2"/>
              </w:rPr>
            </w:pPr>
            <w:r w:rsidRPr="006B0B08">
              <w:rPr>
                <w:rFonts w:cs="Arial"/>
                <w:b/>
                <w:spacing w:val="-2"/>
              </w:rPr>
              <w:t>£’000</w:t>
            </w:r>
          </w:p>
        </w:tc>
      </w:tr>
      <w:tr w:rsidR="00294A47" w:rsidRPr="00C328EF" w14:paraId="5BD0D1A8" w14:textId="77777777" w:rsidTr="00F46B8F">
        <w:tc>
          <w:tcPr>
            <w:tcW w:w="3510" w:type="dxa"/>
          </w:tcPr>
          <w:p w14:paraId="69E2F8A3" w14:textId="77777777" w:rsidR="00294A47" w:rsidRPr="006B0B08" w:rsidRDefault="00294A47" w:rsidP="00251F46">
            <w:pPr>
              <w:ind w:left="546"/>
              <w:jc w:val="both"/>
            </w:pPr>
          </w:p>
        </w:tc>
        <w:tc>
          <w:tcPr>
            <w:tcW w:w="1843" w:type="dxa"/>
          </w:tcPr>
          <w:p w14:paraId="43697AC7" w14:textId="77777777" w:rsidR="00294A47" w:rsidRPr="00C328EF" w:rsidRDefault="00294A47" w:rsidP="00251F46">
            <w:pPr>
              <w:tabs>
                <w:tab w:val="decimal" w:pos="1026"/>
              </w:tabs>
              <w:jc w:val="both"/>
              <w:rPr>
                <w:highlight w:val="yellow"/>
              </w:rPr>
            </w:pPr>
          </w:p>
        </w:tc>
        <w:tc>
          <w:tcPr>
            <w:tcW w:w="1843" w:type="dxa"/>
          </w:tcPr>
          <w:p w14:paraId="4097FDE8" w14:textId="77777777" w:rsidR="00294A47" w:rsidRPr="00C328EF" w:rsidRDefault="00294A47" w:rsidP="00251F46">
            <w:pPr>
              <w:tabs>
                <w:tab w:val="decimal" w:pos="1026"/>
              </w:tabs>
              <w:jc w:val="both"/>
              <w:rPr>
                <w:b/>
                <w:bCs/>
                <w:highlight w:val="yellow"/>
              </w:rPr>
            </w:pPr>
          </w:p>
        </w:tc>
        <w:tc>
          <w:tcPr>
            <w:tcW w:w="1843" w:type="dxa"/>
          </w:tcPr>
          <w:p w14:paraId="21F4906A" w14:textId="77777777" w:rsidR="00294A47" w:rsidRPr="00C328EF" w:rsidRDefault="00294A47" w:rsidP="00251F46">
            <w:pPr>
              <w:tabs>
                <w:tab w:val="decimal" w:pos="1026"/>
              </w:tabs>
              <w:jc w:val="both"/>
              <w:rPr>
                <w:highlight w:val="yellow"/>
              </w:rPr>
            </w:pPr>
          </w:p>
        </w:tc>
        <w:tc>
          <w:tcPr>
            <w:tcW w:w="1842" w:type="dxa"/>
          </w:tcPr>
          <w:p w14:paraId="3E54F1E6" w14:textId="77777777" w:rsidR="00294A47" w:rsidRPr="00C328EF" w:rsidRDefault="00294A47" w:rsidP="00251F46">
            <w:pPr>
              <w:tabs>
                <w:tab w:val="decimal" w:pos="1026"/>
              </w:tabs>
              <w:jc w:val="both"/>
              <w:rPr>
                <w:highlight w:val="yellow"/>
              </w:rPr>
            </w:pPr>
          </w:p>
        </w:tc>
      </w:tr>
      <w:tr w:rsidR="006B0B08" w:rsidRPr="00C328EF" w14:paraId="25E8860E" w14:textId="77777777" w:rsidTr="00F46B8F">
        <w:tc>
          <w:tcPr>
            <w:tcW w:w="3510" w:type="dxa"/>
          </w:tcPr>
          <w:p w14:paraId="7507F059" w14:textId="77777777" w:rsidR="006B0B08" w:rsidRPr="006B0B08" w:rsidRDefault="006B0B08" w:rsidP="0058500E">
            <w:r w:rsidRPr="006B0B08">
              <w:t>Other sundry income and grants</w:t>
            </w:r>
          </w:p>
        </w:tc>
        <w:tc>
          <w:tcPr>
            <w:tcW w:w="1843" w:type="dxa"/>
          </w:tcPr>
          <w:p w14:paraId="4C9C69C3" w14:textId="77777777" w:rsidR="006B0B08" w:rsidRPr="00565AE5" w:rsidRDefault="00565AE5" w:rsidP="006B0B08">
            <w:pPr>
              <w:suppressAutoHyphens/>
              <w:ind w:right="138"/>
              <w:jc w:val="right"/>
              <w:rPr>
                <w:rFonts w:cs="Arial"/>
                <w:spacing w:val="-2"/>
              </w:rPr>
            </w:pPr>
            <w:r w:rsidRPr="00565AE5">
              <w:rPr>
                <w:rFonts w:cs="Arial"/>
                <w:spacing w:val="-2"/>
              </w:rPr>
              <w:t>265</w:t>
            </w:r>
          </w:p>
        </w:tc>
        <w:tc>
          <w:tcPr>
            <w:tcW w:w="1843" w:type="dxa"/>
          </w:tcPr>
          <w:p w14:paraId="2792392E" w14:textId="77777777" w:rsidR="006B0B08" w:rsidRPr="006B0B08" w:rsidRDefault="006B0B08" w:rsidP="006B0B08">
            <w:pPr>
              <w:suppressAutoHyphens/>
              <w:ind w:right="138"/>
              <w:jc w:val="right"/>
              <w:rPr>
                <w:rFonts w:cs="Arial"/>
                <w:spacing w:val="-2"/>
              </w:rPr>
            </w:pPr>
            <w:r w:rsidRPr="006B0B08">
              <w:rPr>
                <w:rFonts w:cs="Arial"/>
                <w:spacing w:val="-2"/>
              </w:rPr>
              <w:t>191</w:t>
            </w:r>
          </w:p>
        </w:tc>
        <w:tc>
          <w:tcPr>
            <w:tcW w:w="1843" w:type="dxa"/>
          </w:tcPr>
          <w:p w14:paraId="2FA85D4C" w14:textId="77777777" w:rsidR="006B0B08" w:rsidRPr="00A12DAA" w:rsidRDefault="006B0B08" w:rsidP="006B0B08">
            <w:pPr>
              <w:suppressAutoHyphens/>
              <w:ind w:right="138"/>
              <w:jc w:val="right"/>
              <w:rPr>
                <w:rFonts w:cs="Arial"/>
                <w:spacing w:val="-2"/>
              </w:rPr>
            </w:pPr>
            <w:r w:rsidRPr="00A12DAA">
              <w:rPr>
                <w:rFonts w:cs="Arial"/>
                <w:spacing w:val="-2"/>
              </w:rPr>
              <w:t>9</w:t>
            </w:r>
            <w:r w:rsidR="00A12DAA" w:rsidRPr="00A12DAA">
              <w:rPr>
                <w:rFonts w:cs="Arial"/>
                <w:spacing w:val="-2"/>
              </w:rPr>
              <w:t>9</w:t>
            </w:r>
          </w:p>
        </w:tc>
        <w:tc>
          <w:tcPr>
            <w:tcW w:w="1842" w:type="dxa"/>
          </w:tcPr>
          <w:p w14:paraId="6910004D" w14:textId="77777777" w:rsidR="006B0B08" w:rsidRPr="006B0B08" w:rsidRDefault="006B0B08" w:rsidP="006B0B08">
            <w:pPr>
              <w:suppressAutoHyphens/>
              <w:ind w:right="138"/>
              <w:jc w:val="right"/>
              <w:rPr>
                <w:rFonts w:cs="Arial"/>
                <w:spacing w:val="-2"/>
              </w:rPr>
            </w:pPr>
            <w:r w:rsidRPr="006B0B08">
              <w:rPr>
                <w:rFonts w:cs="Arial"/>
                <w:spacing w:val="-2"/>
              </w:rPr>
              <w:t>96</w:t>
            </w:r>
          </w:p>
        </w:tc>
      </w:tr>
      <w:tr w:rsidR="006B0B08" w:rsidRPr="00C328EF" w14:paraId="03B8CE26" w14:textId="77777777" w:rsidTr="00F46B8F">
        <w:tc>
          <w:tcPr>
            <w:tcW w:w="3510" w:type="dxa"/>
          </w:tcPr>
          <w:p w14:paraId="646B9921" w14:textId="77777777" w:rsidR="006B0B08" w:rsidRPr="006B0B08" w:rsidRDefault="006B0B08" w:rsidP="0058500E">
            <w:r w:rsidRPr="006B0B08">
              <w:t>Transport Scotland – Network Support Grants</w:t>
            </w:r>
          </w:p>
        </w:tc>
        <w:tc>
          <w:tcPr>
            <w:tcW w:w="1843" w:type="dxa"/>
          </w:tcPr>
          <w:p w14:paraId="0EDE8339" w14:textId="77777777" w:rsidR="006B0B08" w:rsidRPr="00565AE5" w:rsidRDefault="006B0B08" w:rsidP="006B0B08">
            <w:pPr>
              <w:suppressAutoHyphens/>
              <w:ind w:right="138"/>
              <w:jc w:val="right"/>
              <w:rPr>
                <w:rFonts w:cs="Arial"/>
                <w:spacing w:val="-2"/>
              </w:rPr>
            </w:pPr>
            <w:r w:rsidRPr="00565AE5">
              <w:rPr>
                <w:rFonts w:cs="Arial"/>
                <w:spacing w:val="-2"/>
              </w:rPr>
              <w:t>6,4</w:t>
            </w:r>
            <w:r w:rsidR="00565AE5" w:rsidRPr="00565AE5">
              <w:rPr>
                <w:rFonts w:cs="Arial"/>
                <w:spacing w:val="-2"/>
              </w:rPr>
              <w:t>35</w:t>
            </w:r>
          </w:p>
        </w:tc>
        <w:tc>
          <w:tcPr>
            <w:tcW w:w="1843" w:type="dxa"/>
          </w:tcPr>
          <w:p w14:paraId="095CDB55" w14:textId="77777777" w:rsidR="006B0B08" w:rsidRPr="006B0B08" w:rsidRDefault="006B0B08" w:rsidP="006B0B08">
            <w:pPr>
              <w:suppressAutoHyphens/>
              <w:ind w:right="138"/>
              <w:jc w:val="right"/>
              <w:rPr>
                <w:rFonts w:cs="Arial"/>
                <w:spacing w:val="-2"/>
              </w:rPr>
            </w:pPr>
            <w:r w:rsidRPr="006B0B08">
              <w:rPr>
                <w:rFonts w:cs="Arial"/>
                <w:spacing w:val="-2"/>
              </w:rPr>
              <w:t>6,924</w:t>
            </w:r>
          </w:p>
        </w:tc>
        <w:tc>
          <w:tcPr>
            <w:tcW w:w="1843" w:type="dxa"/>
          </w:tcPr>
          <w:p w14:paraId="4A56F324" w14:textId="77777777" w:rsidR="006B0B08" w:rsidRPr="00A12DAA" w:rsidRDefault="006B0B08" w:rsidP="006B0B08">
            <w:pPr>
              <w:suppressAutoHyphens/>
              <w:ind w:right="138"/>
              <w:jc w:val="right"/>
              <w:rPr>
                <w:rFonts w:cs="Arial"/>
                <w:spacing w:val="-2"/>
              </w:rPr>
            </w:pPr>
            <w:r w:rsidRPr="00A12DAA">
              <w:rPr>
                <w:rFonts w:cs="Arial"/>
                <w:spacing w:val="-2"/>
              </w:rPr>
              <w:t>-</w:t>
            </w:r>
          </w:p>
        </w:tc>
        <w:tc>
          <w:tcPr>
            <w:tcW w:w="1842" w:type="dxa"/>
          </w:tcPr>
          <w:p w14:paraId="04BA8CD1" w14:textId="77777777" w:rsidR="006B0B08" w:rsidRPr="006B0B08" w:rsidRDefault="006B0B08" w:rsidP="006B0B08">
            <w:pPr>
              <w:suppressAutoHyphens/>
              <w:ind w:right="138"/>
              <w:jc w:val="right"/>
              <w:rPr>
                <w:rFonts w:cs="Arial"/>
                <w:spacing w:val="-2"/>
              </w:rPr>
            </w:pPr>
            <w:r w:rsidRPr="006B0B08">
              <w:rPr>
                <w:rFonts w:cs="Arial"/>
                <w:spacing w:val="-2"/>
              </w:rPr>
              <w:t>-</w:t>
            </w:r>
          </w:p>
        </w:tc>
      </w:tr>
      <w:tr w:rsidR="006B0B08" w:rsidRPr="00C328EF" w14:paraId="5EB2D3AF" w14:textId="77777777" w:rsidTr="00F46B8F">
        <w:tc>
          <w:tcPr>
            <w:tcW w:w="3510" w:type="dxa"/>
          </w:tcPr>
          <w:p w14:paraId="63C93F53" w14:textId="77777777" w:rsidR="006B0B08" w:rsidRPr="00C328EF" w:rsidRDefault="006B0B08" w:rsidP="006B0B08">
            <w:pPr>
              <w:ind w:left="546"/>
              <w:jc w:val="both"/>
              <w:rPr>
                <w:highlight w:val="yellow"/>
              </w:rPr>
            </w:pPr>
          </w:p>
        </w:tc>
        <w:tc>
          <w:tcPr>
            <w:tcW w:w="1843" w:type="dxa"/>
          </w:tcPr>
          <w:p w14:paraId="3A8F43D8" w14:textId="77777777" w:rsidR="006B0B08" w:rsidRPr="00565AE5" w:rsidRDefault="006B0B08" w:rsidP="006B0B08">
            <w:pPr>
              <w:suppressAutoHyphens/>
              <w:ind w:right="138"/>
              <w:jc w:val="right"/>
              <w:rPr>
                <w:rFonts w:cs="Arial"/>
                <w:spacing w:val="-2"/>
              </w:rPr>
            </w:pPr>
            <w:r w:rsidRPr="00565AE5">
              <w:rPr>
                <w:rFonts w:cs="Arial"/>
                <w:spacing w:val="-2"/>
              </w:rPr>
              <w:t>─────</w:t>
            </w:r>
          </w:p>
        </w:tc>
        <w:tc>
          <w:tcPr>
            <w:tcW w:w="1843" w:type="dxa"/>
          </w:tcPr>
          <w:p w14:paraId="252A9681"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843" w:type="dxa"/>
          </w:tcPr>
          <w:p w14:paraId="6DDC8EF4" w14:textId="77777777" w:rsidR="006B0B08" w:rsidRPr="00A12DAA" w:rsidRDefault="006B0B08" w:rsidP="006B0B08">
            <w:pPr>
              <w:suppressAutoHyphens/>
              <w:ind w:right="138"/>
              <w:jc w:val="right"/>
              <w:rPr>
                <w:rFonts w:cs="Arial"/>
                <w:spacing w:val="-2"/>
              </w:rPr>
            </w:pPr>
            <w:r w:rsidRPr="00A12DAA">
              <w:rPr>
                <w:rFonts w:cs="Arial"/>
                <w:spacing w:val="-2"/>
              </w:rPr>
              <w:t>─────</w:t>
            </w:r>
          </w:p>
        </w:tc>
        <w:tc>
          <w:tcPr>
            <w:tcW w:w="1842" w:type="dxa"/>
          </w:tcPr>
          <w:p w14:paraId="41651A68" w14:textId="77777777" w:rsidR="006B0B08" w:rsidRPr="006B0B08" w:rsidRDefault="006B0B08" w:rsidP="006B0B08">
            <w:pPr>
              <w:suppressAutoHyphens/>
              <w:ind w:right="138"/>
              <w:jc w:val="right"/>
              <w:rPr>
                <w:rFonts w:cs="Arial"/>
                <w:spacing w:val="-2"/>
              </w:rPr>
            </w:pPr>
            <w:r w:rsidRPr="006B0B08">
              <w:rPr>
                <w:rFonts w:cs="Arial"/>
                <w:spacing w:val="-2"/>
              </w:rPr>
              <w:t>─────</w:t>
            </w:r>
          </w:p>
        </w:tc>
      </w:tr>
      <w:tr w:rsidR="006B0B08" w:rsidRPr="00C328EF" w14:paraId="412683EA" w14:textId="77777777" w:rsidTr="00F46B8F">
        <w:tc>
          <w:tcPr>
            <w:tcW w:w="3510" w:type="dxa"/>
          </w:tcPr>
          <w:p w14:paraId="0D6FBA7E" w14:textId="77777777" w:rsidR="006B0B08" w:rsidRPr="00C328EF" w:rsidRDefault="006B0B08" w:rsidP="006B0B08">
            <w:pPr>
              <w:ind w:left="546"/>
              <w:jc w:val="both"/>
              <w:rPr>
                <w:highlight w:val="yellow"/>
              </w:rPr>
            </w:pPr>
          </w:p>
        </w:tc>
        <w:tc>
          <w:tcPr>
            <w:tcW w:w="1843" w:type="dxa"/>
          </w:tcPr>
          <w:p w14:paraId="1252260E" w14:textId="77777777" w:rsidR="006B0B08" w:rsidRPr="00565AE5" w:rsidRDefault="00565AE5" w:rsidP="006B0B08">
            <w:pPr>
              <w:suppressAutoHyphens/>
              <w:ind w:right="138"/>
              <w:jc w:val="right"/>
              <w:rPr>
                <w:rFonts w:cs="Arial"/>
                <w:spacing w:val="-2"/>
              </w:rPr>
            </w:pPr>
            <w:r w:rsidRPr="00565AE5">
              <w:rPr>
                <w:rFonts w:cs="Arial"/>
                <w:spacing w:val="-2"/>
              </w:rPr>
              <w:t>6,700</w:t>
            </w:r>
          </w:p>
        </w:tc>
        <w:tc>
          <w:tcPr>
            <w:tcW w:w="1843" w:type="dxa"/>
          </w:tcPr>
          <w:p w14:paraId="748A95FD" w14:textId="77777777" w:rsidR="006B0B08" w:rsidRPr="006B0B08" w:rsidRDefault="006B0B08" w:rsidP="006B0B08">
            <w:pPr>
              <w:suppressAutoHyphens/>
              <w:ind w:right="138"/>
              <w:jc w:val="right"/>
              <w:rPr>
                <w:rFonts w:cs="Arial"/>
                <w:spacing w:val="-2"/>
              </w:rPr>
            </w:pPr>
            <w:r w:rsidRPr="006B0B08">
              <w:rPr>
                <w:rFonts w:cs="Arial"/>
                <w:spacing w:val="-2"/>
              </w:rPr>
              <w:t>7,115</w:t>
            </w:r>
          </w:p>
        </w:tc>
        <w:tc>
          <w:tcPr>
            <w:tcW w:w="1843" w:type="dxa"/>
          </w:tcPr>
          <w:p w14:paraId="03A8FFE1" w14:textId="77777777" w:rsidR="006B0B08" w:rsidRPr="00A12DAA" w:rsidRDefault="006B0B08" w:rsidP="006B0B08">
            <w:pPr>
              <w:suppressAutoHyphens/>
              <w:ind w:right="138"/>
              <w:jc w:val="right"/>
              <w:rPr>
                <w:rFonts w:cs="Arial"/>
                <w:spacing w:val="-2"/>
              </w:rPr>
            </w:pPr>
            <w:r w:rsidRPr="00A12DAA">
              <w:rPr>
                <w:rFonts w:cs="Arial"/>
                <w:spacing w:val="-2"/>
              </w:rPr>
              <w:t>9</w:t>
            </w:r>
            <w:r w:rsidR="00A12DAA" w:rsidRPr="00A12DAA">
              <w:rPr>
                <w:rFonts w:cs="Arial"/>
                <w:spacing w:val="-2"/>
              </w:rPr>
              <w:t>9</w:t>
            </w:r>
          </w:p>
        </w:tc>
        <w:tc>
          <w:tcPr>
            <w:tcW w:w="1842" w:type="dxa"/>
          </w:tcPr>
          <w:p w14:paraId="056CFCAF" w14:textId="77777777" w:rsidR="006B0B08" w:rsidRPr="006B0B08" w:rsidRDefault="006B0B08" w:rsidP="006B0B08">
            <w:pPr>
              <w:suppressAutoHyphens/>
              <w:ind w:right="138"/>
              <w:jc w:val="right"/>
              <w:rPr>
                <w:rFonts w:cs="Arial"/>
                <w:spacing w:val="-2"/>
              </w:rPr>
            </w:pPr>
            <w:r w:rsidRPr="006B0B08">
              <w:rPr>
                <w:rFonts w:cs="Arial"/>
                <w:spacing w:val="-2"/>
              </w:rPr>
              <w:t>96</w:t>
            </w:r>
          </w:p>
        </w:tc>
      </w:tr>
      <w:tr w:rsidR="006B0B08" w:rsidRPr="00C328EF" w14:paraId="36504B5C" w14:textId="77777777" w:rsidTr="00F46B8F">
        <w:tc>
          <w:tcPr>
            <w:tcW w:w="3510" w:type="dxa"/>
          </w:tcPr>
          <w:p w14:paraId="7D9F86A4" w14:textId="77777777" w:rsidR="006B0B08" w:rsidRPr="00C328EF" w:rsidRDefault="006B0B08" w:rsidP="006B0B08">
            <w:pPr>
              <w:jc w:val="both"/>
              <w:rPr>
                <w:highlight w:val="yellow"/>
              </w:rPr>
            </w:pPr>
          </w:p>
        </w:tc>
        <w:tc>
          <w:tcPr>
            <w:tcW w:w="1843" w:type="dxa"/>
          </w:tcPr>
          <w:p w14:paraId="6BFD2B3A" w14:textId="77777777" w:rsidR="006B0B08" w:rsidRPr="00565AE5" w:rsidRDefault="006B0B08" w:rsidP="006B0B08">
            <w:pPr>
              <w:suppressAutoHyphens/>
              <w:ind w:right="138"/>
              <w:jc w:val="right"/>
              <w:rPr>
                <w:rFonts w:cs="Arial"/>
                <w:spacing w:val="-2"/>
              </w:rPr>
            </w:pPr>
            <w:r w:rsidRPr="00565AE5">
              <w:rPr>
                <w:rFonts w:cs="Arial"/>
                <w:spacing w:val="-2"/>
              </w:rPr>
              <w:t>═════</w:t>
            </w:r>
          </w:p>
        </w:tc>
        <w:tc>
          <w:tcPr>
            <w:tcW w:w="1843" w:type="dxa"/>
          </w:tcPr>
          <w:p w14:paraId="6A702E67" w14:textId="77777777" w:rsidR="006B0B08" w:rsidRPr="006B0B08" w:rsidRDefault="006B0B08" w:rsidP="006B0B08">
            <w:pPr>
              <w:suppressAutoHyphens/>
              <w:ind w:right="138"/>
              <w:jc w:val="right"/>
              <w:rPr>
                <w:rFonts w:cs="Arial"/>
                <w:spacing w:val="-2"/>
              </w:rPr>
            </w:pPr>
            <w:r w:rsidRPr="006B0B08">
              <w:rPr>
                <w:rFonts w:cs="Arial"/>
                <w:spacing w:val="-2"/>
              </w:rPr>
              <w:t>══════</w:t>
            </w:r>
          </w:p>
        </w:tc>
        <w:tc>
          <w:tcPr>
            <w:tcW w:w="1843" w:type="dxa"/>
          </w:tcPr>
          <w:p w14:paraId="6CB119A1" w14:textId="77777777" w:rsidR="006B0B08" w:rsidRPr="00A12DAA" w:rsidRDefault="006B0B08" w:rsidP="006B0B08">
            <w:pPr>
              <w:suppressAutoHyphens/>
              <w:ind w:right="138"/>
              <w:jc w:val="right"/>
              <w:rPr>
                <w:rFonts w:cs="Arial"/>
                <w:spacing w:val="-2"/>
              </w:rPr>
            </w:pPr>
            <w:r w:rsidRPr="00A12DAA">
              <w:rPr>
                <w:rFonts w:cs="Arial"/>
                <w:spacing w:val="-2"/>
              </w:rPr>
              <w:t>═════</w:t>
            </w:r>
          </w:p>
        </w:tc>
        <w:tc>
          <w:tcPr>
            <w:tcW w:w="1842" w:type="dxa"/>
          </w:tcPr>
          <w:p w14:paraId="61312B20" w14:textId="77777777" w:rsidR="006B0B08" w:rsidRPr="006B0B08" w:rsidRDefault="006B0B08" w:rsidP="006B0B08">
            <w:pPr>
              <w:suppressAutoHyphens/>
              <w:ind w:right="138"/>
              <w:jc w:val="right"/>
              <w:rPr>
                <w:rFonts w:cs="Arial"/>
                <w:spacing w:val="-2"/>
              </w:rPr>
            </w:pPr>
            <w:r w:rsidRPr="006B0B08">
              <w:rPr>
                <w:rFonts w:cs="Arial"/>
                <w:spacing w:val="-2"/>
              </w:rPr>
              <w:t>═════</w:t>
            </w:r>
          </w:p>
        </w:tc>
      </w:tr>
    </w:tbl>
    <w:p w14:paraId="4167CF01" w14:textId="77777777" w:rsidR="00B13475" w:rsidRDefault="00B13475" w:rsidP="001E109C">
      <w:pPr>
        <w:jc w:val="center"/>
        <w:rPr>
          <w:highlight w:val="yellow"/>
        </w:rPr>
      </w:pPr>
    </w:p>
    <w:p w14:paraId="467D3740" w14:textId="77777777" w:rsidR="002D6C57" w:rsidRDefault="002D6C57" w:rsidP="001E109C">
      <w:pPr>
        <w:jc w:val="center"/>
        <w:rPr>
          <w:highlight w:val="yellow"/>
        </w:rPr>
      </w:pPr>
    </w:p>
    <w:p w14:paraId="4CBD5C94" w14:textId="77777777" w:rsidR="002D6C57" w:rsidRPr="00EB2899" w:rsidRDefault="002D6C57" w:rsidP="00A5227C">
      <w:pPr>
        <w:numPr>
          <w:ilvl w:val="0"/>
          <w:numId w:val="17"/>
        </w:numPr>
        <w:ind w:hanging="906"/>
        <w:rPr>
          <w:b/>
        </w:rPr>
      </w:pPr>
      <w:r w:rsidRPr="00EB2899">
        <w:rPr>
          <w:b/>
        </w:rPr>
        <w:t>Income tax expense</w:t>
      </w:r>
    </w:p>
    <w:tbl>
      <w:tblPr>
        <w:tblW w:w="10881" w:type="dxa"/>
        <w:tblLayout w:type="fixed"/>
        <w:tblLook w:val="0000" w:firstRow="0" w:lastRow="0" w:firstColumn="0" w:lastColumn="0" w:noHBand="0" w:noVBand="0"/>
      </w:tblPr>
      <w:tblGrid>
        <w:gridCol w:w="3510"/>
        <w:gridCol w:w="1843"/>
        <w:gridCol w:w="1843"/>
        <w:gridCol w:w="1843"/>
        <w:gridCol w:w="1842"/>
      </w:tblGrid>
      <w:tr w:rsidR="002D6C57" w:rsidRPr="00EB2899" w14:paraId="57C8A918" w14:textId="77777777" w:rsidTr="003E2F38">
        <w:tc>
          <w:tcPr>
            <w:tcW w:w="3510" w:type="dxa"/>
          </w:tcPr>
          <w:p w14:paraId="17957ACD" w14:textId="77777777" w:rsidR="002D6C57" w:rsidRPr="00EB2899" w:rsidRDefault="002D6C57" w:rsidP="003E2F38">
            <w:pPr>
              <w:jc w:val="both"/>
            </w:pPr>
          </w:p>
        </w:tc>
        <w:tc>
          <w:tcPr>
            <w:tcW w:w="3686" w:type="dxa"/>
            <w:gridSpan w:val="2"/>
          </w:tcPr>
          <w:p w14:paraId="5C94C690" w14:textId="77777777" w:rsidR="002D6C57" w:rsidRPr="00EB2899" w:rsidRDefault="002D6C57" w:rsidP="003E2F38">
            <w:pPr>
              <w:ind w:left="680"/>
              <w:jc w:val="center"/>
              <w:rPr>
                <w:b/>
              </w:rPr>
            </w:pPr>
            <w:r w:rsidRPr="00EB2899">
              <w:rPr>
                <w:b/>
              </w:rPr>
              <w:t>Consolidated Group</w:t>
            </w:r>
          </w:p>
        </w:tc>
        <w:tc>
          <w:tcPr>
            <w:tcW w:w="3685" w:type="dxa"/>
            <w:gridSpan w:val="2"/>
          </w:tcPr>
          <w:p w14:paraId="52927613" w14:textId="77777777" w:rsidR="002D6C57" w:rsidRPr="00EB2899" w:rsidRDefault="002D6C57" w:rsidP="003E2F38">
            <w:pPr>
              <w:ind w:left="850"/>
              <w:rPr>
                <w:b/>
              </w:rPr>
            </w:pPr>
            <w:r w:rsidRPr="00EB2899">
              <w:rPr>
                <w:b/>
              </w:rPr>
              <w:t>Parent Entity</w:t>
            </w:r>
          </w:p>
        </w:tc>
      </w:tr>
      <w:tr w:rsidR="002D6C57" w:rsidRPr="00EB2899" w14:paraId="10117D01" w14:textId="77777777" w:rsidTr="003E2F38">
        <w:tc>
          <w:tcPr>
            <w:tcW w:w="3510" w:type="dxa"/>
          </w:tcPr>
          <w:p w14:paraId="480BD0AA" w14:textId="77777777" w:rsidR="002D6C57" w:rsidRPr="00EB2899" w:rsidRDefault="002D6C57" w:rsidP="003E2F38">
            <w:pPr>
              <w:jc w:val="both"/>
              <w:rPr>
                <w:b/>
              </w:rPr>
            </w:pPr>
          </w:p>
        </w:tc>
        <w:tc>
          <w:tcPr>
            <w:tcW w:w="1843" w:type="dxa"/>
          </w:tcPr>
          <w:p w14:paraId="0850E686" w14:textId="77777777" w:rsidR="002D6C57" w:rsidRPr="00EB2899" w:rsidRDefault="002D6C57" w:rsidP="003E2F38">
            <w:pPr>
              <w:tabs>
                <w:tab w:val="left" w:pos="1033"/>
              </w:tabs>
              <w:suppressAutoHyphens/>
              <w:ind w:right="138"/>
              <w:jc w:val="right"/>
              <w:rPr>
                <w:rFonts w:cs="Arial"/>
                <w:b/>
                <w:spacing w:val="-2"/>
              </w:rPr>
            </w:pPr>
            <w:r>
              <w:rPr>
                <w:rFonts w:cs="Arial"/>
                <w:b/>
                <w:spacing w:val="-2"/>
              </w:rPr>
              <w:t xml:space="preserve">Period to 28 December </w:t>
            </w:r>
            <w:r w:rsidRPr="00EB2899">
              <w:rPr>
                <w:rFonts w:cs="Arial"/>
                <w:b/>
                <w:spacing w:val="-2"/>
              </w:rPr>
              <w:t>2024</w:t>
            </w:r>
          </w:p>
        </w:tc>
        <w:tc>
          <w:tcPr>
            <w:tcW w:w="1843" w:type="dxa"/>
          </w:tcPr>
          <w:p w14:paraId="22A85136" w14:textId="77777777" w:rsidR="002D6C57" w:rsidRPr="00EB2899" w:rsidRDefault="002D6C57" w:rsidP="003E2F38">
            <w:pPr>
              <w:tabs>
                <w:tab w:val="left" w:pos="1033"/>
              </w:tabs>
              <w:suppressAutoHyphens/>
              <w:ind w:right="138"/>
              <w:jc w:val="right"/>
              <w:rPr>
                <w:rFonts w:cs="Arial"/>
                <w:b/>
                <w:spacing w:val="-2"/>
              </w:rPr>
            </w:pPr>
            <w:r>
              <w:rPr>
                <w:rFonts w:cs="Arial"/>
                <w:b/>
                <w:spacing w:val="-2"/>
              </w:rPr>
              <w:t xml:space="preserve">Period to 30 December </w:t>
            </w:r>
            <w:r w:rsidRPr="00EB2899">
              <w:rPr>
                <w:rFonts w:cs="Arial"/>
                <w:b/>
                <w:spacing w:val="-2"/>
              </w:rPr>
              <w:t>2023</w:t>
            </w:r>
          </w:p>
        </w:tc>
        <w:tc>
          <w:tcPr>
            <w:tcW w:w="1843" w:type="dxa"/>
          </w:tcPr>
          <w:p w14:paraId="2E4056BD" w14:textId="77777777" w:rsidR="002D6C57" w:rsidRPr="00EB2899" w:rsidRDefault="002D6C57" w:rsidP="003E2F38">
            <w:pPr>
              <w:suppressAutoHyphens/>
              <w:ind w:right="138"/>
              <w:jc w:val="right"/>
              <w:rPr>
                <w:rFonts w:cs="Arial"/>
                <w:b/>
                <w:spacing w:val="-2"/>
              </w:rPr>
            </w:pPr>
            <w:r>
              <w:rPr>
                <w:rFonts w:cs="Arial"/>
                <w:b/>
                <w:spacing w:val="-2"/>
              </w:rPr>
              <w:t xml:space="preserve">Period to 28 December </w:t>
            </w:r>
            <w:r w:rsidRPr="00EB2899">
              <w:rPr>
                <w:rFonts w:cs="Arial"/>
                <w:b/>
                <w:spacing w:val="-2"/>
              </w:rPr>
              <w:t>2024</w:t>
            </w:r>
          </w:p>
        </w:tc>
        <w:tc>
          <w:tcPr>
            <w:tcW w:w="1842" w:type="dxa"/>
          </w:tcPr>
          <w:p w14:paraId="754C6D7E" w14:textId="77777777" w:rsidR="002D6C57" w:rsidRPr="00EB2899" w:rsidRDefault="002D6C57" w:rsidP="003E2F38">
            <w:pPr>
              <w:suppressAutoHyphens/>
              <w:ind w:right="138"/>
              <w:jc w:val="right"/>
              <w:rPr>
                <w:rFonts w:cs="Arial"/>
                <w:b/>
                <w:spacing w:val="-2"/>
              </w:rPr>
            </w:pPr>
            <w:r>
              <w:rPr>
                <w:rFonts w:cs="Arial"/>
                <w:b/>
                <w:spacing w:val="-2"/>
              </w:rPr>
              <w:t xml:space="preserve">Period to 30 December </w:t>
            </w:r>
            <w:r w:rsidRPr="00EB2899">
              <w:rPr>
                <w:rFonts w:cs="Arial"/>
                <w:b/>
                <w:spacing w:val="-2"/>
              </w:rPr>
              <w:t>2023</w:t>
            </w:r>
          </w:p>
        </w:tc>
      </w:tr>
      <w:tr w:rsidR="002D6C57" w:rsidRPr="00EB2899" w14:paraId="1951F4A5" w14:textId="77777777" w:rsidTr="003E2F38">
        <w:tc>
          <w:tcPr>
            <w:tcW w:w="3510" w:type="dxa"/>
          </w:tcPr>
          <w:p w14:paraId="09F53727" w14:textId="77777777" w:rsidR="002D6C57" w:rsidRPr="00EB2899" w:rsidRDefault="002D6C57" w:rsidP="003E2F38">
            <w:pPr>
              <w:jc w:val="both"/>
              <w:rPr>
                <w:b/>
              </w:rPr>
            </w:pPr>
          </w:p>
        </w:tc>
        <w:tc>
          <w:tcPr>
            <w:tcW w:w="1843" w:type="dxa"/>
          </w:tcPr>
          <w:p w14:paraId="1F5197F4" w14:textId="77777777" w:rsidR="002D6C57" w:rsidRPr="00EB2899" w:rsidRDefault="002D6C57" w:rsidP="003E2F38">
            <w:pPr>
              <w:tabs>
                <w:tab w:val="left" w:pos="1033"/>
              </w:tabs>
              <w:suppressAutoHyphens/>
              <w:ind w:right="138"/>
              <w:jc w:val="right"/>
              <w:rPr>
                <w:rFonts w:cs="Arial"/>
                <w:b/>
                <w:spacing w:val="-2"/>
              </w:rPr>
            </w:pPr>
            <w:r w:rsidRPr="00EB2899">
              <w:rPr>
                <w:rFonts w:cs="Arial"/>
                <w:b/>
                <w:spacing w:val="-2"/>
              </w:rPr>
              <w:t>£’000</w:t>
            </w:r>
          </w:p>
        </w:tc>
        <w:tc>
          <w:tcPr>
            <w:tcW w:w="1843" w:type="dxa"/>
          </w:tcPr>
          <w:p w14:paraId="183F3BBE" w14:textId="77777777" w:rsidR="002D6C57" w:rsidRPr="00EB2899" w:rsidRDefault="002D6C57" w:rsidP="003E2F38">
            <w:pPr>
              <w:tabs>
                <w:tab w:val="left" w:pos="1033"/>
              </w:tabs>
              <w:suppressAutoHyphens/>
              <w:ind w:right="138"/>
              <w:jc w:val="right"/>
              <w:rPr>
                <w:rFonts w:cs="Arial"/>
                <w:b/>
                <w:spacing w:val="-2"/>
              </w:rPr>
            </w:pPr>
            <w:r w:rsidRPr="00EB2899">
              <w:rPr>
                <w:rFonts w:cs="Arial"/>
                <w:b/>
                <w:spacing w:val="-2"/>
              </w:rPr>
              <w:t>£’000</w:t>
            </w:r>
          </w:p>
        </w:tc>
        <w:tc>
          <w:tcPr>
            <w:tcW w:w="1843" w:type="dxa"/>
          </w:tcPr>
          <w:p w14:paraId="4CE3A22B" w14:textId="77777777" w:rsidR="002D6C57" w:rsidRPr="00EB2899" w:rsidRDefault="002D6C57" w:rsidP="003E2F38">
            <w:pPr>
              <w:suppressAutoHyphens/>
              <w:ind w:right="138"/>
              <w:jc w:val="right"/>
              <w:rPr>
                <w:rFonts w:cs="Arial"/>
                <w:b/>
                <w:spacing w:val="-2"/>
              </w:rPr>
            </w:pPr>
            <w:r w:rsidRPr="00EB2899">
              <w:rPr>
                <w:rFonts w:cs="Arial"/>
                <w:b/>
                <w:spacing w:val="-2"/>
              </w:rPr>
              <w:t>£’000</w:t>
            </w:r>
          </w:p>
        </w:tc>
        <w:tc>
          <w:tcPr>
            <w:tcW w:w="1842" w:type="dxa"/>
          </w:tcPr>
          <w:p w14:paraId="53D123A9" w14:textId="77777777" w:rsidR="002D6C57" w:rsidRPr="00EB2899" w:rsidRDefault="002D6C57" w:rsidP="003E2F38">
            <w:pPr>
              <w:suppressAutoHyphens/>
              <w:ind w:right="138"/>
              <w:jc w:val="right"/>
              <w:rPr>
                <w:rFonts w:cs="Arial"/>
                <w:b/>
                <w:spacing w:val="-2"/>
              </w:rPr>
            </w:pPr>
            <w:r w:rsidRPr="00EB2899">
              <w:rPr>
                <w:rFonts w:cs="Arial"/>
                <w:b/>
                <w:spacing w:val="-2"/>
              </w:rPr>
              <w:t>£’000</w:t>
            </w:r>
          </w:p>
        </w:tc>
      </w:tr>
      <w:tr w:rsidR="002D6C57" w:rsidRPr="00EB2899" w14:paraId="4A75DDD2" w14:textId="77777777" w:rsidTr="003E2F38">
        <w:tc>
          <w:tcPr>
            <w:tcW w:w="3510" w:type="dxa"/>
          </w:tcPr>
          <w:p w14:paraId="78232725" w14:textId="77777777" w:rsidR="002D6C57" w:rsidRPr="00EB2899" w:rsidRDefault="002D6C57" w:rsidP="003E2F38">
            <w:r w:rsidRPr="00EB2899">
              <w:t>Current tax:</w:t>
            </w:r>
          </w:p>
        </w:tc>
        <w:tc>
          <w:tcPr>
            <w:tcW w:w="1843" w:type="dxa"/>
          </w:tcPr>
          <w:p w14:paraId="77A1A209" w14:textId="77777777" w:rsidR="002D6C57" w:rsidRPr="00EB2899" w:rsidRDefault="002D6C57" w:rsidP="003E2F38">
            <w:pPr>
              <w:tabs>
                <w:tab w:val="decimal" w:pos="1026"/>
              </w:tabs>
              <w:jc w:val="both"/>
            </w:pPr>
          </w:p>
        </w:tc>
        <w:tc>
          <w:tcPr>
            <w:tcW w:w="1843" w:type="dxa"/>
          </w:tcPr>
          <w:p w14:paraId="0ED22D2E" w14:textId="77777777" w:rsidR="002D6C57" w:rsidRPr="00EB2899" w:rsidRDefault="002D6C57" w:rsidP="003E2F38">
            <w:pPr>
              <w:tabs>
                <w:tab w:val="decimal" w:pos="1026"/>
              </w:tabs>
              <w:jc w:val="both"/>
            </w:pPr>
          </w:p>
        </w:tc>
        <w:tc>
          <w:tcPr>
            <w:tcW w:w="1843" w:type="dxa"/>
          </w:tcPr>
          <w:p w14:paraId="301C0592" w14:textId="77777777" w:rsidR="002D6C57" w:rsidRPr="00EB2899" w:rsidRDefault="002D6C57" w:rsidP="003E2F38">
            <w:pPr>
              <w:tabs>
                <w:tab w:val="decimal" w:pos="1026"/>
              </w:tabs>
              <w:jc w:val="both"/>
            </w:pPr>
          </w:p>
        </w:tc>
        <w:tc>
          <w:tcPr>
            <w:tcW w:w="1842" w:type="dxa"/>
          </w:tcPr>
          <w:p w14:paraId="3E0E6CEF" w14:textId="77777777" w:rsidR="002D6C57" w:rsidRPr="00EB2899" w:rsidRDefault="002D6C57" w:rsidP="003E2F38">
            <w:pPr>
              <w:tabs>
                <w:tab w:val="decimal" w:pos="1026"/>
              </w:tabs>
              <w:jc w:val="both"/>
            </w:pPr>
          </w:p>
        </w:tc>
      </w:tr>
      <w:tr w:rsidR="002D6C57" w:rsidRPr="00C328EF" w14:paraId="2C11D046" w14:textId="77777777" w:rsidTr="003E2F38">
        <w:tc>
          <w:tcPr>
            <w:tcW w:w="3510" w:type="dxa"/>
          </w:tcPr>
          <w:p w14:paraId="26CBA8B1" w14:textId="77777777" w:rsidR="002D6C57" w:rsidRPr="00EB2899" w:rsidRDefault="002D6C57" w:rsidP="003E2F38">
            <w:r w:rsidRPr="00EB2899">
              <w:t xml:space="preserve">Corporation tax </w:t>
            </w:r>
          </w:p>
        </w:tc>
        <w:tc>
          <w:tcPr>
            <w:tcW w:w="1843" w:type="dxa"/>
          </w:tcPr>
          <w:p w14:paraId="6E135B40" w14:textId="77777777" w:rsidR="002D6C57" w:rsidRPr="00C328EF" w:rsidRDefault="002D6C57" w:rsidP="003E2F38">
            <w:pPr>
              <w:suppressAutoHyphens/>
              <w:ind w:right="138"/>
              <w:jc w:val="right"/>
              <w:rPr>
                <w:rFonts w:cs="Arial"/>
                <w:spacing w:val="-2"/>
                <w:highlight w:val="yellow"/>
              </w:rPr>
            </w:pPr>
            <w:r w:rsidRPr="005E20BF">
              <w:rPr>
                <w:rFonts w:cs="Arial"/>
                <w:spacing w:val="-2"/>
              </w:rPr>
              <w:t>10</w:t>
            </w:r>
          </w:p>
        </w:tc>
        <w:tc>
          <w:tcPr>
            <w:tcW w:w="1843" w:type="dxa"/>
          </w:tcPr>
          <w:p w14:paraId="77A094FE" w14:textId="77777777" w:rsidR="002D6C57" w:rsidRPr="00EB2899" w:rsidRDefault="002D6C57" w:rsidP="003E2F38">
            <w:pPr>
              <w:suppressAutoHyphens/>
              <w:ind w:right="138"/>
              <w:jc w:val="right"/>
              <w:rPr>
                <w:rFonts w:cs="Arial"/>
                <w:spacing w:val="-2"/>
              </w:rPr>
            </w:pPr>
            <w:r w:rsidRPr="00EB2899">
              <w:rPr>
                <w:rFonts w:cs="Arial"/>
                <w:spacing w:val="-2"/>
              </w:rPr>
              <w:t>-</w:t>
            </w:r>
          </w:p>
        </w:tc>
        <w:tc>
          <w:tcPr>
            <w:tcW w:w="1843" w:type="dxa"/>
          </w:tcPr>
          <w:p w14:paraId="6680C018" w14:textId="77777777" w:rsidR="002D6C57" w:rsidRPr="00156773" w:rsidRDefault="002D6C57" w:rsidP="003E2F38">
            <w:pPr>
              <w:suppressAutoHyphens/>
              <w:ind w:right="138"/>
              <w:jc w:val="right"/>
              <w:rPr>
                <w:rFonts w:cs="Arial"/>
                <w:spacing w:val="-2"/>
              </w:rPr>
            </w:pPr>
            <w:r w:rsidRPr="00156773">
              <w:rPr>
                <w:rFonts w:cs="Arial"/>
                <w:spacing w:val="-2"/>
              </w:rPr>
              <w:t>(60)</w:t>
            </w:r>
          </w:p>
        </w:tc>
        <w:tc>
          <w:tcPr>
            <w:tcW w:w="1842" w:type="dxa"/>
          </w:tcPr>
          <w:p w14:paraId="7456413E" w14:textId="77777777" w:rsidR="002D6C57" w:rsidRPr="00EB2899" w:rsidRDefault="002D6C57" w:rsidP="003E2F38">
            <w:pPr>
              <w:suppressAutoHyphens/>
              <w:ind w:right="138"/>
              <w:jc w:val="right"/>
              <w:rPr>
                <w:rFonts w:cs="Arial"/>
                <w:spacing w:val="-2"/>
              </w:rPr>
            </w:pPr>
            <w:r w:rsidRPr="00EB2899">
              <w:rPr>
                <w:rFonts w:cs="Arial"/>
                <w:spacing w:val="-2"/>
              </w:rPr>
              <w:t>(40)</w:t>
            </w:r>
          </w:p>
        </w:tc>
      </w:tr>
      <w:tr w:rsidR="002D6C57" w:rsidRPr="00C328EF" w14:paraId="35E95EF4" w14:textId="77777777" w:rsidTr="003E2F38">
        <w:tc>
          <w:tcPr>
            <w:tcW w:w="3510" w:type="dxa"/>
          </w:tcPr>
          <w:p w14:paraId="426FE4DF" w14:textId="77777777" w:rsidR="002D6C57" w:rsidRPr="00EB2899" w:rsidRDefault="002D6C57" w:rsidP="003E2F38">
            <w:r w:rsidRPr="00EB2899">
              <w:t xml:space="preserve">Adjustment in respect of prior </w:t>
            </w:r>
            <w:r>
              <w:t>periods</w:t>
            </w:r>
          </w:p>
        </w:tc>
        <w:tc>
          <w:tcPr>
            <w:tcW w:w="1843" w:type="dxa"/>
          </w:tcPr>
          <w:p w14:paraId="59AC17E0" w14:textId="77777777" w:rsidR="002D6C57" w:rsidRPr="003C744F" w:rsidRDefault="002D6C57" w:rsidP="003E2F38">
            <w:pPr>
              <w:suppressAutoHyphens/>
              <w:ind w:right="138"/>
              <w:jc w:val="right"/>
              <w:rPr>
                <w:rFonts w:cs="Arial"/>
                <w:spacing w:val="-2"/>
              </w:rPr>
            </w:pPr>
            <w:r w:rsidRPr="003C744F">
              <w:rPr>
                <w:rFonts w:cs="Arial"/>
                <w:spacing w:val="-2"/>
              </w:rPr>
              <w:t>(638)</w:t>
            </w:r>
          </w:p>
        </w:tc>
        <w:tc>
          <w:tcPr>
            <w:tcW w:w="1843" w:type="dxa"/>
          </w:tcPr>
          <w:p w14:paraId="3A1CD68D" w14:textId="77777777" w:rsidR="002D6C57" w:rsidRPr="00EB2899" w:rsidRDefault="002D6C57" w:rsidP="003E2F38">
            <w:pPr>
              <w:suppressAutoHyphens/>
              <w:ind w:right="138"/>
              <w:jc w:val="right"/>
              <w:rPr>
                <w:rFonts w:cs="Arial"/>
                <w:spacing w:val="-2"/>
              </w:rPr>
            </w:pPr>
            <w:r w:rsidRPr="00EB2899">
              <w:rPr>
                <w:rFonts w:cs="Arial"/>
                <w:spacing w:val="-2"/>
              </w:rPr>
              <w:t>(105)</w:t>
            </w:r>
          </w:p>
        </w:tc>
        <w:tc>
          <w:tcPr>
            <w:tcW w:w="1843" w:type="dxa"/>
          </w:tcPr>
          <w:p w14:paraId="7F5FA175" w14:textId="77777777" w:rsidR="002D6C57" w:rsidRPr="00156773" w:rsidRDefault="002D6C57" w:rsidP="003E2F38">
            <w:pPr>
              <w:suppressAutoHyphens/>
              <w:ind w:right="138"/>
              <w:jc w:val="right"/>
              <w:rPr>
                <w:rFonts w:cs="Arial"/>
                <w:spacing w:val="-2"/>
              </w:rPr>
            </w:pPr>
            <w:r w:rsidRPr="00156773">
              <w:rPr>
                <w:rFonts w:cs="Arial"/>
                <w:spacing w:val="-2"/>
              </w:rPr>
              <w:t>-</w:t>
            </w:r>
          </w:p>
        </w:tc>
        <w:tc>
          <w:tcPr>
            <w:tcW w:w="1842" w:type="dxa"/>
          </w:tcPr>
          <w:p w14:paraId="12C1F53A" w14:textId="77777777" w:rsidR="002D6C57" w:rsidRPr="00EB2899" w:rsidRDefault="002D6C57" w:rsidP="003E2F38">
            <w:pPr>
              <w:suppressAutoHyphens/>
              <w:ind w:right="138"/>
              <w:jc w:val="right"/>
              <w:rPr>
                <w:rFonts w:cs="Arial"/>
                <w:spacing w:val="-2"/>
              </w:rPr>
            </w:pPr>
            <w:r w:rsidRPr="00EB2899">
              <w:rPr>
                <w:rFonts w:cs="Arial"/>
                <w:spacing w:val="-2"/>
              </w:rPr>
              <w:t>1</w:t>
            </w:r>
          </w:p>
        </w:tc>
      </w:tr>
      <w:tr w:rsidR="002D6C57" w:rsidRPr="00C328EF" w14:paraId="14B9A554" w14:textId="77777777" w:rsidTr="003E2F38">
        <w:tc>
          <w:tcPr>
            <w:tcW w:w="3510" w:type="dxa"/>
          </w:tcPr>
          <w:p w14:paraId="54EC88E9" w14:textId="77777777" w:rsidR="002D6C57" w:rsidRPr="00EB2899" w:rsidRDefault="002D6C57" w:rsidP="003E2F38">
            <w:pPr>
              <w:jc w:val="both"/>
            </w:pPr>
            <w:r w:rsidRPr="00EB2899">
              <w:t xml:space="preserve">Deferred tax </w:t>
            </w:r>
          </w:p>
        </w:tc>
        <w:tc>
          <w:tcPr>
            <w:tcW w:w="1843" w:type="dxa"/>
          </w:tcPr>
          <w:p w14:paraId="114D3D6C" w14:textId="77777777" w:rsidR="002D6C57" w:rsidRPr="003C744F" w:rsidRDefault="002D6C57" w:rsidP="003E2F38">
            <w:pPr>
              <w:suppressAutoHyphens/>
              <w:ind w:right="138"/>
              <w:jc w:val="right"/>
              <w:rPr>
                <w:rFonts w:cs="Arial"/>
                <w:spacing w:val="-2"/>
              </w:rPr>
            </w:pPr>
            <w:r w:rsidRPr="003C744F">
              <w:rPr>
                <w:rFonts w:cs="Arial"/>
                <w:spacing w:val="-2"/>
              </w:rPr>
              <w:t>2,709</w:t>
            </w:r>
          </w:p>
        </w:tc>
        <w:tc>
          <w:tcPr>
            <w:tcW w:w="1843" w:type="dxa"/>
          </w:tcPr>
          <w:p w14:paraId="5B3A057D" w14:textId="77777777" w:rsidR="002D6C57" w:rsidRPr="00EB2899" w:rsidRDefault="002D6C57" w:rsidP="003E2F38">
            <w:pPr>
              <w:suppressAutoHyphens/>
              <w:ind w:right="138"/>
              <w:jc w:val="right"/>
              <w:rPr>
                <w:rFonts w:cs="Arial"/>
                <w:spacing w:val="-2"/>
              </w:rPr>
            </w:pPr>
            <w:r w:rsidRPr="00EB2899">
              <w:rPr>
                <w:rFonts w:cs="Arial"/>
                <w:spacing w:val="-2"/>
              </w:rPr>
              <w:t>722</w:t>
            </w:r>
          </w:p>
        </w:tc>
        <w:tc>
          <w:tcPr>
            <w:tcW w:w="1843" w:type="dxa"/>
          </w:tcPr>
          <w:p w14:paraId="5BF18186" w14:textId="77777777" w:rsidR="002D6C57" w:rsidRPr="00156773" w:rsidRDefault="002D6C57" w:rsidP="003E2F38">
            <w:pPr>
              <w:suppressAutoHyphens/>
              <w:ind w:right="138"/>
              <w:jc w:val="right"/>
              <w:rPr>
                <w:rFonts w:cs="Arial"/>
                <w:spacing w:val="-2"/>
              </w:rPr>
            </w:pPr>
            <w:r w:rsidRPr="00156773">
              <w:rPr>
                <w:rFonts w:cs="Arial"/>
                <w:spacing w:val="-2"/>
              </w:rPr>
              <w:t>-</w:t>
            </w:r>
          </w:p>
        </w:tc>
        <w:tc>
          <w:tcPr>
            <w:tcW w:w="1842" w:type="dxa"/>
          </w:tcPr>
          <w:p w14:paraId="5B02C7D9" w14:textId="77777777" w:rsidR="002D6C57" w:rsidRPr="00EB2899" w:rsidRDefault="002D6C57" w:rsidP="003E2F38">
            <w:pPr>
              <w:suppressAutoHyphens/>
              <w:ind w:right="138"/>
              <w:jc w:val="right"/>
              <w:rPr>
                <w:rFonts w:cs="Arial"/>
                <w:spacing w:val="-2"/>
              </w:rPr>
            </w:pPr>
            <w:r w:rsidRPr="00EB2899">
              <w:rPr>
                <w:rFonts w:cs="Arial"/>
                <w:spacing w:val="-2"/>
              </w:rPr>
              <w:t>-</w:t>
            </w:r>
          </w:p>
        </w:tc>
      </w:tr>
      <w:tr w:rsidR="002D6C57" w:rsidRPr="00C328EF" w14:paraId="5F7BB0F4" w14:textId="77777777" w:rsidTr="003E2F38">
        <w:tc>
          <w:tcPr>
            <w:tcW w:w="3510" w:type="dxa"/>
          </w:tcPr>
          <w:p w14:paraId="310844A9" w14:textId="77777777" w:rsidR="002D6C57" w:rsidRPr="00EB2899" w:rsidRDefault="002D6C57" w:rsidP="003E2F38">
            <w:pPr>
              <w:jc w:val="both"/>
            </w:pPr>
          </w:p>
        </w:tc>
        <w:tc>
          <w:tcPr>
            <w:tcW w:w="1843" w:type="dxa"/>
          </w:tcPr>
          <w:p w14:paraId="253EC344" w14:textId="77777777" w:rsidR="002D6C57" w:rsidRPr="005E20BF" w:rsidRDefault="002D6C57" w:rsidP="003E2F38">
            <w:pPr>
              <w:suppressAutoHyphens/>
              <w:ind w:right="138"/>
              <w:jc w:val="right"/>
              <w:rPr>
                <w:rFonts w:cs="Arial"/>
                <w:spacing w:val="-2"/>
              </w:rPr>
            </w:pPr>
            <w:r w:rsidRPr="005E20BF">
              <w:rPr>
                <w:rFonts w:cs="Arial"/>
                <w:spacing w:val="-2"/>
              </w:rPr>
              <w:t>──────</w:t>
            </w:r>
          </w:p>
        </w:tc>
        <w:tc>
          <w:tcPr>
            <w:tcW w:w="1843" w:type="dxa"/>
          </w:tcPr>
          <w:p w14:paraId="73D5C032" w14:textId="77777777" w:rsidR="002D6C57" w:rsidRPr="00EB2899" w:rsidRDefault="002D6C57" w:rsidP="003E2F38">
            <w:pPr>
              <w:suppressAutoHyphens/>
              <w:ind w:right="138"/>
              <w:jc w:val="right"/>
              <w:rPr>
                <w:rFonts w:cs="Arial"/>
                <w:spacing w:val="-2"/>
              </w:rPr>
            </w:pPr>
            <w:r w:rsidRPr="00EB2899">
              <w:rPr>
                <w:rFonts w:cs="Arial"/>
                <w:spacing w:val="-2"/>
              </w:rPr>
              <w:t>──────</w:t>
            </w:r>
          </w:p>
        </w:tc>
        <w:tc>
          <w:tcPr>
            <w:tcW w:w="1843" w:type="dxa"/>
          </w:tcPr>
          <w:p w14:paraId="6A3B3CB7" w14:textId="77777777" w:rsidR="002D6C57" w:rsidRPr="00156773" w:rsidRDefault="002D6C57" w:rsidP="003E2F38">
            <w:pPr>
              <w:suppressAutoHyphens/>
              <w:ind w:right="138"/>
              <w:jc w:val="right"/>
              <w:rPr>
                <w:rFonts w:cs="Arial"/>
                <w:spacing w:val="-2"/>
              </w:rPr>
            </w:pPr>
            <w:r w:rsidRPr="00156773">
              <w:rPr>
                <w:rFonts w:cs="Arial"/>
                <w:spacing w:val="-2"/>
              </w:rPr>
              <w:t>─────</w:t>
            </w:r>
          </w:p>
        </w:tc>
        <w:tc>
          <w:tcPr>
            <w:tcW w:w="1842" w:type="dxa"/>
          </w:tcPr>
          <w:p w14:paraId="7D9530BD" w14:textId="77777777" w:rsidR="002D6C57" w:rsidRPr="00EB2899" w:rsidRDefault="002D6C57" w:rsidP="003E2F38">
            <w:pPr>
              <w:suppressAutoHyphens/>
              <w:ind w:right="138"/>
              <w:jc w:val="right"/>
              <w:rPr>
                <w:rFonts w:cs="Arial"/>
                <w:spacing w:val="-2"/>
              </w:rPr>
            </w:pPr>
            <w:r w:rsidRPr="00EB2899">
              <w:rPr>
                <w:rFonts w:cs="Arial"/>
                <w:spacing w:val="-2"/>
              </w:rPr>
              <w:t>─────</w:t>
            </w:r>
          </w:p>
        </w:tc>
      </w:tr>
      <w:tr w:rsidR="002D6C57" w:rsidRPr="00C328EF" w14:paraId="6BF4A4CD" w14:textId="77777777" w:rsidTr="003E2F38">
        <w:tc>
          <w:tcPr>
            <w:tcW w:w="3510" w:type="dxa"/>
          </w:tcPr>
          <w:p w14:paraId="274068DE" w14:textId="77777777" w:rsidR="002D6C57" w:rsidRPr="00EB2899" w:rsidRDefault="002D6C57" w:rsidP="003E2F38">
            <w:pPr>
              <w:jc w:val="both"/>
            </w:pPr>
            <w:r w:rsidRPr="00EB2899">
              <w:t xml:space="preserve">Tax on results for the </w:t>
            </w:r>
            <w:r>
              <w:t>period</w:t>
            </w:r>
          </w:p>
        </w:tc>
        <w:tc>
          <w:tcPr>
            <w:tcW w:w="1843" w:type="dxa"/>
          </w:tcPr>
          <w:p w14:paraId="6D03D986" w14:textId="77777777" w:rsidR="002D6C57" w:rsidRPr="005E20BF" w:rsidRDefault="002D6C57" w:rsidP="003E2F38">
            <w:pPr>
              <w:suppressAutoHyphens/>
              <w:ind w:right="138"/>
              <w:jc w:val="right"/>
              <w:rPr>
                <w:rFonts w:cs="Arial"/>
                <w:spacing w:val="-2"/>
              </w:rPr>
            </w:pPr>
            <w:r w:rsidRPr="005E20BF">
              <w:rPr>
                <w:rFonts w:cs="Arial"/>
                <w:spacing w:val="-2"/>
              </w:rPr>
              <w:t>2,081</w:t>
            </w:r>
          </w:p>
        </w:tc>
        <w:tc>
          <w:tcPr>
            <w:tcW w:w="1843" w:type="dxa"/>
          </w:tcPr>
          <w:p w14:paraId="47BCD175" w14:textId="77777777" w:rsidR="002D6C57" w:rsidRPr="00EB2899" w:rsidRDefault="002D6C57" w:rsidP="003E2F38">
            <w:pPr>
              <w:suppressAutoHyphens/>
              <w:ind w:right="138"/>
              <w:jc w:val="right"/>
              <w:rPr>
                <w:rFonts w:cs="Arial"/>
                <w:spacing w:val="-2"/>
              </w:rPr>
            </w:pPr>
            <w:r w:rsidRPr="00EB2899">
              <w:rPr>
                <w:rFonts w:cs="Arial"/>
                <w:spacing w:val="-2"/>
              </w:rPr>
              <w:t>617</w:t>
            </w:r>
          </w:p>
        </w:tc>
        <w:tc>
          <w:tcPr>
            <w:tcW w:w="1843" w:type="dxa"/>
          </w:tcPr>
          <w:p w14:paraId="31BC3F02" w14:textId="77777777" w:rsidR="002D6C57" w:rsidRPr="00156773" w:rsidRDefault="002D6C57" w:rsidP="003E2F38">
            <w:pPr>
              <w:suppressAutoHyphens/>
              <w:ind w:right="138"/>
              <w:jc w:val="right"/>
              <w:rPr>
                <w:rFonts w:cs="Arial"/>
                <w:spacing w:val="-2"/>
              </w:rPr>
            </w:pPr>
            <w:r w:rsidRPr="00156773">
              <w:rPr>
                <w:rFonts w:cs="Arial"/>
                <w:spacing w:val="-2"/>
              </w:rPr>
              <w:t>(60)</w:t>
            </w:r>
          </w:p>
        </w:tc>
        <w:tc>
          <w:tcPr>
            <w:tcW w:w="1842" w:type="dxa"/>
          </w:tcPr>
          <w:p w14:paraId="1DCA10D6" w14:textId="77777777" w:rsidR="002D6C57" w:rsidRPr="00EB2899" w:rsidRDefault="002D6C57" w:rsidP="003E2F38">
            <w:pPr>
              <w:suppressAutoHyphens/>
              <w:ind w:right="138"/>
              <w:jc w:val="right"/>
              <w:rPr>
                <w:rFonts w:cs="Arial"/>
                <w:spacing w:val="-2"/>
              </w:rPr>
            </w:pPr>
            <w:r w:rsidRPr="00EB2899">
              <w:rPr>
                <w:rFonts w:cs="Arial"/>
                <w:spacing w:val="-2"/>
              </w:rPr>
              <w:t>(39)</w:t>
            </w:r>
          </w:p>
        </w:tc>
      </w:tr>
      <w:tr w:rsidR="002D6C57" w:rsidRPr="00C328EF" w14:paraId="2428E995" w14:textId="77777777" w:rsidTr="003E2F38">
        <w:tc>
          <w:tcPr>
            <w:tcW w:w="3510" w:type="dxa"/>
          </w:tcPr>
          <w:p w14:paraId="23633C1E" w14:textId="77777777" w:rsidR="002D6C57" w:rsidRPr="00C328EF" w:rsidRDefault="002D6C57" w:rsidP="003E2F38">
            <w:pPr>
              <w:jc w:val="both"/>
              <w:rPr>
                <w:highlight w:val="yellow"/>
              </w:rPr>
            </w:pPr>
          </w:p>
        </w:tc>
        <w:tc>
          <w:tcPr>
            <w:tcW w:w="1843" w:type="dxa"/>
          </w:tcPr>
          <w:p w14:paraId="31061740" w14:textId="77777777" w:rsidR="002D6C57" w:rsidRPr="005E20BF" w:rsidRDefault="002D6C57" w:rsidP="003E2F38">
            <w:pPr>
              <w:suppressAutoHyphens/>
              <w:ind w:right="138"/>
              <w:jc w:val="right"/>
              <w:rPr>
                <w:rFonts w:cs="Arial"/>
                <w:spacing w:val="-2"/>
              </w:rPr>
            </w:pPr>
            <w:r w:rsidRPr="005E20BF">
              <w:rPr>
                <w:rFonts w:cs="Arial"/>
                <w:spacing w:val="-2"/>
              </w:rPr>
              <w:t>══════</w:t>
            </w:r>
          </w:p>
        </w:tc>
        <w:tc>
          <w:tcPr>
            <w:tcW w:w="1843" w:type="dxa"/>
          </w:tcPr>
          <w:p w14:paraId="51B6CF9C" w14:textId="77777777" w:rsidR="002D6C57" w:rsidRPr="00EB2899" w:rsidRDefault="002D6C57" w:rsidP="003E2F38">
            <w:pPr>
              <w:suppressAutoHyphens/>
              <w:ind w:right="138"/>
              <w:jc w:val="right"/>
              <w:rPr>
                <w:rFonts w:cs="Arial"/>
                <w:spacing w:val="-2"/>
              </w:rPr>
            </w:pPr>
            <w:r w:rsidRPr="00EB2899">
              <w:rPr>
                <w:rFonts w:cs="Arial"/>
                <w:spacing w:val="-2"/>
              </w:rPr>
              <w:t>══════</w:t>
            </w:r>
          </w:p>
        </w:tc>
        <w:tc>
          <w:tcPr>
            <w:tcW w:w="1843" w:type="dxa"/>
          </w:tcPr>
          <w:p w14:paraId="6D4779F2" w14:textId="77777777" w:rsidR="002D6C57" w:rsidRPr="00156773" w:rsidRDefault="002D6C57" w:rsidP="003E2F38">
            <w:pPr>
              <w:suppressAutoHyphens/>
              <w:ind w:right="138"/>
              <w:jc w:val="right"/>
              <w:rPr>
                <w:rFonts w:cs="Arial"/>
                <w:spacing w:val="-2"/>
              </w:rPr>
            </w:pPr>
            <w:r w:rsidRPr="00156773">
              <w:rPr>
                <w:rFonts w:cs="Arial"/>
                <w:spacing w:val="-2"/>
              </w:rPr>
              <w:t>═════</w:t>
            </w:r>
          </w:p>
        </w:tc>
        <w:tc>
          <w:tcPr>
            <w:tcW w:w="1842" w:type="dxa"/>
          </w:tcPr>
          <w:p w14:paraId="6A1E36CB" w14:textId="77777777" w:rsidR="002D6C57" w:rsidRPr="00EB2899" w:rsidRDefault="002D6C57" w:rsidP="003E2F38">
            <w:pPr>
              <w:suppressAutoHyphens/>
              <w:ind w:right="138"/>
              <w:jc w:val="right"/>
              <w:rPr>
                <w:rFonts w:cs="Arial"/>
                <w:spacing w:val="-2"/>
              </w:rPr>
            </w:pPr>
            <w:r w:rsidRPr="00EB2899">
              <w:rPr>
                <w:rFonts w:cs="Arial"/>
                <w:spacing w:val="-2"/>
              </w:rPr>
              <w:t>═════</w:t>
            </w:r>
          </w:p>
        </w:tc>
      </w:tr>
    </w:tbl>
    <w:p w14:paraId="5095B8D1" w14:textId="77777777" w:rsidR="002D6C57" w:rsidRDefault="002D6C57" w:rsidP="002D6C57">
      <w:pPr>
        <w:tabs>
          <w:tab w:val="left" w:pos="1134"/>
        </w:tabs>
        <w:jc w:val="both"/>
      </w:pPr>
    </w:p>
    <w:p w14:paraId="1AE012E7" w14:textId="77777777" w:rsidR="002D6C57" w:rsidRDefault="002D6C57" w:rsidP="002D6C57">
      <w:pPr>
        <w:tabs>
          <w:tab w:val="left" w:pos="1134"/>
        </w:tabs>
        <w:jc w:val="both"/>
      </w:pPr>
      <w:r w:rsidRPr="00EB2899">
        <w:t xml:space="preserve">The effective tax rate for the </w:t>
      </w:r>
      <w:r>
        <w:t>period</w:t>
      </w:r>
      <w:r w:rsidRPr="00EB2899">
        <w:t xml:space="preserve"> ended </w:t>
      </w:r>
      <w:r>
        <w:t>28</w:t>
      </w:r>
      <w:r w:rsidRPr="00EB2899">
        <w:t xml:space="preserve"> December 2024 is calculated at 25% (2023: 23.52%) of the estimated assessable results for the </w:t>
      </w:r>
      <w:r>
        <w:t>period</w:t>
      </w:r>
      <w:r w:rsidRPr="005E20BF">
        <w:t>. The charge/(credit) for the</w:t>
      </w:r>
      <w:r w:rsidRPr="00EB2899">
        <w:t xml:space="preserve"> </w:t>
      </w:r>
      <w:r>
        <w:t>period</w:t>
      </w:r>
      <w:r w:rsidRPr="00EB2899">
        <w:t xml:space="preserve"> can be reconciled to the </w:t>
      </w:r>
      <w:r w:rsidRPr="005E20BF">
        <w:t>(loss)/profit per</w:t>
      </w:r>
      <w:r w:rsidRPr="00EB2899">
        <w:t xml:space="preserve"> the income statement as follows:</w:t>
      </w:r>
    </w:p>
    <w:p w14:paraId="2141EDC1" w14:textId="77777777" w:rsidR="00B13475" w:rsidRPr="00EB2899" w:rsidRDefault="00B13475" w:rsidP="00B13475">
      <w:pPr>
        <w:tabs>
          <w:tab w:val="left" w:pos="567"/>
          <w:tab w:val="left" w:pos="1134"/>
        </w:tabs>
      </w:pPr>
    </w:p>
    <w:p w14:paraId="794AC3AD" w14:textId="77777777" w:rsidR="006B74D3" w:rsidRPr="00F45179" w:rsidRDefault="006B74D3" w:rsidP="006B74D3">
      <w:pPr>
        <w:pageBreakBefore/>
        <w:ind w:left="79"/>
        <w:jc w:val="center"/>
        <w:rPr>
          <w:b/>
        </w:rPr>
      </w:pPr>
      <w:r w:rsidRPr="00F45179">
        <w:rPr>
          <w:b/>
        </w:rPr>
        <w:lastRenderedPageBreak/>
        <w:t>TRANSPORT FOR EDINBURGH LIMITED</w:t>
      </w:r>
    </w:p>
    <w:p w14:paraId="4441B763" w14:textId="77777777" w:rsidR="006B74D3" w:rsidRPr="00F45179" w:rsidRDefault="006B74D3" w:rsidP="006B74D3">
      <w:pPr>
        <w:jc w:val="center"/>
        <w:rPr>
          <w:b/>
        </w:rPr>
      </w:pPr>
    </w:p>
    <w:p w14:paraId="28252E67" w14:textId="77777777" w:rsidR="006B74D3" w:rsidRPr="00F45179" w:rsidRDefault="006B74D3" w:rsidP="006B74D3">
      <w:pPr>
        <w:jc w:val="center"/>
        <w:rPr>
          <w:b/>
        </w:rPr>
      </w:pPr>
      <w:r w:rsidRPr="00F45179">
        <w:rPr>
          <w:b/>
        </w:rPr>
        <w:t>Notes to the Financial Statements (continued)</w:t>
      </w:r>
    </w:p>
    <w:p w14:paraId="3571EC4D" w14:textId="77777777" w:rsidR="006B74D3" w:rsidRPr="00F45179" w:rsidRDefault="006B74D3" w:rsidP="006B74D3">
      <w:pPr>
        <w:jc w:val="center"/>
        <w:rPr>
          <w:b/>
        </w:rPr>
      </w:pPr>
    </w:p>
    <w:p w14:paraId="6E83195E" w14:textId="77777777" w:rsidR="006B74D3" w:rsidRPr="00F45179" w:rsidRDefault="006B74D3" w:rsidP="006B74D3">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36710B5B" w14:textId="77777777" w:rsidR="006B74D3" w:rsidRDefault="006B74D3" w:rsidP="00B13475">
      <w:pPr>
        <w:tabs>
          <w:tab w:val="left" w:pos="1134"/>
        </w:tabs>
        <w:jc w:val="both"/>
      </w:pPr>
    </w:p>
    <w:p w14:paraId="29CD8497" w14:textId="77777777" w:rsidR="006B74D3" w:rsidRDefault="006B74D3" w:rsidP="00B13475">
      <w:pPr>
        <w:tabs>
          <w:tab w:val="left" w:pos="1134"/>
        </w:tabs>
        <w:jc w:val="both"/>
      </w:pPr>
    </w:p>
    <w:p w14:paraId="4C646939" w14:textId="77777777" w:rsidR="002D6C57" w:rsidRDefault="002D6C57" w:rsidP="00B13475">
      <w:pPr>
        <w:tabs>
          <w:tab w:val="left" w:pos="1134"/>
        </w:tabs>
        <w:jc w:val="both"/>
      </w:pPr>
    </w:p>
    <w:p w14:paraId="43259DC7" w14:textId="77777777" w:rsidR="002D6C57" w:rsidRPr="00EB2899" w:rsidRDefault="001E357F" w:rsidP="001E357F">
      <w:pPr>
        <w:ind w:left="426" w:hanging="568"/>
        <w:rPr>
          <w:b/>
        </w:rPr>
      </w:pPr>
      <w:r>
        <w:rPr>
          <w:b/>
        </w:rPr>
        <w:t xml:space="preserve">6. </w:t>
      </w:r>
      <w:r>
        <w:rPr>
          <w:b/>
        </w:rPr>
        <w:tab/>
      </w:r>
      <w:r w:rsidR="002D6C57" w:rsidRPr="00EB2899">
        <w:rPr>
          <w:b/>
        </w:rPr>
        <w:t>Income tax expense</w:t>
      </w:r>
      <w:r w:rsidR="002D6C57">
        <w:rPr>
          <w:b/>
        </w:rPr>
        <w:t xml:space="preserve"> (continued)</w:t>
      </w:r>
    </w:p>
    <w:p w14:paraId="1522AE9E" w14:textId="77777777" w:rsidR="00B13475" w:rsidRPr="00C328EF" w:rsidRDefault="00B13475" w:rsidP="00B13475">
      <w:pPr>
        <w:tabs>
          <w:tab w:val="left" w:pos="1134"/>
        </w:tabs>
        <w:jc w:val="both"/>
        <w:rPr>
          <w:highlight w:val="yellow"/>
        </w:rPr>
      </w:pPr>
    </w:p>
    <w:tbl>
      <w:tblPr>
        <w:tblW w:w="10881" w:type="dxa"/>
        <w:tblLayout w:type="fixed"/>
        <w:tblLook w:val="0000" w:firstRow="0" w:lastRow="0" w:firstColumn="0" w:lastColumn="0" w:noHBand="0" w:noVBand="0"/>
      </w:tblPr>
      <w:tblGrid>
        <w:gridCol w:w="3510"/>
        <w:gridCol w:w="1843"/>
        <w:gridCol w:w="1843"/>
        <w:gridCol w:w="1843"/>
        <w:gridCol w:w="1842"/>
      </w:tblGrid>
      <w:tr w:rsidR="00B13475" w:rsidRPr="00C328EF" w14:paraId="7D276C17" w14:textId="77777777" w:rsidTr="00F46B8F">
        <w:tc>
          <w:tcPr>
            <w:tcW w:w="3510" w:type="dxa"/>
          </w:tcPr>
          <w:p w14:paraId="6E919646" w14:textId="77777777" w:rsidR="00B13475" w:rsidRPr="00C328EF" w:rsidRDefault="00B13475" w:rsidP="00EC20DB">
            <w:pPr>
              <w:jc w:val="both"/>
              <w:rPr>
                <w:highlight w:val="yellow"/>
              </w:rPr>
            </w:pPr>
          </w:p>
        </w:tc>
        <w:tc>
          <w:tcPr>
            <w:tcW w:w="3686" w:type="dxa"/>
            <w:gridSpan w:val="2"/>
          </w:tcPr>
          <w:p w14:paraId="623EE214" w14:textId="77777777" w:rsidR="00B13475" w:rsidRPr="00EB2899" w:rsidRDefault="00B13475" w:rsidP="00EC20DB">
            <w:pPr>
              <w:ind w:left="282"/>
              <w:jc w:val="center"/>
              <w:rPr>
                <w:b/>
              </w:rPr>
            </w:pPr>
            <w:r w:rsidRPr="00EB2899">
              <w:rPr>
                <w:b/>
              </w:rPr>
              <w:t>Consolidated Group</w:t>
            </w:r>
          </w:p>
        </w:tc>
        <w:tc>
          <w:tcPr>
            <w:tcW w:w="3685" w:type="dxa"/>
            <w:gridSpan w:val="2"/>
          </w:tcPr>
          <w:p w14:paraId="217413C7" w14:textId="77777777" w:rsidR="00B13475" w:rsidRPr="00EB2899" w:rsidRDefault="00B13475" w:rsidP="00EC20DB">
            <w:pPr>
              <w:ind w:left="283"/>
              <w:jc w:val="center"/>
              <w:rPr>
                <w:b/>
              </w:rPr>
            </w:pPr>
            <w:r w:rsidRPr="00EB2899">
              <w:rPr>
                <w:b/>
              </w:rPr>
              <w:t>Parent Entity</w:t>
            </w:r>
          </w:p>
        </w:tc>
      </w:tr>
      <w:tr w:rsidR="00B13475" w:rsidRPr="00C328EF" w14:paraId="21981DAB" w14:textId="77777777" w:rsidTr="00F46B8F">
        <w:tc>
          <w:tcPr>
            <w:tcW w:w="3510" w:type="dxa"/>
          </w:tcPr>
          <w:p w14:paraId="6C6AB466" w14:textId="77777777" w:rsidR="00B13475" w:rsidRPr="00C328EF" w:rsidRDefault="00B13475" w:rsidP="00EC20DB">
            <w:pPr>
              <w:jc w:val="both"/>
              <w:rPr>
                <w:b/>
                <w:highlight w:val="yellow"/>
              </w:rPr>
            </w:pPr>
          </w:p>
        </w:tc>
        <w:tc>
          <w:tcPr>
            <w:tcW w:w="1843" w:type="dxa"/>
          </w:tcPr>
          <w:p w14:paraId="5497AB9C" w14:textId="77777777" w:rsidR="00B13475" w:rsidRPr="00EB2899" w:rsidRDefault="00B13475" w:rsidP="00EC20DB">
            <w:pPr>
              <w:suppressAutoHyphens/>
              <w:ind w:right="138"/>
              <w:jc w:val="right"/>
              <w:rPr>
                <w:rFonts w:cs="Arial"/>
                <w:b/>
                <w:spacing w:val="-2"/>
              </w:rPr>
            </w:pPr>
            <w:r>
              <w:rPr>
                <w:rFonts w:cs="Arial"/>
                <w:b/>
                <w:spacing w:val="-2"/>
              </w:rPr>
              <w:t xml:space="preserve">Period to 28 December </w:t>
            </w:r>
            <w:r w:rsidRPr="00EB2899">
              <w:rPr>
                <w:rFonts w:cs="Arial"/>
                <w:b/>
                <w:spacing w:val="-2"/>
              </w:rPr>
              <w:t>2024</w:t>
            </w:r>
          </w:p>
        </w:tc>
        <w:tc>
          <w:tcPr>
            <w:tcW w:w="1843" w:type="dxa"/>
          </w:tcPr>
          <w:p w14:paraId="599F5191" w14:textId="77777777" w:rsidR="00B13475" w:rsidRPr="00EB2899" w:rsidRDefault="00B13475" w:rsidP="00EC20DB">
            <w:pPr>
              <w:suppressAutoHyphens/>
              <w:ind w:right="138"/>
              <w:jc w:val="right"/>
              <w:rPr>
                <w:rFonts w:cs="Arial"/>
                <w:b/>
                <w:spacing w:val="-2"/>
              </w:rPr>
            </w:pPr>
            <w:r>
              <w:rPr>
                <w:rFonts w:cs="Arial"/>
                <w:b/>
                <w:spacing w:val="-2"/>
              </w:rPr>
              <w:t xml:space="preserve">Period to 30 December </w:t>
            </w:r>
            <w:r w:rsidRPr="00EB2899">
              <w:rPr>
                <w:rFonts w:cs="Arial"/>
                <w:b/>
                <w:spacing w:val="-2"/>
              </w:rPr>
              <w:t>2023</w:t>
            </w:r>
          </w:p>
        </w:tc>
        <w:tc>
          <w:tcPr>
            <w:tcW w:w="1843" w:type="dxa"/>
          </w:tcPr>
          <w:p w14:paraId="500915F8" w14:textId="77777777" w:rsidR="00B13475" w:rsidRPr="00EB2899" w:rsidRDefault="00B13475" w:rsidP="00EC20DB">
            <w:pPr>
              <w:suppressAutoHyphens/>
              <w:ind w:right="138"/>
              <w:jc w:val="right"/>
              <w:rPr>
                <w:rFonts w:cs="Arial"/>
                <w:b/>
                <w:spacing w:val="-2"/>
              </w:rPr>
            </w:pPr>
            <w:r>
              <w:rPr>
                <w:rFonts w:cs="Arial"/>
                <w:b/>
                <w:spacing w:val="-2"/>
              </w:rPr>
              <w:t xml:space="preserve">Period to 28 December </w:t>
            </w:r>
            <w:r w:rsidRPr="00EB2899">
              <w:rPr>
                <w:rFonts w:cs="Arial"/>
                <w:b/>
                <w:spacing w:val="-2"/>
              </w:rPr>
              <w:t>2024</w:t>
            </w:r>
          </w:p>
        </w:tc>
        <w:tc>
          <w:tcPr>
            <w:tcW w:w="1842" w:type="dxa"/>
          </w:tcPr>
          <w:p w14:paraId="079CB353" w14:textId="77777777" w:rsidR="00B13475" w:rsidRPr="00EB2899" w:rsidRDefault="00B13475" w:rsidP="00EC20DB">
            <w:pPr>
              <w:suppressAutoHyphens/>
              <w:ind w:right="138"/>
              <w:jc w:val="right"/>
              <w:rPr>
                <w:rFonts w:cs="Arial"/>
                <w:b/>
                <w:spacing w:val="-2"/>
              </w:rPr>
            </w:pPr>
            <w:r>
              <w:rPr>
                <w:rFonts w:cs="Arial"/>
                <w:b/>
                <w:spacing w:val="-2"/>
              </w:rPr>
              <w:t xml:space="preserve">Period to 30 December </w:t>
            </w:r>
            <w:r w:rsidRPr="00EB2899">
              <w:rPr>
                <w:rFonts w:cs="Arial"/>
                <w:b/>
                <w:spacing w:val="-2"/>
              </w:rPr>
              <w:t>2023</w:t>
            </w:r>
          </w:p>
        </w:tc>
      </w:tr>
      <w:tr w:rsidR="00B13475" w:rsidRPr="00C328EF" w14:paraId="49379123" w14:textId="77777777" w:rsidTr="00F46B8F">
        <w:tc>
          <w:tcPr>
            <w:tcW w:w="3510" w:type="dxa"/>
          </w:tcPr>
          <w:p w14:paraId="63B6EA88" w14:textId="77777777" w:rsidR="00B13475" w:rsidRPr="00C328EF" w:rsidRDefault="00B13475" w:rsidP="00EC20DB">
            <w:pPr>
              <w:jc w:val="both"/>
              <w:rPr>
                <w:b/>
                <w:highlight w:val="yellow"/>
              </w:rPr>
            </w:pPr>
          </w:p>
        </w:tc>
        <w:tc>
          <w:tcPr>
            <w:tcW w:w="1843" w:type="dxa"/>
          </w:tcPr>
          <w:p w14:paraId="7B505332" w14:textId="77777777" w:rsidR="00B13475" w:rsidRPr="00EB2899" w:rsidRDefault="00B13475" w:rsidP="00EC20DB">
            <w:pPr>
              <w:suppressAutoHyphens/>
              <w:ind w:right="138"/>
              <w:jc w:val="right"/>
              <w:rPr>
                <w:rFonts w:cs="Arial"/>
                <w:b/>
                <w:spacing w:val="-2"/>
              </w:rPr>
            </w:pPr>
            <w:r w:rsidRPr="00EB2899">
              <w:rPr>
                <w:rFonts w:cs="Arial"/>
                <w:b/>
                <w:spacing w:val="-2"/>
              </w:rPr>
              <w:t>£’000</w:t>
            </w:r>
          </w:p>
        </w:tc>
        <w:tc>
          <w:tcPr>
            <w:tcW w:w="1843" w:type="dxa"/>
          </w:tcPr>
          <w:p w14:paraId="5394A5AA" w14:textId="77777777" w:rsidR="00B13475" w:rsidRPr="00EB2899" w:rsidRDefault="00B13475" w:rsidP="00EC20DB">
            <w:pPr>
              <w:suppressAutoHyphens/>
              <w:ind w:right="138"/>
              <w:jc w:val="right"/>
              <w:rPr>
                <w:rFonts w:cs="Arial"/>
                <w:b/>
                <w:spacing w:val="-2"/>
              </w:rPr>
            </w:pPr>
            <w:r w:rsidRPr="00EB2899">
              <w:rPr>
                <w:rFonts w:cs="Arial"/>
                <w:b/>
                <w:spacing w:val="-2"/>
              </w:rPr>
              <w:t>£’000</w:t>
            </w:r>
          </w:p>
        </w:tc>
        <w:tc>
          <w:tcPr>
            <w:tcW w:w="1843" w:type="dxa"/>
          </w:tcPr>
          <w:p w14:paraId="08A45862" w14:textId="77777777" w:rsidR="00B13475" w:rsidRPr="00EB2899" w:rsidRDefault="00B13475" w:rsidP="00EC20DB">
            <w:pPr>
              <w:suppressAutoHyphens/>
              <w:ind w:right="138"/>
              <w:jc w:val="right"/>
              <w:rPr>
                <w:rFonts w:cs="Arial"/>
                <w:b/>
                <w:spacing w:val="-2"/>
              </w:rPr>
            </w:pPr>
            <w:r w:rsidRPr="00EB2899">
              <w:rPr>
                <w:rFonts w:cs="Arial"/>
                <w:b/>
                <w:spacing w:val="-2"/>
              </w:rPr>
              <w:t>£’000</w:t>
            </w:r>
          </w:p>
        </w:tc>
        <w:tc>
          <w:tcPr>
            <w:tcW w:w="1842" w:type="dxa"/>
          </w:tcPr>
          <w:p w14:paraId="23DF511D" w14:textId="77777777" w:rsidR="00B13475" w:rsidRPr="00EB2899" w:rsidRDefault="00B13475" w:rsidP="00EC20DB">
            <w:pPr>
              <w:suppressAutoHyphens/>
              <w:ind w:right="138"/>
              <w:jc w:val="right"/>
              <w:rPr>
                <w:rFonts w:cs="Arial"/>
                <w:b/>
                <w:spacing w:val="-2"/>
              </w:rPr>
            </w:pPr>
            <w:r w:rsidRPr="00EB2899">
              <w:rPr>
                <w:rFonts w:cs="Arial"/>
                <w:b/>
                <w:spacing w:val="-2"/>
              </w:rPr>
              <w:t>£’000</w:t>
            </w:r>
          </w:p>
        </w:tc>
      </w:tr>
      <w:tr w:rsidR="00B13475" w:rsidRPr="00C328EF" w14:paraId="7A854B8C" w14:textId="77777777" w:rsidTr="00F46B8F">
        <w:tc>
          <w:tcPr>
            <w:tcW w:w="3510" w:type="dxa"/>
          </w:tcPr>
          <w:p w14:paraId="73C7D01E" w14:textId="77777777" w:rsidR="00B13475" w:rsidRPr="00C328EF" w:rsidRDefault="00B13475" w:rsidP="00EC20DB">
            <w:pPr>
              <w:ind w:left="546"/>
              <w:jc w:val="both"/>
              <w:rPr>
                <w:highlight w:val="yellow"/>
              </w:rPr>
            </w:pPr>
          </w:p>
        </w:tc>
        <w:tc>
          <w:tcPr>
            <w:tcW w:w="1843" w:type="dxa"/>
          </w:tcPr>
          <w:p w14:paraId="5387F806" w14:textId="77777777" w:rsidR="00B13475" w:rsidRPr="00C328EF" w:rsidRDefault="00B13475" w:rsidP="00EC20DB">
            <w:pPr>
              <w:tabs>
                <w:tab w:val="decimal" w:pos="1026"/>
              </w:tabs>
              <w:jc w:val="both"/>
              <w:rPr>
                <w:highlight w:val="yellow"/>
              </w:rPr>
            </w:pPr>
          </w:p>
        </w:tc>
        <w:tc>
          <w:tcPr>
            <w:tcW w:w="1843" w:type="dxa"/>
          </w:tcPr>
          <w:p w14:paraId="2242D207" w14:textId="77777777" w:rsidR="00B13475" w:rsidRPr="00C328EF" w:rsidRDefault="00B13475" w:rsidP="00EC20DB">
            <w:pPr>
              <w:tabs>
                <w:tab w:val="decimal" w:pos="1026"/>
              </w:tabs>
              <w:jc w:val="both"/>
              <w:rPr>
                <w:highlight w:val="yellow"/>
              </w:rPr>
            </w:pPr>
          </w:p>
        </w:tc>
        <w:tc>
          <w:tcPr>
            <w:tcW w:w="1843" w:type="dxa"/>
          </w:tcPr>
          <w:p w14:paraId="788013D5" w14:textId="77777777" w:rsidR="00B13475" w:rsidRPr="00C328EF" w:rsidRDefault="00B13475" w:rsidP="00EC20DB">
            <w:pPr>
              <w:tabs>
                <w:tab w:val="decimal" w:pos="1026"/>
              </w:tabs>
              <w:jc w:val="both"/>
              <w:rPr>
                <w:highlight w:val="yellow"/>
              </w:rPr>
            </w:pPr>
          </w:p>
        </w:tc>
        <w:tc>
          <w:tcPr>
            <w:tcW w:w="1842" w:type="dxa"/>
          </w:tcPr>
          <w:p w14:paraId="6485C28B" w14:textId="77777777" w:rsidR="00B13475" w:rsidRPr="00C328EF" w:rsidRDefault="00B13475" w:rsidP="00EC20DB">
            <w:pPr>
              <w:tabs>
                <w:tab w:val="decimal" w:pos="1026"/>
              </w:tabs>
              <w:jc w:val="both"/>
              <w:rPr>
                <w:highlight w:val="yellow"/>
              </w:rPr>
            </w:pPr>
          </w:p>
        </w:tc>
      </w:tr>
      <w:tr w:rsidR="00B13475" w:rsidRPr="00C328EF" w14:paraId="4860A13D" w14:textId="77777777" w:rsidTr="00F46B8F">
        <w:tc>
          <w:tcPr>
            <w:tcW w:w="3510" w:type="dxa"/>
          </w:tcPr>
          <w:p w14:paraId="66B04021" w14:textId="77777777" w:rsidR="00B13475" w:rsidRPr="005E20BF" w:rsidRDefault="00B13475" w:rsidP="00EC20DB">
            <w:r w:rsidRPr="005E20BF">
              <w:t xml:space="preserve">(Loss)/profit for the </w:t>
            </w:r>
            <w:r>
              <w:t>period</w:t>
            </w:r>
            <w:r w:rsidRPr="005E20BF">
              <w:t xml:space="preserve"> before taxation</w:t>
            </w:r>
          </w:p>
        </w:tc>
        <w:tc>
          <w:tcPr>
            <w:tcW w:w="1843" w:type="dxa"/>
          </w:tcPr>
          <w:p w14:paraId="12991F03" w14:textId="77777777" w:rsidR="00B13475" w:rsidRPr="005E20BF" w:rsidRDefault="00B13475" w:rsidP="00EC20DB">
            <w:pPr>
              <w:suppressAutoHyphens/>
              <w:ind w:right="138"/>
              <w:jc w:val="right"/>
              <w:rPr>
                <w:rFonts w:cs="Arial"/>
                <w:spacing w:val="-2"/>
              </w:rPr>
            </w:pPr>
            <w:r w:rsidRPr="005E20BF">
              <w:rPr>
                <w:rFonts w:cs="Arial"/>
                <w:spacing w:val="-2"/>
              </w:rPr>
              <w:t>(4,440)</w:t>
            </w:r>
          </w:p>
        </w:tc>
        <w:tc>
          <w:tcPr>
            <w:tcW w:w="1843" w:type="dxa"/>
          </w:tcPr>
          <w:p w14:paraId="17477495" w14:textId="77777777" w:rsidR="00B13475" w:rsidRPr="00EB2899" w:rsidRDefault="00B13475" w:rsidP="00EC20DB">
            <w:pPr>
              <w:suppressAutoHyphens/>
              <w:ind w:right="138"/>
              <w:jc w:val="right"/>
              <w:rPr>
                <w:rFonts w:cs="Arial"/>
                <w:spacing w:val="-2"/>
              </w:rPr>
            </w:pPr>
            <w:r w:rsidRPr="00EB2899">
              <w:rPr>
                <w:rFonts w:cs="Arial"/>
                <w:spacing w:val="-2"/>
              </w:rPr>
              <w:t>4,739</w:t>
            </w:r>
          </w:p>
        </w:tc>
        <w:tc>
          <w:tcPr>
            <w:tcW w:w="1843" w:type="dxa"/>
          </w:tcPr>
          <w:p w14:paraId="2B503E57" w14:textId="77777777" w:rsidR="00B13475" w:rsidRPr="00156773" w:rsidRDefault="00B13475" w:rsidP="00EC20DB">
            <w:pPr>
              <w:suppressAutoHyphens/>
              <w:ind w:right="138"/>
              <w:jc w:val="right"/>
              <w:rPr>
                <w:rFonts w:cs="Arial"/>
                <w:spacing w:val="-2"/>
              </w:rPr>
            </w:pPr>
            <w:r w:rsidRPr="00156773">
              <w:rPr>
                <w:rFonts w:cs="Arial"/>
                <w:spacing w:val="-2"/>
              </w:rPr>
              <w:t>(8,239)</w:t>
            </w:r>
          </w:p>
        </w:tc>
        <w:tc>
          <w:tcPr>
            <w:tcW w:w="1842" w:type="dxa"/>
          </w:tcPr>
          <w:p w14:paraId="40744AA6" w14:textId="77777777" w:rsidR="00B13475" w:rsidRPr="00EB2899" w:rsidRDefault="00B13475" w:rsidP="00EC20DB">
            <w:pPr>
              <w:suppressAutoHyphens/>
              <w:ind w:right="138"/>
              <w:jc w:val="right"/>
              <w:rPr>
                <w:rFonts w:cs="Arial"/>
                <w:spacing w:val="-2"/>
              </w:rPr>
            </w:pPr>
            <w:r w:rsidRPr="00EB2899">
              <w:rPr>
                <w:rFonts w:cs="Arial"/>
                <w:spacing w:val="-2"/>
              </w:rPr>
              <w:t>(9,258)</w:t>
            </w:r>
          </w:p>
        </w:tc>
      </w:tr>
      <w:tr w:rsidR="00B13475" w:rsidRPr="00C328EF" w14:paraId="0B03ED86" w14:textId="77777777" w:rsidTr="00F46B8F">
        <w:tc>
          <w:tcPr>
            <w:tcW w:w="3510" w:type="dxa"/>
          </w:tcPr>
          <w:p w14:paraId="3E168052" w14:textId="77777777" w:rsidR="00B13475" w:rsidRPr="005E20BF" w:rsidRDefault="00B13475" w:rsidP="00EC20DB"/>
        </w:tc>
        <w:tc>
          <w:tcPr>
            <w:tcW w:w="1843" w:type="dxa"/>
          </w:tcPr>
          <w:p w14:paraId="0045977E" w14:textId="77777777" w:rsidR="00B13475" w:rsidRPr="005E20BF" w:rsidRDefault="00B13475" w:rsidP="00EC20DB">
            <w:pPr>
              <w:suppressAutoHyphens/>
              <w:ind w:right="138"/>
              <w:jc w:val="right"/>
              <w:rPr>
                <w:rFonts w:cs="Arial"/>
                <w:spacing w:val="-2"/>
              </w:rPr>
            </w:pPr>
            <w:r w:rsidRPr="005E20BF">
              <w:rPr>
                <w:rFonts w:cs="Arial"/>
                <w:spacing w:val="-2"/>
              </w:rPr>
              <w:t>──────</w:t>
            </w:r>
          </w:p>
        </w:tc>
        <w:tc>
          <w:tcPr>
            <w:tcW w:w="1843" w:type="dxa"/>
          </w:tcPr>
          <w:p w14:paraId="08D17E1D" w14:textId="77777777" w:rsidR="00B13475" w:rsidRPr="00EB2899" w:rsidRDefault="00B13475" w:rsidP="00EC20DB">
            <w:pPr>
              <w:suppressAutoHyphens/>
              <w:ind w:right="138"/>
              <w:jc w:val="right"/>
              <w:rPr>
                <w:rFonts w:cs="Arial"/>
                <w:spacing w:val="-2"/>
              </w:rPr>
            </w:pPr>
            <w:r w:rsidRPr="00EB2899">
              <w:rPr>
                <w:rFonts w:cs="Arial"/>
                <w:spacing w:val="-2"/>
              </w:rPr>
              <w:t>──────</w:t>
            </w:r>
          </w:p>
        </w:tc>
        <w:tc>
          <w:tcPr>
            <w:tcW w:w="1843" w:type="dxa"/>
          </w:tcPr>
          <w:p w14:paraId="67DFE0FF" w14:textId="77777777" w:rsidR="00B13475" w:rsidRPr="00156773" w:rsidRDefault="00B13475" w:rsidP="006B74D3">
            <w:pPr>
              <w:suppressAutoHyphens/>
              <w:ind w:right="173"/>
              <w:jc w:val="right"/>
              <w:rPr>
                <w:rFonts w:cs="Arial"/>
                <w:spacing w:val="-2"/>
              </w:rPr>
            </w:pPr>
            <w:r w:rsidRPr="00156773">
              <w:rPr>
                <w:rFonts w:cs="Arial"/>
                <w:spacing w:val="-2"/>
              </w:rPr>
              <w:t>─────</w:t>
            </w:r>
          </w:p>
        </w:tc>
        <w:tc>
          <w:tcPr>
            <w:tcW w:w="1842" w:type="dxa"/>
          </w:tcPr>
          <w:p w14:paraId="12C78347" w14:textId="77777777" w:rsidR="00B13475" w:rsidRPr="00EB2899" w:rsidRDefault="00B13475" w:rsidP="00EC20DB">
            <w:pPr>
              <w:suppressAutoHyphens/>
              <w:ind w:right="57"/>
              <w:jc w:val="center"/>
              <w:rPr>
                <w:rFonts w:cs="Arial"/>
                <w:spacing w:val="-2"/>
              </w:rPr>
            </w:pPr>
            <w:r w:rsidRPr="00EB2899">
              <w:rPr>
                <w:rFonts w:cs="Arial"/>
                <w:spacing w:val="-2"/>
              </w:rPr>
              <w:t>─────</w:t>
            </w:r>
          </w:p>
        </w:tc>
      </w:tr>
      <w:tr w:rsidR="00B13475" w:rsidRPr="00C328EF" w14:paraId="60620A13" w14:textId="77777777" w:rsidTr="00F46B8F">
        <w:tc>
          <w:tcPr>
            <w:tcW w:w="3510" w:type="dxa"/>
          </w:tcPr>
          <w:p w14:paraId="30BBE008" w14:textId="77777777" w:rsidR="00B13475" w:rsidRPr="005E20BF" w:rsidRDefault="00B13475" w:rsidP="00EC20DB">
            <w:pPr>
              <w:ind w:right="-57"/>
            </w:pPr>
            <w:r w:rsidRPr="005E20BF">
              <w:t xml:space="preserve">(Loss)/profit for the </w:t>
            </w:r>
            <w:r>
              <w:t>period</w:t>
            </w:r>
            <w:r w:rsidRPr="005E20BF">
              <w:t xml:space="preserve"> at the effective rate of corporation tax of 25% (2023 – 23.52%)</w:t>
            </w:r>
          </w:p>
        </w:tc>
        <w:tc>
          <w:tcPr>
            <w:tcW w:w="1843" w:type="dxa"/>
          </w:tcPr>
          <w:p w14:paraId="328E6F25" w14:textId="77777777" w:rsidR="00B13475" w:rsidRPr="005E20BF" w:rsidRDefault="00B13475" w:rsidP="00EC20DB">
            <w:pPr>
              <w:suppressAutoHyphens/>
              <w:ind w:right="138"/>
              <w:jc w:val="right"/>
              <w:rPr>
                <w:rFonts w:cs="Arial"/>
                <w:spacing w:val="-2"/>
              </w:rPr>
            </w:pPr>
          </w:p>
          <w:p w14:paraId="1D4AA8EC" w14:textId="77777777" w:rsidR="00B13475" w:rsidRPr="005E20BF" w:rsidRDefault="00B13475" w:rsidP="00EC20DB">
            <w:pPr>
              <w:suppressAutoHyphens/>
              <w:ind w:right="138"/>
              <w:jc w:val="right"/>
              <w:rPr>
                <w:rFonts w:cs="Arial"/>
                <w:spacing w:val="-2"/>
              </w:rPr>
            </w:pPr>
            <w:r w:rsidRPr="005E20BF">
              <w:rPr>
                <w:rFonts w:cs="Arial"/>
                <w:spacing w:val="-2"/>
              </w:rPr>
              <w:t>(1,110)</w:t>
            </w:r>
          </w:p>
        </w:tc>
        <w:tc>
          <w:tcPr>
            <w:tcW w:w="1843" w:type="dxa"/>
          </w:tcPr>
          <w:p w14:paraId="543F2E57" w14:textId="77777777" w:rsidR="00B13475" w:rsidRPr="00EB2899" w:rsidRDefault="00B13475" w:rsidP="00EC20DB">
            <w:pPr>
              <w:suppressAutoHyphens/>
              <w:ind w:right="138"/>
              <w:jc w:val="right"/>
              <w:rPr>
                <w:rFonts w:cs="Arial"/>
                <w:spacing w:val="-2"/>
              </w:rPr>
            </w:pPr>
          </w:p>
          <w:p w14:paraId="16E199D2" w14:textId="77777777" w:rsidR="00B13475" w:rsidRPr="00EB2899" w:rsidRDefault="00B13475" w:rsidP="00EC20DB">
            <w:pPr>
              <w:suppressAutoHyphens/>
              <w:ind w:right="138"/>
              <w:jc w:val="right"/>
              <w:rPr>
                <w:rFonts w:cs="Arial"/>
                <w:spacing w:val="-2"/>
              </w:rPr>
            </w:pPr>
            <w:r w:rsidRPr="00EB2899">
              <w:rPr>
                <w:rFonts w:cs="Arial"/>
                <w:spacing w:val="-2"/>
              </w:rPr>
              <w:t>1,115</w:t>
            </w:r>
          </w:p>
        </w:tc>
        <w:tc>
          <w:tcPr>
            <w:tcW w:w="1843" w:type="dxa"/>
          </w:tcPr>
          <w:p w14:paraId="67D6DB70" w14:textId="77777777" w:rsidR="00B13475" w:rsidRPr="00156773" w:rsidRDefault="00B13475" w:rsidP="00EC20DB">
            <w:pPr>
              <w:suppressAutoHyphens/>
              <w:ind w:right="138"/>
              <w:jc w:val="right"/>
              <w:rPr>
                <w:rFonts w:cs="Arial"/>
                <w:spacing w:val="-2"/>
              </w:rPr>
            </w:pPr>
          </w:p>
          <w:p w14:paraId="38AD42D6" w14:textId="77777777" w:rsidR="00B13475" w:rsidRPr="00156773" w:rsidRDefault="00B13475" w:rsidP="00EC20DB">
            <w:pPr>
              <w:suppressAutoHyphens/>
              <w:ind w:right="138"/>
              <w:jc w:val="right"/>
              <w:rPr>
                <w:rFonts w:cs="Arial"/>
                <w:spacing w:val="-2"/>
              </w:rPr>
            </w:pPr>
            <w:r w:rsidRPr="00156773">
              <w:rPr>
                <w:rFonts w:cs="Arial"/>
                <w:spacing w:val="-2"/>
              </w:rPr>
              <w:t>(2,060)</w:t>
            </w:r>
          </w:p>
        </w:tc>
        <w:tc>
          <w:tcPr>
            <w:tcW w:w="1842" w:type="dxa"/>
          </w:tcPr>
          <w:p w14:paraId="69E9DBD7" w14:textId="77777777" w:rsidR="00B13475" w:rsidRPr="00EB2899" w:rsidRDefault="00B13475" w:rsidP="00EC20DB">
            <w:pPr>
              <w:suppressAutoHyphens/>
              <w:ind w:right="138"/>
              <w:jc w:val="right"/>
              <w:rPr>
                <w:rFonts w:cs="Arial"/>
                <w:spacing w:val="-2"/>
              </w:rPr>
            </w:pPr>
          </w:p>
          <w:p w14:paraId="4BA3A79D" w14:textId="77777777" w:rsidR="00B13475" w:rsidRPr="00EB2899" w:rsidRDefault="00B13475" w:rsidP="00EC20DB">
            <w:pPr>
              <w:suppressAutoHyphens/>
              <w:ind w:right="138"/>
              <w:jc w:val="right"/>
              <w:rPr>
                <w:rFonts w:cs="Arial"/>
                <w:spacing w:val="-2"/>
              </w:rPr>
            </w:pPr>
            <w:r w:rsidRPr="00EB2899">
              <w:rPr>
                <w:rFonts w:cs="Arial"/>
                <w:spacing w:val="-2"/>
              </w:rPr>
              <w:t>(2,177)</w:t>
            </w:r>
          </w:p>
        </w:tc>
      </w:tr>
      <w:tr w:rsidR="00B13475" w:rsidRPr="00C328EF" w14:paraId="607A2D69" w14:textId="77777777" w:rsidTr="00F46B8F">
        <w:tc>
          <w:tcPr>
            <w:tcW w:w="3510" w:type="dxa"/>
          </w:tcPr>
          <w:p w14:paraId="2C296527" w14:textId="77777777" w:rsidR="00B13475" w:rsidRPr="00EB2899" w:rsidRDefault="00B13475" w:rsidP="00EC20DB">
            <w:r w:rsidRPr="00EB2899">
              <w:t>Effects of:</w:t>
            </w:r>
          </w:p>
        </w:tc>
        <w:tc>
          <w:tcPr>
            <w:tcW w:w="1843" w:type="dxa"/>
          </w:tcPr>
          <w:p w14:paraId="4B1A525F" w14:textId="77777777" w:rsidR="00B13475" w:rsidRPr="00C328EF" w:rsidRDefault="00B13475" w:rsidP="00EC20DB">
            <w:pPr>
              <w:suppressAutoHyphens/>
              <w:ind w:right="138"/>
              <w:jc w:val="right"/>
              <w:rPr>
                <w:rFonts w:cs="Arial"/>
                <w:spacing w:val="-2"/>
                <w:highlight w:val="yellow"/>
              </w:rPr>
            </w:pPr>
          </w:p>
        </w:tc>
        <w:tc>
          <w:tcPr>
            <w:tcW w:w="1843" w:type="dxa"/>
          </w:tcPr>
          <w:p w14:paraId="4BD6F21C" w14:textId="77777777" w:rsidR="00B13475" w:rsidRPr="00EB2899" w:rsidRDefault="00B13475" w:rsidP="00EC20DB">
            <w:pPr>
              <w:suppressAutoHyphens/>
              <w:ind w:right="138"/>
              <w:jc w:val="right"/>
              <w:rPr>
                <w:rFonts w:cs="Arial"/>
                <w:spacing w:val="-2"/>
              </w:rPr>
            </w:pPr>
          </w:p>
        </w:tc>
        <w:tc>
          <w:tcPr>
            <w:tcW w:w="1843" w:type="dxa"/>
          </w:tcPr>
          <w:p w14:paraId="1012EFB8" w14:textId="77777777" w:rsidR="00B13475" w:rsidRPr="00C328EF" w:rsidRDefault="00B13475" w:rsidP="00EC20DB">
            <w:pPr>
              <w:suppressAutoHyphens/>
              <w:ind w:right="138"/>
              <w:jc w:val="right"/>
              <w:rPr>
                <w:rFonts w:cs="Arial"/>
                <w:spacing w:val="-2"/>
                <w:highlight w:val="yellow"/>
              </w:rPr>
            </w:pPr>
          </w:p>
        </w:tc>
        <w:tc>
          <w:tcPr>
            <w:tcW w:w="1842" w:type="dxa"/>
          </w:tcPr>
          <w:p w14:paraId="41832DA0" w14:textId="77777777" w:rsidR="00B13475" w:rsidRPr="00EB2899" w:rsidRDefault="00B13475" w:rsidP="00EC20DB">
            <w:pPr>
              <w:suppressAutoHyphens/>
              <w:ind w:right="138"/>
              <w:jc w:val="right"/>
              <w:rPr>
                <w:rFonts w:cs="Arial"/>
                <w:spacing w:val="-2"/>
              </w:rPr>
            </w:pPr>
          </w:p>
        </w:tc>
      </w:tr>
      <w:tr w:rsidR="00B13475" w:rsidRPr="00C328EF" w14:paraId="6F199D4A" w14:textId="77777777" w:rsidTr="00F46B8F">
        <w:tc>
          <w:tcPr>
            <w:tcW w:w="3510" w:type="dxa"/>
          </w:tcPr>
          <w:p w14:paraId="4A2D10A0" w14:textId="77777777" w:rsidR="00B13475" w:rsidRPr="00EB2899" w:rsidRDefault="00B13475" w:rsidP="00EC20DB">
            <w:pPr>
              <w:jc w:val="both"/>
            </w:pPr>
            <w:r w:rsidRPr="00EB2899">
              <w:t xml:space="preserve">Chargeable </w:t>
            </w:r>
            <w:r w:rsidRPr="0008397D">
              <w:t>(losses)/gains</w:t>
            </w:r>
          </w:p>
        </w:tc>
        <w:tc>
          <w:tcPr>
            <w:tcW w:w="1843" w:type="dxa"/>
          </w:tcPr>
          <w:p w14:paraId="3DE3B127" w14:textId="77777777" w:rsidR="00B13475" w:rsidRPr="00C328EF" w:rsidRDefault="00B13475" w:rsidP="00EC20DB">
            <w:pPr>
              <w:suppressAutoHyphens/>
              <w:ind w:right="138"/>
              <w:jc w:val="right"/>
              <w:rPr>
                <w:rFonts w:cs="Arial"/>
                <w:spacing w:val="-2"/>
                <w:highlight w:val="yellow"/>
              </w:rPr>
            </w:pPr>
            <w:r w:rsidRPr="005E20BF">
              <w:rPr>
                <w:rFonts w:cs="Arial"/>
                <w:spacing w:val="-2"/>
              </w:rPr>
              <w:t>(2)</w:t>
            </w:r>
          </w:p>
        </w:tc>
        <w:tc>
          <w:tcPr>
            <w:tcW w:w="1843" w:type="dxa"/>
          </w:tcPr>
          <w:p w14:paraId="630FF5A4" w14:textId="77777777" w:rsidR="00B13475" w:rsidRPr="00EB2899" w:rsidRDefault="00B13475" w:rsidP="00EC20DB">
            <w:pPr>
              <w:suppressAutoHyphens/>
              <w:ind w:right="138"/>
              <w:jc w:val="right"/>
              <w:rPr>
                <w:rFonts w:cs="Arial"/>
                <w:spacing w:val="-2"/>
              </w:rPr>
            </w:pPr>
            <w:r w:rsidRPr="00EB2899">
              <w:rPr>
                <w:rFonts w:cs="Arial"/>
                <w:spacing w:val="-2"/>
              </w:rPr>
              <w:t>2</w:t>
            </w:r>
          </w:p>
        </w:tc>
        <w:tc>
          <w:tcPr>
            <w:tcW w:w="1843" w:type="dxa"/>
          </w:tcPr>
          <w:p w14:paraId="764F7190" w14:textId="77777777" w:rsidR="00B13475" w:rsidRPr="00FE3510" w:rsidRDefault="00B13475" w:rsidP="00EC20DB">
            <w:pPr>
              <w:suppressAutoHyphens/>
              <w:ind w:right="138"/>
              <w:jc w:val="right"/>
              <w:rPr>
                <w:rFonts w:cs="Arial"/>
                <w:spacing w:val="-2"/>
              </w:rPr>
            </w:pPr>
            <w:r w:rsidRPr="00FE3510">
              <w:rPr>
                <w:rFonts w:cs="Arial"/>
                <w:spacing w:val="-2"/>
              </w:rPr>
              <w:t>-</w:t>
            </w:r>
          </w:p>
        </w:tc>
        <w:tc>
          <w:tcPr>
            <w:tcW w:w="1842" w:type="dxa"/>
          </w:tcPr>
          <w:p w14:paraId="60C48B1C" w14:textId="77777777" w:rsidR="00B13475" w:rsidRPr="00EB2899" w:rsidRDefault="00B13475" w:rsidP="00EC20DB">
            <w:pPr>
              <w:suppressAutoHyphens/>
              <w:ind w:right="138"/>
              <w:jc w:val="right"/>
              <w:rPr>
                <w:rFonts w:cs="Arial"/>
                <w:spacing w:val="-2"/>
              </w:rPr>
            </w:pPr>
            <w:r w:rsidRPr="00EB2899">
              <w:rPr>
                <w:rFonts w:cs="Arial"/>
                <w:spacing w:val="-2"/>
              </w:rPr>
              <w:t>-</w:t>
            </w:r>
          </w:p>
        </w:tc>
      </w:tr>
      <w:tr w:rsidR="00B13475" w:rsidRPr="00C328EF" w14:paraId="3FDBDFF7" w14:textId="77777777" w:rsidTr="00F46B8F">
        <w:tc>
          <w:tcPr>
            <w:tcW w:w="3510" w:type="dxa"/>
          </w:tcPr>
          <w:p w14:paraId="44B42435" w14:textId="77777777" w:rsidR="00B13475" w:rsidRPr="00EB2899" w:rsidRDefault="00B13475" w:rsidP="00EC20DB">
            <w:pPr>
              <w:jc w:val="both"/>
            </w:pPr>
            <w:r w:rsidRPr="00EB2899">
              <w:t>Expenses not deductible for tax purposes</w:t>
            </w:r>
          </w:p>
        </w:tc>
        <w:tc>
          <w:tcPr>
            <w:tcW w:w="1843" w:type="dxa"/>
          </w:tcPr>
          <w:p w14:paraId="4DDDD6B3" w14:textId="77777777" w:rsidR="00B13475" w:rsidRPr="00C328EF" w:rsidRDefault="00B13475" w:rsidP="00EC20DB">
            <w:pPr>
              <w:suppressAutoHyphens/>
              <w:ind w:right="138"/>
              <w:jc w:val="right"/>
              <w:rPr>
                <w:rFonts w:cs="Arial"/>
                <w:spacing w:val="-2"/>
                <w:highlight w:val="yellow"/>
              </w:rPr>
            </w:pPr>
            <w:r w:rsidRPr="0008397D">
              <w:rPr>
                <w:rFonts w:cs="Arial"/>
                <w:spacing w:val="-2"/>
              </w:rPr>
              <w:t>1,30</w:t>
            </w:r>
            <w:r>
              <w:rPr>
                <w:rFonts w:cs="Arial"/>
                <w:spacing w:val="-2"/>
              </w:rPr>
              <w:t>3</w:t>
            </w:r>
          </w:p>
        </w:tc>
        <w:tc>
          <w:tcPr>
            <w:tcW w:w="1843" w:type="dxa"/>
          </w:tcPr>
          <w:p w14:paraId="52827BE0" w14:textId="77777777" w:rsidR="00B13475" w:rsidRPr="00EB2899" w:rsidRDefault="00B13475" w:rsidP="00EC20DB">
            <w:pPr>
              <w:suppressAutoHyphens/>
              <w:ind w:right="138"/>
              <w:jc w:val="right"/>
              <w:rPr>
                <w:rFonts w:cs="Arial"/>
                <w:spacing w:val="-2"/>
              </w:rPr>
            </w:pPr>
            <w:r w:rsidRPr="00EB2899">
              <w:rPr>
                <w:rFonts w:cs="Arial"/>
                <w:spacing w:val="-2"/>
              </w:rPr>
              <w:t>744</w:t>
            </w:r>
          </w:p>
        </w:tc>
        <w:tc>
          <w:tcPr>
            <w:tcW w:w="1843" w:type="dxa"/>
          </w:tcPr>
          <w:p w14:paraId="72D71AF6" w14:textId="77777777" w:rsidR="00B13475" w:rsidRPr="00FE3510" w:rsidRDefault="00B13475" w:rsidP="00EC20DB">
            <w:pPr>
              <w:suppressAutoHyphens/>
              <w:ind w:right="138"/>
              <w:jc w:val="right"/>
              <w:rPr>
                <w:rFonts w:cs="Arial"/>
                <w:spacing w:val="-2"/>
              </w:rPr>
            </w:pPr>
            <w:r w:rsidRPr="00FE3510">
              <w:rPr>
                <w:rFonts w:cs="Arial"/>
                <w:spacing w:val="-2"/>
              </w:rPr>
              <w:t>2,000</w:t>
            </w:r>
          </w:p>
        </w:tc>
        <w:tc>
          <w:tcPr>
            <w:tcW w:w="1842" w:type="dxa"/>
          </w:tcPr>
          <w:p w14:paraId="4132405C" w14:textId="77777777" w:rsidR="00B13475" w:rsidRPr="00EB2899" w:rsidRDefault="00B13475" w:rsidP="00EC20DB">
            <w:pPr>
              <w:suppressAutoHyphens/>
              <w:ind w:right="138"/>
              <w:jc w:val="right"/>
              <w:rPr>
                <w:rFonts w:cs="Arial"/>
                <w:spacing w:val="-2"/>
              </w:rPr>
            </w:pPr>
            <w:r w:rsidRPr="00EB2899">
              <w:rPr>
                <w:rFonts w:cs="Arial"/>
                <w:spacing w:val="-2"/>
              </w:rPr>
              <w:t>2,822</w:t>
            </w:r>
          </w:p>
        </w:tc>
      </w:tr>
      <w:tr w:rsidR="00B13475" w:rsidRPr="00C328EF" w14:paraId="627CF332" w14:textId="77777777" w:rsidTr="00F46B8F">
        <w:tc>
          <w:tcPr>
            <w:tcW w:w="3510" w:type="dxa"/>
          </w:tcPr>
          <w:p w14:paraId="712BD8B3" w14:textId="77777777" w:rsidR="00B13475" w:rsidRPr="00EB2899" w:rsidRDefault="00B13475" w:rsidP="00EC20DB">
            <w:pPr>
              <w:jc w:val="both"/>
            </w:pPr>
            <w:r w:rsidRPr="00EB2899">
              <w:t>Income not taxable for tax purposes</w:t>
            </w:r>
          </w:p>
        </w:tc>
        <w:tc>
          <w:tcPr>
            <w:tcW w:w="1843" w:type="dxa"/>
          </w:tcPr>
          <w:p w14:paraId="3A25404A" w14:textId="77777777" w:rsidR="00B13475" w:rsidRPr="00C328EF" w:rsidRDefault="00B13475" w:rsidP="00EC20DB">
            <w:pPr>
              <w:suppressAutoHyphens/>
              <w:ind w:right="138"/>
              <w:jc w:val="right"/>
              <w:rPr>
                <w:rFonts w:cs="Arial"/>
                <w:spacing w:val="-2"/>
                <w:highlight w:val="yellow"/>
              </w:rPr>
            </w:pPr>
            <w:r w:rsidRPr="0008397D">
              <w:rPr>
                <w:rFonts w:cs="Arial"/>
                <w:spacing w:val="-2"/>
              </w:rPr>
              <w:t>(1,253)</w:t>
            </w:r>
          </w:p>
        </w:tc>
        <w:tc>
          <w:tcPr>
            <w:tcW w:w="1843" w:type="dxa"/>
          </w:tcPr>
          <w:p w14:paraId="42203B10" w14:textId="77777777" w:rsidR="00B13475" w:rsidRPr="00EB2899" w:rsidRDefault="00B13475" w:rsidP="00EC20DB">
            <w:pPr>
              <w:suppressAutoHyphens/>
              <w:ind w:right="138"/>
              <w:jc w:val="right"/>
              <w:rPr>
                <w:rFonts w:cs="Arial"/>
                <w:spacing w:val="-2"/>
              </w:rPr>
            </w:pPr>
            <w:r w:rsidRPr="00EB2899">
              <w:rPr>
                <w:rFonts w:cs="Arial"/>
                <w:spacing w:val="-2"/>
              </w:rPr>
              <w:t>(1,842)</w:t>
            </w:r>
          </w:p>
        </w:tc>
        <w:tc>
          <w:tcPr>
            <w:tcW w:w="1843" w:type="dxa"/>
          </w:tcPr>
          <w:p w14:paraId="6986A908" w14:textId="77777777" w:rsidR="00B13475" w:rsidRPr="00FE3510" w:rsidRDefault="00B13475" w:rsidP="00EC20DB">
            <w:pPr>
              <w:suppressAutoHyphens/>
              <w:ind w:right="138"/>
              <w:jc w:val="right"/>
              <w:rPr>
                <w:rFonts w:cs="Arial"/>
                <w:spacing w:val="-2"/>
              </w:rPr>
            </w:pPr>
            <w:r w:rsidRPr="00FE3510">
              <w:rPr>
                <w:rFonts w:cs="Arial"/>
                <w:spacing w:val="-2"/>
              </w:rPr>
              <w:t>-</w:t>
            </w:r>
          </w:p>
        </w:tc>
        <w:tc>
          <w:tcPr>
            <w:tcW w:w="1842" w:type="dxa"/>
          </w:tcPr>
          <w:p w14:paraId="6E0F7809" w14:textId="77777777" w:rsidR="00B13475" w:rsidRPr="00EB2899" w:rsidRDefault="00B13475" w:rsidP="00EC20DB">
            <w:pPr>
              <w:suppressAutoHyphens/>
              <w:ind w:right="138"/>
              <w:jc w:val="right"/>
              <w:rPr>
                <w:rFonts w:cs="Arial"/>
                <w:spacing w:val="-2"/>
              </w:rPr>
            </w:pPr>
            <w:r w:rsidRPr="00EB2899">
              <w:rPr>
                <w:rFonts w:cs="Arial"/>
                <w:spacing w:val="-2"/>
              </w:rPr>
              <w:t>(685)</w:t>
            </w:r>
          </w:p>
        </w:tc>
      </w:tr>
      <w:tr w:rsidR="00B13475" w:rsidRPr="00C328EF" w14:paraId="545856D5" w14:textId="77777777" w:rsidTr="00F46B8F">
        <w:tc>
          <w:tcPr>
            <w:tcW w:w="3510" w:type="dxa"/>
          </w:tcPr>
          <w:p w14:paraId="6E8A9DCD" w14:textId="77777777" w:rsidR="00B13475" w:rsidRPr="00EB2899" w:rsidRDefault="00B13475" w:rsidP="00EC20DB">
            <w:pPr>
              <w:jc w:val="both"/>
            </w:pPr>
            <w:r w:rsidRPr="00EB2899">
              <w:t>Fixed assets differences</w:t>
            </w:r>
          </w:p>
        </w:tc>
        <w:tc>
          <w:tcPr>
            <w:tcW w:w="1843" w:type="dxa"/>
          </w:tcPr>
          <w:p w14:paraId="56D4BD1A" w14:textId="77777777" w:rsidR="00B13475" w:rsidRPr="003C744F" w:rsidRDefault="00B13475" w:rsidP="00EC20DB">
            <w:pPr>
              <w:suppressAutoHyphens/>
              <w:ind w:right="138"/>
              <w:jc w:val="right"/>
              <w:rPr>
                <w:rFonts w:cs="Arial"/>
                <w:spacing w:val="-2"/>
              </w:rPr>
            </w:pPr>
            <w:r w:rsidRPr="003C744F">
              <w:rPr>
                <w:rFonts w:cs="Arial"/>
                <w:spacing w:val="-2"/>
              </w:rPr>
              <w:t>-</w:t>
            </w:r>
          </w:p>
        </w:tc>
        <w:tc>
          <w:tcPr>
            <w:tcW w:w="1843" w:type="dxa"/>
          </w:tcPr>
          <w:p w14:paraId="3A67838F" w14:textId="77777777" w:rsidR="00B13475" w:rsidRPr="00EB2899" w:rsidRDefault="00B13475" w:rsidP="00EC20DB">
            <w:pPr>
              <w:suppressAutoHyphens/>
              <w:ind w:right="138"/>
              <w:jc w:val="right"/>
              <w:rPr>
                <w:rFonts w:cs="Arial"/>
                <w:spacing w:val="-2"/>
              </w:rPr>
            </w:pPr>
            <w:r w:rsidRPr="00EB2899">
              <w:rPr>
                <w:rFonts w:cs="Arial"/>
                <w:spacing w:val="-2"/>
              </w:rPr>
              <w:t>20</w:t>
            </w:r>
          </w:p>
        </w:tc>
        <w:tc>
          <w:tcPr>
            <w:tcW w:w="1843" w:type="dxa"/>
          </w:tcPr>
          <w:p w14:paraId="302EDB1E" w14:textId="77777777" w:rsidR="00B13475" w:rsidRPr="00FE3510" w:rsidRDefault="00B13475" w:rsidP="00EC20DB">
            <w:pPr>
              <w:suppressAutoHyphens/>
              <w:ind w:right="138"/>
              <w:jc w:val="right"/>
              <w:rPr>
                <w:rFonts w:cs="Arial"/>
                <w:spacing w:val="-2"/>
              </w:rPr>
            </w:pPr>
            <w:r w:rsidRPr="00FE3510">
              <w:rPr>
                <w:rFonts w:cs="Arial"/>
                <w:spacing w:val="-2"/>
              </w:rPr>
              <w:t>-</w:t>
            </w:r>
          </w:p>
        </w:tc>
        <w:tc>
          <w:tcPr>
            <w:tcW w:w="1842" w:type="dxa"/>
          </w:tcPr>
          <w:p w14:paraId="1098E365" w14:textId="77777777" w:rsidR="00B13475" w:rsidRPr="00EB2899" w:rsidRDefault="00B13475" w:rsidP="00EC20DB">
            <w:pPr>
              <w:suppressAutoHyphens/>
              <w:ind w:right="138"/>
              <w:jc w:val="right"/>
              <w:rPr>
                <w:rFonts w:cs="Arial"/>
                <w:spacing w:val="-2"/>
              </w:rPr>
            </w:pPr>
            <w:r w:rsidRPr="00EB2899">
              <w:rPr>
                <w:rFonts w:cs="Arial"/>
                <w:spacing w:val="-2"/>
              </w:rPr>
              <w:t>-</w:t>
            </w:r>
          </w:p>
        </w:tc>
      </w:tr>
      <w:tr w:rsidR="00B13475" w:rsidRPr="00C328EF" w14:paraId="15829C45" w14:textId="77777777" w:rsidTr="00F46B8F">
        <w:tc>
          <w:tcPr>
            <w:tcW w:w="3510" w:type="dxa"/>
          </w:tcPr>
          <w:p w14:paraId="5C080B9C" w14:textId="77777777" w:rsidR="00B13475" w:rsidRPr="00EB2899" w:rsidRDefault="00B13475" w:rsidP="00EC20DB">
            <w:pPr>
              <w:jc w:val="both"/>
            </w:pPr>
            <w:r w:rsidRPr="00EB2899">
              <w:t>Remeasurement of deferred tax for change in tax rates</w:t>
            </w:r>
          </w:p>
        </w:tc>
        <w:tc>
          <w:tcPr>
            <w:tcW w:w="1843" w:type="dxa"/>
          </w:tcPr>
          <w:p w14:paraId="3BB23E88" w14:textId="77777777" w:rsidR="00B13475" w:rsidRPr="003C744F" w:rsidRDefault="00B13475" w:rsidP="00EC20DB">
            <w:pPr>
              <w:suppressAutoHyphens/>
              <w:ind w:right="138"/>
              <w:jc w:val="right"/>
              <w:rPr>
                <w:rFonts w:cs="Arial"/>
                <w:spacing w:val="-2"/>
              </w:rPr>
            </w:pPr>
          </w:p>
          <w:p w14:paraId="4015BF99" w14:textId="77777777" w:rsidR="00B13475" w:rsidRPr="003C744F" w:rsidRDefault="00B13475" w:rsidP="00EC20DB">
            <w:pPr>
              <w:suppressAutoHyphens/>
              <w:ind w:right="138"/>
              <w:jc w:val="right"/>
              <w:rPr>
                <w:rFonts w:cs="Arial"/>
                <w:spacing w:val="-2"/>
              </w:rPr>
            </w:pPr>
            <w:r w:rsidRPr="003C744F">
              <w:rPr>
                <w:rFonts w:cs="Arial"/>
                <w:spacing w:val="-2"/>
              </w:rPr>
              <w:t>-</w:t>
            </w:r>
          </w:p>
        </w:tc>
        <w:tc>
          <w:tcPr>
            <w:tcW w:w="1843" w:type="dxa"/>
          </w:tcPr>
          <w:p w14:paraId="1D642268" w14:textId="77777777" w:rsidR="00B13475" w:rsidRPr="00EB2899" w:rsidRDefault="00B13475" w:rsidP="00EC20DB">
            <w:pPr>
              <w:suppressAutoHyphens/>
              <w:ind w:right="138"/>
              <w:jc w:val="right"/>
              <w:rPr>
                <w:rFonts w:cs="Arial"/>
                <w:spacing w:val="-2"/>
              </w:rPr>
            </w:pPr>
          </w:p>
          <w:p w14:paraId="2588B0BF" w14:textId="77777777" w:rsidR="00B13475" w:rsidRPr="00EB2899" w:rsidRDefault="00B13475" w:rsidP="00EC20DB">
            <w:pPr>
              <w:suppressAutoHyphens/>
              <w:ind w:right="138"/>
              <w:jc w:val="right"/>
              <w:rPr>
                <w:rFonts w:cs="Arial"/>
                <w:spacing w:val="-2"/>
              </w:rPr>
            </w:pPr>
            <w:r w:rsidRPr="00EB2899">
              <w:rPr>
                <w:rFonts w:cs="Arial"/>
                <w:spacing w:val="-2"/>
              </w:rPr>
              <w:t>797</w:t>
            </w:r>
          </w:p>
        </w:tc>
        <w:tc>
          <w:tcPr>
            <w:tcW w:w="1843" w:type="dxa"/>
          </w:tcPr>
          <w:p w14:paraId="07F15560" w14:textId="77777777" w:rsidR="00B13475" w:rsidRPr="00FE3510" w:rsidRDefault="00B13475" w:rsidP="00EC20DB">
            <w:pPr>
              <w:suppressAutoHyphens/>
              <w:ind w:right="138"/>
              <w:jc w:val="right"/>
              <w:rPr>
                <w:rFonts w:cs="Arial"/>
                <w:spacing w:val="-2"/>
              </w:rPr>
            </w:pPr>
          </w:p>
          <w:p w14:paraId="5064EA03" w14:textId="77777777" w:rsidR="00B13475" w:rsidRPr="00FE3510" w:rsidRDefault="00B13475" w:rsidP="00EC20DB">
            <w:pPr>
              <w:suppressAutoHyphens/>
              <w:ind w:right="138"/>
              <w:jc w:val="right"/>
              <w:rPr>
                <w:rFonts w:cs="Arial"/>
                <w:spacing w:val="-2"/>
              </w:rPr>
            </w:pPr>
            <w:r w:rsidRPr="00FE3510">
              <w:rPr>
                <w:rFonts w:cs="Arial"/>
                <w:spacing w:val="-2"/>
              </w:rPr>
              <w:t>-</w:t>
            </w:r>
          </w:p>
        </w:tc>
        <w:tc>
          <w:tcPr>
            <w:tcW w:w="1842" w:type="dxa"/>
          </w:tcPr>
          <w:p w14:paraId="4A726063" w14:textId="77777777" w:rsidR="00B13475" w:rsidRPr="00EB2899" w:rsidRDefault="00B13475" w:rsidP="00EC20DB">
            <w:pPr>
              <w:suppressAutoHyphens/>
              <w:ind w:right="138"/>
              <w:jc w:val="right"/>
              <w:rPr>
                <w:rFonts w:cs="Arial"/>
                <w:spacing w:val="-2"/>
              </w:rPr>
            </w:pPr>
          </w:p>
          <w:p w14:paraId="20E89401" w14:textId="77777777" w:rsidR="00B13475" w:rsidRPr="00EB2899" w:rsidRDefault="00B13475" w:rsidP="00EC20DB">
            <w:pPr>
              <w:suppressAutoHyphens/>
              <w:ind w:right="138"/>
              <w:jc w:val="right"/>
              <w:rPr>
                <w:rFonts w:cs="Arial"/>
                <w:spacing w:val="-2"/>
              </w:rPr>
            </w:pPr>
            <w:r w:rsidRPr="00EB2899">
              <w:rPr>
                <w:rFonts w:cs="Arial"/>
                <w:spacing w:val="-2"/>
              </w:rPr>
              <w:t>-</w:t>
            </w:r>
          </w:p>
        </w:tc>
      </w:tr>
      <w:tr w:rsidR="00B13475" w:rsidRPr="00C328EF" w14:paraId="16BCE705" w14:textId="77777777" w:rsidTr="00F46B8F">
        <w:tc>
          <w:tcPr>
            <w:tcW w:w="3510" w:type="dxa"/>
          </w:tcPr>
          <w:p w14:paraId="4EB1B57E" w14:textId="77777777" w:rsidR="00B13475" w:rsidRPr="00EB2899" w:rsidRDefault="00B13475" w:rsidP="00EC20DB">
            <w:pPr>
              <w:jc w:val="both"/>
              <w:rPr>
                <w:i/>
              </w:rPr>
            </w:pPr>
            <w:r w:rsidRPr="00EB2899">
              <w:t>Adjustment to the tax charge in respect of previous periods</w:t>
            </w:r>
          </w:p>
        </w:tc>
        <w:tc>
          <w:tcPr>
            <w:tcW w:w="1843" w:type="dxa"/>
          </w:tcPr>
          <w:p w14:paraId="128C85FB" w14:textId="77777777" w:rsidR="00B13475" w:rsidRPr="003C744F" w:rsidRDefault="00B13475" w:rsidP="00EC20DB">
            <w:pPr>
              <w:suppressAutoHyphens/>
              <w:ind w:right="138"/>
              <w:jc w:val="right"/>
              <w:rPr>
                <w:rFonts w:cs="Arial"/>
                <w:spacing w:val="-2"/>
              </w:rPr>
            </w:pPr>
          </w:p>
          <w:p w14:paraId="33FCB48B" w14:textId="77777777" w:rsidR="00B13475" w:rsidRPr="003C744F" w:rsidRDefault="00B13475" w:rsidP="00EC20DB">
            <w:pPr>
              <w:suppressAutoHyphens/>
              <w:ind w:right="138"/>
              <w:jc w:val="right"/>
              <w:rPr>
                <w:rFonts w:cs="Arial"/>
                <w:spacing w:val="-2"/>
              </w:rPr>
            </w:pPr>
            <w:r w:rsidRPr="003C744F">
              <w:rPr>
                <w:rFonts w:cs="Arial"/>
                <w:spacing w:val="-2"/>
              </w:rPr>
              <w:t>(638)</w:t>
            </w:r>
          </w:p>
        </w:tc>
        <w:tc>
          <w:tcPr>
            <w:tcW w:w="1843" w:type="dxa"/>
          </w:tcPr>
          <w:p w14:paraId="00A7017B" w14:textId="77777777" w:rsidR="00B13475" w:rsidRPr="00EB2899" w:rsidRDefault="00B13475" w:rsidP="00EC20DB">
            <w:pPr>
              <w:suppressAutoHyphens/>
              <w:ind w:right="138"/>
              <w:jc w:val="right"/>
              <w:rPr>
                <w:rFonts w:cs="Arial"/>
                <w:spacing w:val="-2"/>
              </w:rPr>
            </w:pPr>
          </w:p>
          <w:p w14:paraId="21F07C04" w14:textId="77777777" w:rsidR="00B13475" w:rsidRPr="00EB2899" w:rsidRDefault="00B13475" w:rsidP="00EC20DB">
            <w:pPr>
              <w:suppressAutoHyphens/>
              <w:ind w:right="138"/>
              <w:jc w:val="right"/>
              <w:rPr>
                <w:rFonts w:cs="Arial"/>
                <w:spacing w:val="-2"/>
              </w:rPr>
            </w:pPr>
            <w:r w:rsidRPr="00EB2899">
              <w:rPr>
                <w:rFonts w:cs="Arial"/>
                <w:spacing w:val="-2"/>
              </w:rPr>
              <w:t>(105)</w:t>
            </w:r>
          </w:p>
        </w:tc>
        <w:tc>
          <w:tcPr>
            <w:tcW w:w="1843" w:type="dxa"/>
          </w:tcPr>
          <w:p w14:paraId="21D25F00" w14:textId="77777777" w:rsidR="00B13475" w:rsidRPr="00FE3510" w:rsidRDefault="00B13475" w:rsidP="00EC20DB">
            <w:pPr>
              <w:suppressAutoHyphens/>
              <w:ind w:right="138"/>
              <w:jc w:val="right"/>
              <w:rPr>
                <w:rFonts w:cs="Arial"/>
                <w:spacing w:val="-2"/>
              </w:rPr>
            </w:pPr>
          </w:p>
          <w:p w14:paraId="1E935529" w14:textId="77777777" w:rsidR="00B13475" w:rsidRPr="00FE3510" w:rsidRDefault="00B13475" w:rsidP="00EC20DB">
            <w:pPr>
              <w:suppressAutoHyphens/>
              <w:ind w:right="138"/>
              <w:jc w:val="right"/>
              <w:rPr>
                <w:rFonts w:cs="Arial"/>
                <w:spacing w:val="-2"/>
              </w:rPr>
            </w:pPr>
            <w:r w:rsidRPr="00FE3510">
              <w:rPr>
                <w:rFonts w:cs="Arial"/>
                <w:spacing w:val="-2"/>
              </w:rPr>
              <w:t>-</w:t>
            </w:r>
          </w:p>
        </w:tc>
        <w:tc>
          <w:tcPr>
            <w:tcW w:w="1842" w:type="dxa"/>
          </w:tcPr>
          <w:p w14:paraId="1536D309" w14:textId="77777777" w:rsidR="00B13475" w:rsidRPr="00EB2899" w:rsidRDefault="00B13475" w:rsidP="00EC20DB">
            <w:pPr>
              <w:suppressAutoHyphens/>
              <w:ind w:right="138"/>
              <w:jc w:val="right"/>
              <w:rPr>
                <w:rFonts w:cs="Arial"/>
                <w:spacing w:val="-2"/>
              </w:rPr>
            </w:pPr>
          </w:p>
          <w:p w14:paraId="734AC6E3" w14:textId="77777777" w:rsidR="00B13475" w:rsidRPr="00EB2899" w:rsidRDefault="00B13475" w:rsidP="00EC20DB">
            <w:pPr>
              <w:suppressAutoHyphens/>
              <w:ind w:right="138"/>
              <w:jc w:val="right"/>
              <w:rPr>
                <w:rFonts w:cs="Arial"/>
                <w:spacing w:val="-2"/>
              </w:rPr>
            </w:pPr>
            <w:r w:rsidRPr="00EB2899">
              <w:rPr>
                <w:rFonts w:cs="Arial"/>
                <w:spacing w:val="-2"/>
              </w:rPr>
              <w:t>1</w:t>
            </w:r>
          </w:p>
        </w:tc>
      </w:tr>
      <w:tr w:rsidR="00B13475" w:rsidRPr="00C328EF" w14:paraId="21611462" w14:textId="77777777" w:rsidTr="00F46B8F">
        <w:tc>
          <w:tcPr>
            <w:tcW w:w="3510" w:type="dxa"/>
          </w:tcPr>
          <w:p w14:paraId="67F75FF0" w14:textId="77777777" w:rsidR="00B13475" w:rsidRPr="00EB2899" w:rsidRDefault="00B13475" w:rsidP="00EC20DB">
            <w:r w:rsidRPr="0008397D">
              <w:t>Other permanent differences</w:t>
            </w:r>
          </w:p>
        </w:tc>
        <w:tc>
          <w:tcPr>
            <w:tcW w:w="1843" w:type="dxa"/>
          </w:tcPr>
          <w:p w14:paraId="18287213" w14:textId="77777777" w:rsidR="00B13475" w:rsidRPr="003C744F" w:rsidRDefault="00B13475" w:rsidP="00EC20DB">
            <w:pPr>
              <w:suppressAutoHyphens/>
              <w:ind w:right="138"/>
              <w:jc w:val="right"/>
              <w:rPr>
                <w:rFonts w:cs="Arial"/>
                <w:spacing w:val="-2"/>
              </w:rPr>
            </w:pPr>
            <w:r w:rsidRPr="003C744F">
              <w:rPr>
                <w:rFonts w:cs="Arial"/>
                <w:spacing w:val="-2"/>
              </w:rPr>
              <w:t>2</w:t>
            </w:r>
          </w:p>
        </w:tc>
        <w:tc>
          <w:tcPr>
            <w:tcW w:w="1843" w:type="dxa"/>
          </w:tcPr>
          <w:p w14:paraId="62AD0E5A" w14:textId="77777777" w:rsidR="00B13475" w:rsidRPr="005E20BF" w:rsidRDefault="00B13475" w:rsidP="00EC20DB">
            <w:pPr>
              <w:suppressAutoHyphens/>
              <w:ind w:right="138"/>
              <w:jc w:val="right"/>
              <w:rPr>
                <w:rFonts w:cs="Arial"/>
                <w:spacing w:val="-2"/>
              </w:rPr>
            </w:pPr>
            <w:r w:rsidRPr="005E20BF">
              <w:rPr>
                <w:rFonts w:cs="Arial"/>
                <w:spacing w:val="-2"/>
              </w:rPr>
              <w:t>-</w:t>
            </w:r>
          </w:p>
        </w:tc>
        <w:tc>
          <w:tcPr>
            <w:tcW w:w="1843" w:type="dxa"/>
          </w:tcPr>
          <w:p w14:paraId="240C8F87" w14:textId="77777777" w:rsidR="00B13475" w:rsidRPr="00FE3510" w:rsidRDefault="00B13475" w:rsidP="00EC20DB">
            <w:pPr>
              <w:suppressAutoHyphens/>
              <w:ind w:right="138"/>
              <w:jc w:val="right"/>
              <w:rPr>
                <w:rFonts w:cs="Arial"/>
                <w:spacing w:val="-2"/>
              </w:rPr>
            </w:pPr>
            <w:r w:rsidRPr="00FE3510">
              <w:rPr>
                <w:rFonts w:cs="Arial"/>
                <w:spacing w:val="-2"/>
              </w:rPr>
              <w:t>-</w:t>
            </w:r>
          </w:p>
        </w:tc>
        <w:tc>
          <w:tcPr>
            <w:tcW w:w="1842" w:type="dxa"/>
          </w:tcPr>
          <w:p w14:paraId="10EAF90D" w14:textId="77777777" w:rsidR="00B13475" w:rsidRPr="00EB2899" w:rsidRDefault="00B13475" w:rsidP="00EC20DB">
            <w:pPr>
              <w:suppressAutoHyphens/>
              <w:ind w:right="138"/>
              <w:jc w:val="right"/>
              <w:rPr>
                <w:rFonts w:cs="Arial"/>
                <w:spacing w:val="-2"/>
              </w:rPr>
            </w:pPr>
            <w:r w:rsidRPr="00EB2899">
              <w:rPr>
                <w:rFonts w:cs="Arial"/>
                <w:spacing w:val="-2"/>
              </w:rPr>
              <w:t>-</w:t>
            </w:r>
          </w:p>
        </w:tc>
      </w:tr>
      <w:tr w:rsidR="00B13475" w:rsidRPr="00C328EF" w14:paraId="5986D22B" w14:textId="77777777" w:rsidTr="00F46B8F">
        <w:tc>
          <w:tcPr>
            <w:tcW w:w="3510" w:type="dxa"/>
          </w:tcPr>
          <w:p w14:paraId="2457B0F8" w14:textId="77777777" w:rsidR="00B13475" w:rsidRPr="00EB2899" w:rsidRDefault="00B13475" w:rsidP="00EC20DB">
            <w:r w:rsidRPr="00EB2899">
              <w:t>Deferred tax not recognised</w:t>
            </w:r>
          </w:p>
        </w:tc>
        <w:tc>
          <w:tcPr>
            <w:tcW w:w="1843" w:type="dxa"/>
          </w:tcPr>
          <w:p w14:paraId="532CEADE" w14:textId="77777777" w:rsidR="00B13475" w:rsidRPr="003C744F" w:rsidRDefault="00B13475" w:rsidP="00EC20DB">
            <w:pPr>
              <w:suppressAutoHyphens/>
              <w:ind w:right="138"/>
              <w:jc w:val="right"/>
              <w:rPr>
                <w:rFonts w:cs="Arial"/>
                <w:spacing w:val="-2"/>
              </w:rPr>
            </w:pPr>
            <w:r w:rsidRPr="003C744F">
              <w:rPr>
                <w:rFonts w:cs="Arial"/>
                <w:spacing w:val="-2"/>
              </w:rPr>
              <w:t>3,7</w:t>
            </w:r>
            <w:r>
              <w:rPr>
                <w:rFonts w:cs="Arial"/>
                <w:spacing w:val="-2"/>
              </w:rPr>
              <w:t>79</w:t>
            </w:r>
          </w:p>
        </w:tc>
        <w:tc>
          <w:tcPr>
            <w:tcW w:w="1843" w:type="dxa"/>
          </w:tcPr>
          <w:p w14:paraId="7D3B1924" w14:textId="77777777" w:rsidR="00B13475" w:rsidRPr="00EB2899" w:rsidRDefault="00B13475" w:rsidP="00EC20DB">
            <w:pPr>
              <w:suppressAutoHyphens/>
              <w:ind w:right="138"/>
              <w:jc w:val="right"/>
              <w:rPr>
                <w:rFonts w:cs="Arial"/>
                <w:spacing w:val="-2"/>
              </w:rPr>
            </w:pPr>
            <w:r w:rsidRPr="00EB2899">
              <w:rPr>
                <w:rFonts w:cs="Arial"/>
                <w:spacing w:val="-2"/>
              </w:rPr>
              <w:t>(114)</w:t>
            </w:r>
          </w:p>
        </w:tc>
        <w:tc>
          <w:tcPr>
            <w:tcW w:w="1843" w:type="dxa"/>
          </w:tcPr>
          <w:p w14:paraId="5F4079C1" w14:textId="77777777" w:rsidR="00B13475" w:rsidRPr="00FE3510" w:rsidRDefault="00B13475" w:rsidP="00EC20DB">
            <w:pPr>
              <w:suppressAutoHyphens/>
              <w:ind w:right="138"/>
              <w:jc w:val="right"/>
              <w:rPr>
                <w:rFonts w:cs="Arial"/>
                <w:spacing w:val="-2"/>
              </w:rPr>
            </w:pPr>
            <w:r w:rsidRPr="00FE3510">
              <w:rPr>
                <w:rFonts w:cs="Arial"/>
                <w:spacing w:val="-2"/>
              </w:rPr>
              <w:t>-</w:t>
            </w:r>
          </w:p>
        </w:tc>
        <w:tc>
          <w:tcPr>
            <w:tcW w:w="1842" w:type="dxa"/>
          </w:tcPr>
          <w:p w14:paraId="478BCEBC" w14:textId="77777777" w:rsidR="00B13475" w:rsidRPr="00EB2899" w:rsidRDefault="00B13475" w:rsidP="00EC20DB">
            <w:pPr>
              <w:suppressAutoHyphens/>
              <w:ind w:right="138"/>
              <w:jc w:val="right"/>
              <w:rPr>
                <w:rFonts w:cs="Arial"/>
                <w:spacing w:val="-2"/>
              </w:rPr>
            </w:pPr>
            <w:r w:rsidRPr="00EB2899">
              <w:rPr>
                <w:rFonts w:cs="Arial"/>
                <w:spacing w:val="-2"/>
              </w:rPr>
              <w:t>-</w:t>
            </w:r>
          </w:p>
        </w:tc>
      </w:tr>
      <w:tr w:rsidR="00B13475" w:rsidRPr="00C328EF" w14:paraId="4D42231F" w14:textId="77777777" w:rsidTr="00F46B8F">
        <w:tc>
          <w:tcPr>
            <w:tcW w:w="3510" w:type="dxa"/>
          </w:tcPr>
          <w:p w14:paraId="2439AD97" w14:textId="77777777" w:rsidR="00B13475" w:rsidRPr="00EB2899" w:rsidRDefault="00B13475" w:rsidP="00EC20DB">
            <w:pPr>
              <w:jc w:val="both"/>
              <w:rPr>
                <w:i/>
              </w:rPr>
            </w:pPr>
          </w:p>
        </w:tc>
        <w:tc>
          <w:tcPr>
            <w:tcW w:w="1843" w:type="dxa"/>
          </w:tcPr>
          <w:p w14:paraId="53C537E5" w14:textId="77777777" w:rsidR="00B13475" w:rsidRPr="005E20BF" w:rsidRDefault="00B13475" w:rsidP="00EC20DB">
            <w:pPr>
              <w:suppressAutoHyphens/>
              <w:ind w:right="138"/>
              <w:jc w:val="right"/>
              <w:rPr>
                <w:rFonts w:cs="Arial"/>
                <w:spacing w:val="-2"/>
              </w:rPr>
            </w:pPr>
            <w:r w:rsidRPr="005E20BF">
              <w:rPr>
                <w:rFonts w:cs="Arial"/>
                <w:spacing w:val="-2"/>
              </w:rPr>
              <w:t>─────</w:t>
            </w:r>
          </w:p>
        </w:tc>
        <w:tc>
          <w:tcPr>
            <w:tcW w:w="1843" w:type="dxa"/>
          </w:tcPr>
          <w:p w14:paraId="4FFE3551" w14:textId="77777777" w:rsidR="00B13475" w:rsidRPr="00EB2899" w:rsidRDefault="00B13475" w:rsidP="00EC20DB">
            <w:pPr>
              <w:suppressAutoHyphens/>
              <w:ind w:right="138"/>
              <w:jc w:val="right"/>
              <w:rPr>
                <w:rFonts w:cs="Arial"/>
                <w:spacing w:val="-2"/>
              </w:rPr>
            </w:pPr>
            <w:r w:rsidRPr="00EB2899">
              <w:rPr>
                <w:rFonts w:cs="Arial"/>
                <w:spacing w:val="-2"/>
              </w:rPr>
              <w:t>─────</w:t>
            </w:r>
          </w:p>
        </w:tc>
        <w:tc>
          <w:tcPr>
            <w:tcW w:w="1843" w:type="dxa"/>
          </w:tcPr>
          <w:p w14:paraId="66503832" w14:textId="77777777" w:rsidR="00B13475" w:rsidRPr="00156773" w:rsidRDefault="00B13475" w:rsidP="00EC20DB">
            <w:pPr>
              <w:suppressAutoHyphens/>
              <w:ind w:right="138"/>
              <w:jc w:val="right"/>
              <w:rPr>
                <w:rFonts w:cs="Arial"/>
                <w:spacing w:val="-2"/>
              </w:rPr>
            </w:pPr>
            <w:r w:rsidRPr="00156773">
              <w:rPr>
                <w:rFonts w:cs="Arial"/>
                <w:spacing w:val="-2"/>
              </w:rPr>
              <w:t>─────</w:t>
            </w:r>
          </w:p>
        </w:tc>
        <w:tc>
          <w:tcPr>
            <w:tcW w:w="1842" w:type="dxa"/>
          </w:tcPr>
          <w:p w14:paraId="2E88B2DA" w14:textId="77777777" w:rsidR="00B13475" w:rsidRPr="00156773" w:rsidRDefault="00B13475" w:rsidP="00EC20DB">
            <w:pPr>
              <w:suppressAutoHyphens/>
              <w:ind w:right="138"/>
              <w:jc w:val="right"/>
              <w:rPr>
                <w:rFonts w:cs="Arial"/>
                <w:spacing w:val="-2"/>
              </w:rPr>
            </w:pPr>
            <w:r w:rsidRPr="00156773">
              <w:rPr>
                <w:rFonts w:cs="Arial"/>
                <w:spacing w:val="-2"/>
              </w:rPr>
              <w:t>─────</w:t>
            </w:r>
          </w:p>
        </w:tc>
      </w:tr>
      <w:tr w:rsidR="00B13475" w:rsidRPr="00C328EF" w14:paraId="2DE3380C" w14:textId="77777777" w:rsidTr="00F46B8F">
        <w:trPr>
          <w:trHeight w:val="345"/>
        </w:trPr>
        <w:tc>
          <w:tcPr>
            <w:tcW w:w="3510" w:type="dxa"/>
            <w:vAlign w:val="center"/>
          </w:tcPr>
          <w:p w14:paraId="7D4A3280" w14:textId="77777777" w:rsidR="00B13475" w:rsidRPr="00C328EF" w:rsidRDefault="00B13475" w:rsidP="00EC20DB">
            <w:pPr>
              <w:rPr>
                <w:highlight w:val="yellow"/>
              </w:rPr>
            </w:pPr>
            <w:r w:rsidRPr="005E20BF">
              <w:t>Tax charge/(credit) for</w:t>
            </w:r>
            <w:r w:rsidRPr="00EB2899">
              <w:t xml:space="preserve"> the </w:t>
            </w:r>
            <w:r>
              <w:t>period</w:t>
            </w:r>
          </w:p>
        </w:tc>
        <w:tc>
          <w:tcPr>
            <w:tcW w:w="1843" w:type="dxa"/>
            <w:vAlign w:val="center"/>
          </w:tcPr>
          <w:p w14:paraId="22805B54" w14:textId="77777777" w:rsidR="00B13475" w:rsidRPr="005E20BF" w:rsidRDefault="00B13475" w:rsidP="00EC20DB">
            <w:pPr>
              <w:suppressAutoHyphens/>
              <w:ind w:right="113" w:firstLine="546"/>
              <w:jc w:val="right"/>
            </w:pPr>
            <w:r w:rsidRPr="005E20BF">
              <w:t>2,081</w:t>
            </w:r>
          </w:p>
        </w:tc>
        <w:tc>
          <w:tcPr>
            <w:tcW w:w="1843" w:type="dxa"/>
            <w:vAlign w:val="center"/>
          </w:tcPr>
          <w:p w14:paraId="313C5EB0" w14:textId="77777777" w:rsidR="00B13475" w:rsidRPr="00EB2899" w:rsidRDefault="00B13475" w:rsidP="00EC20DB">
            <w:pPr>
              <w:suppressAutoHyphens/>
              <w:ind w:right="113" w:firstLine="546"/>
              <w:jc w:val="right"/>
            </w:pPr>
            <w:r w:rsidRPr="00EB2899">
              <w:t>617</w:t>
            </w:r>
          </w:p>
        </w:tc>
        <w:tc>
          <w:tcPr>
            <w:tcW w:w="1843" w:type="dxa"/>
            <w:vAlign w:val="center"/>
          </w:tcPr>
          <w:p w14:paraId="7409501D" w14:textId="77777777" w:rsidR="00B13475" w:rsidRPr="00156773" w:rsidRDefault="00B13475" w:rsidP="00EC20DB">
            <w:pPr>
              <w:suppressAutoHyphens/>
              <w:ind w:right="113" w:firstLine="546"/>
              <w:jc w:val="right"/>
            </w:pPr>
            <w:r w:rsidRPr="00156773">
              <w:t>(60)</w:t>
            </w:r>
          </w:p>
        </w:tc>
        <w:tc>
          <w:tcPr>
            <w:tcW w:w="1842" w:type="dxa"/>
            <w:vAlign w:val="center"/>
          </w:tcPr>
          <w:p w14:paraId="245361FF" w14:textId="77777777" w:rsidR="00B13475" w:rsidRPr="00EB2899" w:rsidRDefault="00B13475" w:rsidP="00EC20DB">
            <w:pPr>
              <w:suppressAutoHyphens/>
              <w:ind w:right="113"/>
              <w:jc w:val="right"/>
            </w:pPr>
            <w:r w:rsidRPr="00EB2899">
              <w:t xml:space="preserve">       (39)</w:t>
            </w:r>
          </w:p>
        </w:tc>
      </w:tr>
      <w:tr w:rsidR="00B13475" w:rsidRPr="00C328EF" w14:paraId="6C648B3D" w14:textId="77777777" w:rsidTr="00F46B8F">
        <w:tc>
          <w:tcPr>
            <w:tcW w:w="3510" w:type="dxa"/>
          </w:tcPr>
          <w:p w14:paraId="00E9F7FC" w14:textId="77777777" w:rsidR="00B13475" w:rsidRPr="00C328EF" w:rsidRDefault="00B13475" w:rsidP="00EC20DB">
            <w:pPr>
              <w:ind w:left="567" w:hanging="21"/>
              <w:jc w:val="both"/>
              <w:rPr>
                <w:highlight w:val="yellow"/>
              </w:rPr>
            </w:pPr>
          </w:p>
        </w:tc>
        <w:tc>
          <w:tcPr>
            <w:tcW w:w="1843" w:type="dxa"/>
          </w:tcPr>
          <w:p w14:paraId="2ADB26EF" w14:textId="77777777" w:rsidR="00B13475" w:rsidRPr="005E20BF" w:rsidRDefault="00B13475" w:rsidP="00EC20DB">
            <w:pPr>
              <w:suppressAutoHyphens/>
              <w:ind w:right="138"/>
              <w:jc w:val="right"/>
              <w:rPr>
                <w:rFonts w:cs="Arial"/>
                <w:spacing w:val="-2"/>
              </w:rPr>
            </w:pPr>
            <w:r w:rsidRPr="005E20BF">
              <w:rPr>
                <w:rFonts w:cs="Arial"/>
                <w:spacing w:val="-2"/>
              </w:rPr>
              <w:t>═════</w:t>
            </w:r>
          </w:p>
        </w:tc>
        <w:tc>
          <w:tcPr>
            <w:tcW w:w="1843" w:type="dxa"/>
          </w:tcPr>
          <w:p w14:paraId="347174FE" w14:textId="77777777" w:rsidR="00B13475" w:rsidRPr="00EB2899" w:rsidRDefault="00B13475" w:rsidP="00EC20DB">
            <w:pPr>
              <w:suppressAutoHyphens/>
              <w:ind w:right="138"/>
              <w:jc w:val="right"/>
              <w:rPr>
                <w:rFonts w:cs="Arial"/>
                <w:spacing w:val="-2"/>
              </w:rPr>
            </w:pPr>
            <w:r w:rsidRPr="00EB2899">
              <w:rPr>
                <w:rFonts w:cs="Arial"/>
                <w:spacing w:val="-2"/>
              </w:rPr>
              <w:t>═════</w:t>
            </w:r>
          </w:p>
        </w:tc>
        <w:tc>
          <w:tcPr>
            <w:tcW w:w="1843" w:type="dxa"/>
          </w:tcPr>
          <w:p w14:paraId="7FA21544" w14:textId="77777777" w:rsidR="00B13475" w:rsidRPr="00156773" w:rsidRDefault="00B13475" w:rsidP="00EC20DB">
            <w:pPr>
              <w:suppressAutoHyphens/>
              <w:ind w:right="138"/>
              <w:jc w:val="right"/>
              <w:rPr>
                <w:rFonts w:cs="Arial"/>
                <w:spacing w:val="-2"/>
              </w:rPr>
            </w:pPr>
            <w:r w:rsidRPr="00156773">
              <w:rPr>
                <w:rFonts w:cs="Arial"/>
                <w:spacing w:val="-2"/>
              </w:rPr>
              <w:t>═════</w:t>
            </w:r>
          </w:p>
        </w:tc>
        <w:tc>
          <w:tcPr>
            <w:tcW w:w="1842" w:type="dxa"/>
          </w:tcPr>
          <w:p w14:paraId="0816C3DC" w14:textId="77777777" w:rsidR="00B13475" w:rsidRPr="00156773" w:rsidRDefault="00B13475" w:rsidP="00EC20DB">
            <w:pPr>
              <w:suppressAutoHyphens/>
              <w:ind w:right="138"/>
              <w:jc w:val="right"/>
              <w:rPr>
                <w:rFonts w:cs="Arial"/>
                <w:spacing w:val="-2"/>
              </w:rPr>
            </w:pPr>
            <w:r w:rsidRPr="00156773">
              <w:rPr>
                <w:rFonts w:cs="Arial"/>
                <w:spacing w:val="-2"/>
              </w:rPr>
              <w:t>═════</w:t>
            </w:r>
          </w:p>
        </w:tc>
      </w:tr>
    </w:tbl>
    <w:p w14:paraId="683E8577" w14:textId="77777777" w:rsidR="00B13475" w:rsidRPr="00107CF1" w:rsidRDefault="00B13475" w:rsidP="00B13475">
      <w:pPr>
        <w:tabs>
          <w:tab w:val="left" w:pos="1195"/>
        </w:tabs>
      </w:pPr>
      <w:r w:rsidRPr="00107CF1">
        <w:tab/>
      </w:r>
    </w:p>
    <w:p w14:paraId="41930C0F" w14:textId="77777777" w:rsidR="00ED4C92" w:rsidRPr="00F45179" w:rsidRDefault="00ED4C92" w:rsidP="00ED4C92">
      <w:pPr>
        <w:jc w:val="center"/>
        <w:rPr>
          <w:b/>
        </w:rPr>
      </w:pPr>
      <w:r w:rsidRPr="00B13475">
        <w:rPr>
          <w:highlight w:val="yellow"/>
        </w:rPr>
        <w:br w:type="page"/>
      </w:r>
      <w:r w:rsidRPr="00F45179">
        <w:rPr>
          <w:b/>
        </w:rPr>
        <w:lastRenderedPageBreak/>
        <w:t>TRANSPORT FOR EDINBURGH LIMITED</w:t>
      </w:r>
    </w:p>
    <w:p w14:paraId="41426F85" w14:textId="77777777" w:rsidR="00ED4C92" w:rsidRPr="00F45179" w:rsidRDefault="00ED4C92" w:rsidP="00ED4C92">
      <w:pPr>
        <w:jc w:val="center"/>
        <w:rPr>
          <w:b/>
        </w:rPr>
      </w:pPr>
    </w:p>
    <w:p w14:paraId="2CBD1384" w14:textId="77777777" w:rsidR="00ED4C92" w:rsidRPr="00F45179" w:rsidRDefault="00ED4C92" w:rsidP="00ED4C92">
      <w:pPr>
        <w:jc w:val="center"/>
        <w:rPr>
          <w:b/>
        </w:rPr>
      </w:pPr>
      <w:r w:rsidRPr="00F45179">
        <w:rPr>
          <w:b/>
        </w:rPr>
        <w:t>Notes to the Financial Statements (continued)</w:t>
      </w:r>
    </w:p>
    <w:p w14:paraId="6CA26C64" w14:textId="77777777" w:rsidR="00ED4C92" w:rsidRPr="00F45179" w:rsidRDefault="00ED4C92" w:rsidP="00ED4C92">
      <w:pPr>
        <w:jc w:val="center"/>
        <w:rPr>
          <w:b/>
        </w:rPr>
      </w:pPr>
    </w:p>
    <w:p w14:paraId="2E25366F" w14:textId="77777777" w:rsidR="00ED4C92" w:rsidRPr="00F45179" w:rsidRDefault="00D90B89" w:rsidP="00ED4C92">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64A60EC6" w14:textId="77777777" w:rsidR="0051539E" w:rsidRPr="00F45179" w:rsidRDefault="0051539E" w:rsidP="0051539E">
      <w:pPr>
        <w:jc w:val="both"/>
      </w:pPr>
    </w:p>
    <w:p w14:paraId="5191A296" w14:textId="77777777" w:rsidR="00ED4C92" w:rsidRPr="00E36665" w:rsidRDefault="00ED4C92" w:rsidP="00ED4C92">
      <w:pPr>
        <w:ind w:left="78"/>
      </w:pPr>
    </w:p>
    <w:p w14:paraId="5B173A78" w14:textId="77777777" w:rsidR="00ED4C92" w:rsidRPr="00E36665" w:rsidRDefault="00ED4C92" w:rsidP="001E109C">
      <w:pPr>
        <w:ind w:left="544" w:hanging="544"/>
        <w:rPr>
          <w:b/>
          <w:bCs/>
        </w:rPr>
      </w:pPr>
      <w:r w:rsidRPr="00E36665">
        <w:rPr>
          <w:b/>
          <w:bCs/>
        </w:rPr>
        <w:t>7.</w:t>
      </w:r>
      <w:r w:rsidRPr="00E36665">
        <w:rPr>
          <w:b/>
          <w:bCs/>
        </w:rPr>
        <w:tab/>
      </w:r>
      <w:r w:rsidRPr="001E109C">
        <w:rPr>
          <w:b/>
        </w:rPr>
        <w:t>Employee benefits expense</w:t>
      </w:r>
    </w:p>
    <w:p w14:paraId="252AEF9A" w14:textId="77777777" w:rsidR="00ED4C92" w:rsidRPr="00E36665" w:rsidRDefault="00ED4C92" w:rsidP="001E109C">
      <w:pPr>
        <w:ind w:left="78"/>
      </w:pPr>
    </w:p>
    <w:p w14:paraId="7B36B0E5" w14:textId="77777777" w:rsidR="00ED4C92" w:rsidRPr="003C744F" w:rsidRDefault="00ED4C92" w:rsidP="001E109C">
      <w:pPr>
        <w:ind w:left="78"/>
        <w:jc w:val="both"/>
      </w:pPr>
      <w:r w:rsidRPr="003C744F">
        <w:t xml:space="preserve">The average number of persons employed by the Group (including Directors) during the </w:t>
      </w:r>
      <w:r w:rsidR="00A12DAA" w:rsidRPr="003C744F">
        <w:t>period</w:t>
      </w:r>
      <w:r w:rsidRPr="003C744F">
        <w:t xml:space="preserve"> was 2,</w:t>
      </w:r>
      <w:r w:rsidR="003C744F" w:rsidRPr="003C744F">
        <w:t>977</w:t>
      </w:r>
      <w:r w:rsidRPr="003C744F">
        <w:t xml:space="preserve"> (202</w:t>
      </w:r>
      <w:r w:rsidR="00E36665" w:rsidRPr="003C744F">
        <w:t>3</w:t>
      </w:r>
      <w:r w:rsidRPr="003C744F">
        <w:t>: 2,</w:t>
      </w:r>
      <w:r w:rsidR="00E36665" w:rsidRPr="003C744F">
        <w:t>692</w:t>
      </w:r>
      <w:r w:rsidRPr="003C744F">
        <w:t>).</w:t>
      </w:r>
      <w:r w:rsidR="009526FE" w:rsidRPr="003C744F">
        <w:t xml:space="preserve"> The Company had an average of 2 employees during the </w:t>
      </w:r>
      <w:r w:rsidR="0011148E">
        <w:t>period</w:t>
      </w:r>
      <w:r w:rsidR="009526FE" w:rsidRPr="003C744F">
        <w:t xml:space="preserve"> (202</w:t>
      </w:r>
      <w:r w:rsidR="00E36665" w:rsidRPr="003C744F">
        <w:t>3</w:t>
      </w:r>
      <w:r w:rsidR="009526FE" w:rsidRPr="003C744F">
        <w:t>: 2).</w:t>
      </w:r>
    </w:p>
    <w:p w14:paraId="7C2D4C1B" w14:textId="77777777" w:rsidR="009526FE" w:rsidRPr="003C744F" w:rsidRDefault="009526FE" w:rsidP="00ED4C92">
      <w:pPr>
        <w:ind w:left="567"/>
        <w:jc w:val="both"/>
      </w:pPr>
    </w:p>
    <w:tbl>
      <w:tblPr>
        <w:tblW w:w="10456" w:type="dxa"/>
        <w:tblLayout w:type="fixed"/>
        <w:tblLook w:val="0000" w:firstRow="0" w:lastRow="0" w:firstColumn="0" w:lastColumn="0" w:noHBand="0" w:noVBand="0"/>
      </w:tblPr>
      <w:tblGrid>
        <w:gridCol w:w="2943"/>
        <w:gridCol w:w="1843"/>
        <w:gridCol w:w="1843"/>
        <w:gridCol w:w="1843"/>
        <w:gridCol w:w="1984"/>
      </w:tblGrid>
      <w:tr w:rsidR="009526FE" w:rsidRPr="00C328EF" w14:paraId="36708D17" w14:textId="77777777" w:rsidTr="00435357">
        <w:tc>
          <w:tcPr>
            <w:tcW w:w="2943" w:type="dxa"/>
          </w:tcPr>
          <w:p w14:paraId="70CD9F04" w14:textId="77777777" w:rsidR="009526FE" w:rsidRPr="00C328EF" w:rsidRDefault="009526FE" w:rsidP="009623F3">
            <w:pPr>
              <w:jc w:val="both"/>
              <w:rPr>
                <w:highlight w:val="yellow"/>
              </w:rPr>
            </w:pPr>
          </w:p>
        </w:tc>
        <w:tc>
          <w:tcPr>
            <w:tcW w:w="3686" w:type="dxa"/>
            <w:gridSpan w:val="2"/>
          </w:tcPr>
          <w:p w14:paraId="1B5A5C5C" w14:textId="77777777" w:rsidR="009526FE" w:rsidRPr="00E36665" w:rsidRDefault="009526FE" w:rsidP="009623F3">
            <w:pPr>
              <w:ind w:left="282"/>
              <w:jc w:val="center"/>
              <w:rPr>
                <w:b/>
              </w:rPr>
            </w:pPr>
            <w:r w:rsidRPr="00E36665">
              <w:rPr>
                <w:b/>
              </w:rPr>
              <w:t>Consolidated Group</w:t>
            </w:r>
          </w:p>
        </w:tc>
        <w:tc>
          <w:tcPr>
            <w:tcW w:w="3827" w:type="dxa"/>
            <w:gridSpan w:val="2"/>
          </w:tcPr>
          <w:p w14:paraId="7495EB4B" w14:textId="77777777" w:rsidR="009526FE" w:rsidRPr="00E36665" w:rsidRDefault="009526FE" w:rsidP="009623F3">
            <w:pPr>
              <w:ind w:left="435"/>
              <w:jc w:val="center"/>
              <w:rPr>
                <w:b/>
              </w:rPr>
            </w:pPr>
            <w:r w:rsidRPr="00E36665">
              <w:rPr>
                <w:b/>
              </w:rPr>
              <w:t>Parent Entity</w:t>
            </w:r>
          </w:p>
        </w:tc>
      </w:tr>
      <w:tr w:rsidR="009526FE" w:rsidRPr="00C328EF" w14:paraId="68DD659F" w14:textId="77777777" w:rsidTr="00435357">
        <w:tc>
          <w:tcPr>
            <w:tcW w:w="2943" w:type="dxa"/>
          </w:tcPr>
          <w:p w14:paraId="16E1741D" w14:textId="77777777" w:rsidR="009526FE" w:rsidRPr="00C328EF" w:rsidRDefault="009526FE" w:rsidP="009623F3">
            <w:pPr>
              <w:jc w:val="both"/>
              <w:rPr>
                <w:b/>
                <w:highlight w:val="yellow"/>
              </w:rPr>
            </w:pPr>
          </w:p>
        </w:tc>
        <w:tc>
          <w:tcPr>
            <w:tcW w:w="1843" w:type="dxa"/>
          </w:tcPr>
          <w:p w14:paraId="62303E52" w14:textId="77777777" w:rsidR="009526FE" w:rsidRPr="00E36665" w:rsidRDefault="00227005" w:rsidP="009623F3">
            <w:pPr>
              <w:suppressAutoHyphens/>
              <w:ind w:right="138"/>
              <w:jc w:val="right"/>
              <w:rPr>
                <w:rFonts w:cs="Arial"/>
                <w:b/>
                <w:spacing w:val="-2"/>
              </w:rPr>
            </w:pPr>
            <w:r>
              <w:rPr>
                <w:rFonts w:cs="Arial"/>
                <w:b/>
                <w:spacing w:val="-2"/>
              </w:rPr>
              <w:t xml:space="preserve">Period to 28 December </w:t>
            </w:r>
            <w:r w:rsidR="009526FE" w:rsidRPr="00E36665">
              <w:rPr>
                <w:rFonts w:cs="Arial"/>
                <w:b/>
                <w:spacing w:val="-2"/>
              </w:rPr>
              <w:t>202</w:t>
            </w:r>
            <w:r w:rsidR="00E36665" w:rsidRPr="00E36665">
              <w:rPr>
                <w:rFonts w:cs="Arial"/>
                <w:b/>
                <w:spacing w:val="-2"/>
              </w:rPr>
              <w:t>4</w:t>
            </w:r>
          </w:p>
        </w:tc>
        <w:tc>
          <w:tcPr>
            <w:tcW w:w="1843" w:type="dxa"/>
          </w:tcPr>
          <w:p w14:paraId="6FD3BC0F" w14:textId="77777777" w:rsidR="009526FE" w:rsidRPr="00E36665" w:rsidRDefault="00227005" w:rsidP="009623F3">
            <w:pPr>
              <w:suppressAutoHyphens/>
              <w:ind w:right="138"/>
              <w:jc w:val="right"/>
              <w:rPr>
                <w:rFonts w:cs="Arial"/>
                <w:b/>
                <w:spacing w:val="-2"/>
              </w:rPr>
            </w:pPr>
            <w:r>
              <w:rPr>
                <w:rFonts w:cs="Arial"/>
                <w:b/>
                <w:spacing w:val="-2"/>
              </w:rPr>
              <w:t xml:space="preserve">Period to 30 December </w:t>
            </w:r>
            <w:r w:rsidR="009526FE" w:rsidRPr="00E36665">
              <w:rPr>
                <w:rFonts w:cs="Arial"/>
                <w:b/>
                <w:spacing w:val="-2"/>
              </w:rPr>
              <w:t>202</w:t>
            </w:r>
            <w:r w:rsidR="00E36665" w:rsidRPr="00E36665">
              <w:rPr>
                <w:rFonts w:cs="Arial"/>
                <w:b/>
                <w:spacing w:val="-2"/>
              </w:rPr>
              <w:t>3</w:t>
            </w:r>
          </w:p>
        </w:tc>
        <w:tc>
          <w:tcPr>
            <w:tcW w:w="1843" w:type="dxa"/>
          </w:tcPr>
          <w:p w14:paraId="28E27759" w14:textId="77777777" w:rsidR="009526FE" w:rsidRPr="00E36665" w:rsidRDefault="00227005" w:rsidP="009623F3">
            <w:pPr>
              <w:suppressAutoHyphens/>
              <w:ind w:right="138"/>
              <w:jc w:val="right"/>
              <w:rPr>
                <w:rFonts w:cs="Arial"/>
                <w:b/>
                <w:spacing w:val="-2"/>
              </w:rPr>
            </w:pPr>
            <w:r>
              <w:rPr>
                <w:rFonts w:cs="Arial"/>
                <w:b/>
                <w:spacing w:val="-2"/>
              </w:rPr>
              <w:t xml:space="preserve">Period to 28 December </w:t>
            </w:r>
            <w:r w:rsidR="009526FE" w:rsidRPr="00E36665">
              <w:rPr>
                <w:rFonts w:cs="Arial"/>
                <w:b/>
                <w:spacing w:val="-2"/>
              </w:rPr>
              <w:t>202</w:t>
            </w:r>
            <w:r w:rsidR="00E36665" w:rsidRPr="00E36665">
              <w:rPr>
                <w:rFonts w:cs="Arial"/>
                <w:b/>
                <w:spacing w:val="-2"/>
              </w:rPr>
              <w:t>4</w:t>
            </w:r>
          </w:p>
        </w:tc>
        <w:tc>
          <w:tcPr>
            <w:tcW w:w="1984" w:type="dxa"/>
          </w:tcPr>
          <w:p w14:paraId="13095A64" w14:textId="77777777" w:rsidR="009526FE" w:rsidRPr="00E36665" w:rsidRDefault="00227005" w:rsidP="009623F3">
            <w:pPr>
              <w:suppressAutoHyphens/>
              <w:ind w:right="138"/>
              <w:jc w:val="right"/>
              <w:rPr>
                <w:rFonts w:cs="Arial"/>
                <w:b/>
                <w:spacing w:val="-2"/>
              </w:rPr>
            </w:pPr>
            <w:r>
              <w:rPr>
                <w:rFonts w:cs="Arial"/>
                <w:b/>
                <w:spacing w:val="-2"/>
              </w:rPr>
              <w:t xml:space="preserve">Period to 30 December </w:t>
            </w:r>
            <w:r w:rsidR="009526FE" w:rsidRPr="00E36665">
              <w:rPr>
                <w:rFonts w:cs="Arial"/>
                <w:b/>
                <w:spacing w:val="-2"/>
              </w:rPr>
              <w:t>202</w:t>
            </w:r>
            <w:r w:rsidR="00E36665" w:rsidRPr="00E36665">
              <w:rPr>
                <w:rFonts w:cs="Arial"/>
                <w:b/>
                <w:spacing w:val="-2"/>
              </w:rPr>
              <w:t>3</w:t>
            </w:r>
          </w:p>
        </w:tc>
      </w:tr>
      <w:tr w:rsidR="009526FE" w:rsidRPr="00C328EF" w14:paraId="46113D3D" w14:textId="77777777" w:rsidTr="00435357">
        <w:tc>
          <w:tcPr>
            <w:tcW w:w="2943" w:type="dxa"/>
          </w:tcPr>
          <w:p w14:paraId="109086EA" w14:textId="77777777" w:rsidR="009526FE" w:rsidRPr="00E36665" w:rsidRDefault="009526FE" w:rsidP="009623F3">
            <w:pPr>
              <w:jc w:val="both"/>
              <w:rPr>
                <w:b/>
              </w:rPr>
            </w:pPr>
          </w:p>
        </w:tc>
        <w:tc>
          <w:tcPr>
            <w:tcW w:w="1843" w:type="dxa"/>
          </w:tcPr>
          <w:p w14:paraId="1394860B" w14:textId="77777777" w:rsidR="009526FE" w:rsidRPr="00E36665" w:rsidRDefault="009526FE" w:rsidP="009623F3">
            <w:pPr>
              <w:suppressAutoHyphens/>
              <w:ind w:right="138"/>
              <w:jc w:val="right"/>
              <w:rPr>
                <w:rFonts w:cs="Arial"/>
                <w:b/>
                <w:spacing w:val="-2"/>
              </w:rPr>
            </w:pPr>
            <w:r w:rsidRPr="00E36665">
              <w:rPr>
                <w:rFonts w:cs="Arial"/>
                <w:b/>
                <w:spacing w:val="-2"/>
              </w:rPr>
              <w:t>No.</w:t>
            </w:r>
          </w:p>
        </w:tc>
        <w:tc>
          <w:tcPr>
            <w:tcW w:w="1843" w:type="dxa"/>
          </w:tcPr>
          <w:p w14:paraId="43E70EF7" w14:textId="77777777" w:rsidR="009526FE" w:rsidRPr="00E36665" w:rsidRDefault="009526FE" w:rsidP="009623F3">
            <w:pPr>
              <w:suppressAutoHyphens/>
              <w:ind w:right="138"/>
              <w:jc w:val="right"/>
              <w:rPr>
                <w:rFonts w:cs="Arial"/>
                <w:b/>
                <w:spacing w:val="-2"/>
              </w:rPr>
            </w:pPr>
            <w:r w:rsidRPr="00E36665">
              <w:rPr>
                <w:rFonts w:cs="Arial"/>
                <w:b/>
                <w:spacing w:val="-2"/>
              </w:rPr>
              <w:t>No.</w:t>
            </w:r>
          </w:p>
        </w:tc>
        <w:tc>
          <w:tcPr>
            <w:tcW w:w="1843" w:type="dxa"/>
          </w:tcPr>
          <w:p w14:paraId="1235F1B3" w14:textId="77777777" w:rsidR="009526FE" w:rsidRPr="00E36665" w:rsidRDefault="009526FE" w:rsidP="009623F3">
            <w:pPr>
              <w:suppressAutoHyphens/>
              <w:ind w:right="138"/>
              <w:jc w:val="right"/>
              <w:rPr>
                <w:rFonts w:cs="Arial"/>
                <w:b/>
                <w:spacing w:val="-2"/>
              </w:rPr>
            </w:pPr>
            <w:r w:rsidRPr="00E36665">
              <w:rPr>
                <w:rFonts w:cs="Arial"/>
                <w:b/>
                <w:spacing w:val="-2"/>
              </w:rPr>
              <w:t>No.</w:t>
            </w:r>
          </w:p>
        </w:tc>
        <w:tc>
          <w:tcPr>
            <w:tcW w:w="1984" w:type="dxa"/>
          </w:tcPr>
          <w:p w14:paraId="3A861CF2" w14:textId="77777777" w:rsidR="009526FE" w:rsidRPr="00E36665" w:rsidRDefault="009526FE" w:rsidP="009623F3">
            <w:pPr>
              <w:suppressAutoHyphens/>
              <w:ind w:right="138"/>
              <w:jc w:val="right"/>
              <w:rPr>
                <w:rFonts w:cs="Arial"/>
                <w:b/>
                <w:spacing w:val="-2"/>
              </w:rPr>
            </w:pPr>
            <w:r w:rsidRPr="00E36665">
              <w:rPr>
                <w:rFonts w:cs="Arial"/>
                <w:b/>
                <w:spacing w:val="-2"/>
              </w:rPr>
              <w:t>No.</w:t>
            </w:r>
          </w:p>
        </w:tc>
      </w:tr>
      <w:tr w:rsidR="009526FE" w:rsidRPr="00C328EF" w14:paraId="50721C30" w14:textId="77777777" w:rsidTr="00435357">
        <w:tc>
          <w:tcPr>
            <w:tcW w:w="2943" w:type="dxa"/>
          </w:tcPr>
          <w:p w14:paraId="1E673863" w14:textId="77777777" w:rsidR="009526FE" w:rsidRPr="00E36665" w:rsidRDefault="009526FE" w:rsidP="009623F3">
            <w:pPr>
              <w:jc w:val="both"/>
              <w:rPr>
                <w:b/>
                <w:sz w:val="8"/>
                <w:szCs w:val="8"/>
              </w:rPr>
            </w:pPr>
          </w:p>
        </w:tc>
        <w:tc>
          <w:tcPr>
            <w:tcW w:w="1843" w:type="dxa"/>
          </w:tcPr>
          <w:p w14:paraId="78EADEAA" w14:textId="77777777" w:rsidR="009526FE" w:rsidRPr="00E36665" w:rsidRDefault="009526FE" w:rsidP="009623F3">
            <w:pPr>
              <w:suppressAutoHyphens/>
              <w:ind w:right="138"/>
              <w:jc w:val="right"/>
              <w:rPr>
                <w:rFonts w:cs="Arial"/>
                <w:b/>
                <w:spacing w:val="-2"/>
                <w:sz w:val="8"/>
                <w:szCs w:val="8"/>
              </w:rPr>
            </w:pPr>
          </w:p>
        </w:tc>
        <w:tc>
          <w:tcPr>
            <w:tcW w:w="1843" w:type="dxa"/>
          </w:tcPr>
          <w:p w14:paraId="656D2281" w14:textId="77777777" w:rsidR="009526FE" w:rsidRPr="00E36665" w:rsidRDefault="009526FE" w:rsidP="009623F3">
            <w:pPr>
              <w:suppressAutoHyphens/>
              <w:ind w:right="138"/>
              <w:jc w:val="right"/>
              <w:rPr>
                <w:rFonts w:cs="Arial"/>
                <w:b/>
                <w:spacing w:val="-2"/>
                <w:sz w:val="8"/>
                <w:szCs w:val="8"/>
              </w:rPr>
            </w:pPr>
          </w:p>
        </w:tc>
        <w:tc>
          <w:tcPr>
            <w:tcW w:w="1843" w:type="dxa"/>
          </w:tcPr>
          <w:p w14:paraId="26D1ADB8" w14:textId="77777777" w:rsidR="009526FE" w:rsidRPr="00E36665" w:rsidRDefault="009526FE" w:rsidP="009623F3">
            <w:pPr>
              <w:suppressAutoHyphens/>
              <w:ind w:right="138"/>
              <w:jc w:val="right"/>
              <w:rPr>
                <w:rFonts w:cs="Arial"/>
                <w:b/>
                <w:spacing w:val="-2"/>
                <w:sz w:val="8"/>
                <w:szCs w:val="8"/>
              </w:rPr>
            </w:pPr>
          </w:p>
        </w:tc>
        <w:tc>
          <w:tcPr>
            <w:tcW w:w="1984" w:type="dxa"/>
          </w:tcPr>
          <w:p w14:paraId="5502332D" w14:textId="77777777" w:rsidR="009526FE" w:rsidRPr="00E36665" w:rsidRDefault="009526FE" w:rsidP="009623F3">
            <w:pPr>
              <w:suppressAutoHyphens/>
              <w:ind w:right="138"/>
              <w:jc w:val="right"/>
              <w:rPr>
                <w:rFonts w:cs="Arial"/>
                <w:b/>
                <w:spacing w:val="-2"/>
                <w:sz w:val="8"/>
                <w:szCs w:val="8"/>
              </w:rPr>
            </w:pPr>
          </w:p>
        </w:tc>
      </w:tr>
      <w:tr w:rsidR="0024419E" w:rsidRPr="00C328EF" w14:paraId="79011941" w14:textId="77777777" w:rsidTr="00435357">
        <w:tc>
          <w:tcPr>
            <w:tcW w:w="2943" w:type="dxa"/>
          </w:tcPr>
          <w:p w14:paraId="44B04B48" w14:textId="77777777" w:rsidR="0024419E" w:rsidRPr="00E36665" w:rsidRDefault="0024419E" w:rsidP="0024419E">
            <w:pPr>
              <w:jc w:val="both"/>
            </w:pPr>
            <w:r w:rsidRPr="00E36665">
              <w:tab/>
              <w:t>Drivers</w:t>
            </w:r>
          </w:p>
        </w:tc>
        <w:tc>
          <w:tcPr>
            <w:tcW w:w="1843" w:type="dxa"/>
          </w:tcPr>
          <w:p w14:paraId="3A44EDEF" w14:textId="77777777" w:rsidR="0024419E" w:rsidRPr="003C744F" w:rsidRDefault="003C744F" w:rsidP="0024419E">
            <w:pPr>
              <w:suppressAutoHyphens/>
              <w:ind w:right="138"/>
              <w:jc w:val="right"/>
              <w:rPr>
                <w:rFonts w:cs="Arial"/>
                <w:spacing w:val="-2"/>
              </w:rPr>
            </w:pPr>
            <w:r w:rsidRPr="003C744F">
              <w:rPr>
                <w:rFonts w:cs="Arial"/>
                <w:spacing w:val="-2"/>
              </w:rPr>
              <w:t>2,035</w:t>
            </w:r>
          </w:p>
        </w:tc>
        <w:tc>
          <w:tcPr>
            <w:tcW w:w="1843" w:type="dxa"/>
          </w:tcPr>
          <w:p w14:paraId="0168CF6E" w14:textId="77777777" w:rsidR="0024419E" w:rsidRPr="0024419E" w:rsidRDefault="0024419E" w:rsidP="0024419E">
            <w:pPr>
              <w:suppressAutoHyphens/>
              <w:ind w:right="138"/>
              <w:jc w:val="right"/>
              <w:rPr>
                <w:rFonts w:cs="Arial"/>
                <w:spacing w:val="-2"/>
              </w:rPr>
            </w:pPr>
            <w:r w:rsidRPr="0024419E">
              <w:rPr>
                <w:rFonts w:cs="Arial"/>
                <w:spacing w:val="-2"/>
              </w:rPr>
              <w:t>1,842</w:t>
            </w:r>
          </w:p>
        </w:tc>
        <w:tc>
          <w:tcPr>
            <w:tcW w:w="1843" w:type="dxa"/>
          </w:tcPr>
          <w:p w14:paraId="2CEA6E21" w14:textId="77777777" w:rsidR="0024419E" w:rsidRPr="0024419E" w:rsidRDefault="0024419E" w:rsidP="0024419E">
            <w:pPr>
              <w:suppressAutoHyphens/>
              <w:ind w:right="138"/>
              <w:jc w:val="right"/>
              <w:rPr>
                <w:rFonts w:cs="Arial"/>
                <w:spacing w:val="-2"/>
              </w:rPr>
            </w:pPr>
            <w:r w:rsidRPr="0024419E">
              <w:rPr>
                <w:rFonts w:cs="Arial"/>
                <w:spacing w:val="-2"/>
              </w:rPr>
              <w:t>-</w:t>
            </w:r>
          </w:p>
        </w:tc>
        <w:tc>
          <w:tcPr>
            <w:tcW w:w="1984" w:type="dxa"/>
          </w:tcPr>
          <w:p w14:paraId="388FA030" w14:textId="77777777" w:rsidR="0024419E" w:rsidRPr="0024419E" w:rsidRDefault="0024419E" w:rsidP="0024419E">
            <w:pPr>
              <w:suppressAutoHyphens/>
              <w:ind w:right="138"/>
              <w:jc w:val="right"/>
              <w:rPr>
                <w:rFonts w:cs="Arial"/>
                <w:spacing w:val="-2"/>
              </w:rPr>
            </w:pPr>
            <w:r w:rsidRPr="0024419E">
              <w:rPr>
                <w:rFonts w:cs="Arial"/>
                <w:spacing w:val="-2"/>
              </w:rPr>
              <w:t>-</w:t>
            </w:r>
          </w:p>
        </w:tc>
      </w:tr>
      <w:tr w:rsidR="0024419E" w:rsidRPr="00C328EF" w14:paraId="03346E5C" w14:textId="77777777" w:rsidTr="00435357">
        <w:tc>
          <w:tcPr>
            <w:tcW w:w="2943" w:type="dxa"/>
          </w:tcPr>
          <w:p w14:paraId="3A32C39B" w14:textId="77777777" w:rsidR="0024419E" w:rsidRPr="00E36665" w:rsidRDefault="0024419E" w:rsidP="0024419E">
            <w:pPr>
              <w:jc w:val="both"/>
            </w:pPr>
            <w:r w:rsidRPr="00E36665">
              <w:tab/>
              <w:t>Operations</w:t>
            </w:r>
          </w:p>
        </w:tc>
        <w:tc>
          <w:tcPr>
            <w:tcW w:w="1843" w:type="dxa"/>
          </w:tcPr>
          <w:p w14:paraId="4886E7DA" w14:textId="77777777" w:rsidR="0024419E" w:rsidRPr="003C744F" w:rsidRDefault="0024419E" w:rsidP="0024419E">
            <w:pPr>
              <w:suppressAutoHyphens/>
              <w:ind w:right="138"/>
              <w:jc w:val="right"/>
              <w:rPr>
                <w:rFonts w:cs="Arial"/>
                <w:spacing w:val="-2"/>
              </w:rPr>
            </w:pPr>
            <w:r w:rsidRPr="003C744F">
              <w:rPr>
                <w:rFonts w:cs="Arial"/>
                <w:spacing w:val="-2"/>
              </w:rPr>
              <w:t>4</w:t>
            </w:r>
            <w:r w:rsidR="003C744F" w:rsidRPr="003C744F">
              <w:rPr>
                <w:rFonts w:cs="Arial"/>
                <w:spacing w:val="-2"/>
              </w:rPr>
              <w:t>73</w:t>
            </w:r>
          </w:p>
        </w:tc>
        <w:tc>
          <w:tcPr>
            <w:tcW w:w="1843" w:type="dxa"/>
          </w:tcPr>
          <w:p w14:paraId="7A79682A" w14:textId="77777777" w:rsidR="0024419E" w:rsidRPr="0024419E" w:rsidRDefault="0024419E" w:rsidP="0024419E">
            <w:pPr>
              <w:suppressAutoHyphens/>
              <w:ind w:right="138"/>
              <w:jc w:val="right"/>
              <w:rPr>
                <w:rFonts w:cs="Arial"/>
                <w:spacing w:val="-2"/>
              </w:rPr>
            </w:pPr>
            <w:r w:rsidRPr="0024419E">
              <w:rPr>
                <w:rFonts w:cs="Arial"/>
                <w:spacing w:val="-2"/>
              </w:rPr>
              <w:t>451</w:t>
            </w:r>
          </w:p>
        </w:tc>
        <w:tc>
          <w:tcPr>
            <w:tcW w:w="1843" w:type="dxa"/>
          </w:tcPr>
          <w:p w14:paraId="1E9E0886" w14:textId="77777777" w:rsidR="0024419E" w:rsidRPr="0024419E" w:rsidRDefault="0024419E" w:rsidP="0024419E">
            <w:pPr>
              <w:suppressAutoHyphens/>
              <w:ind w:right="138"/>
              <w:jc w:val="right"/>
              <w:rPr>
                <w:rFonts w:cs="Arial"/>
                <w:spacing w:val="-2"/>
              </w:rPr>
            </w:pPr>
            <w:r w:rsidRPr="0024419E">
              <w:rPr>
                <w:rFonts w:cs="Arial"/>
                <w:spacing w:val="-2"/>
              </w:rPr>
              <w:t>-</w:t>
            </w:r>
          </w:p>
        </w:tc>
        <w:tc>
          <w:tcPr>
            <w:tcW w:w="1984" w:type="dxa"/>
          </w:tcPr>
          <w:p w14:paraId="2FB9BA7F" w14:textId="77777777" w:rsidR="0024419E" w:rsidRPr="0024419E" w:rsidRDefault="0024419E" w:rsidP="0024419E">
            <w:pPr>
              <w:suppressAutoHyphens/>
              <w:ind w:right="138"/>
              <w:jc w:val="right"/>
              <w:rPr>
                <w:rFonts w:cs="Arial"/>
                <w:spacing w:val="-2"/>
              </w:rPr>
            </w:pPr>
            <w:r w:rsidRPr="0024419E">
              <w:rPr>
                <w:rFonts w:cs="Arial"/>
                <w:spacing w:val="-2"/>
              </w:rPr>
              <w:t>-</w:t>
            </w:r>
          </w:p>
        </w:tc>
      </w:tr>
      <w:tr w:rsidR="0024419E" w:rsidRPr="00C328EF" w14:paraId="787F5E52" w14:textId="77777777" w:rsidTr="00435357">
        <w:tc>
          <w:tcPr>
            <w:tcW w:w="2943" w:type="dxa"/>
          </w:tcPr>
          <w:p w14:paraId="0D7A7932" w14:textId="77777777" w:rsidR="0024419E" w:rsidRPr="00E36665" w:rsidRDefault="0024419E" w:rsidP="0024419E">
            <w:pPr>
              <w:jc w:val="both"/>
            </w:pPr>
            <w:r w:rsidRPr="00E36665">
              <w:tab/>
              <w:t>Engineers</w:t>
            </w:r>
          </w:p>
        </w:tc>
        <w:tc>
          <w:tcPr>
            <w:tcW w:w="1843" w:type="dxa"/>
          </w:tcPr>
          <w:p w14:paraId="2E88285E" w14:textId="77777777" w:rsidR="0024419E" w:rsidRPr="003C744F" w:rsidRDefault="0024419E" w:rsidP="0024419E">
            <w:pPr>
              <w:suppressAutoHyphens/>
              <w:ind w:right="138"/>
              <w:jc w:val="right"/>
              <w:rPr>
                <w:rFonts w:cs="Arial"/>
                <w:spacing w:val="-2"/>
              </w:rPr>
            </w:pPr>
            <w:r w:rsidRPr="003C744F">
              <w:rPr>
                <w:rFonts w:cs="Arial"/>
                <w:spacing w:val="-2"/>
              </w:rPr>
              <w:t>2</w:t>
            </w:r>
            <w:r w:rsidR="003C744F" w:rsidRPr="003C744F">
              <w:rPr>
                <w:rFonts w:cs="Arial"/>
                <w:spacing w:val="-2"/>
              </w:rPr>
              <w:t>93</w:t>
            </w:r>
          </w:p>
        </w:tc>
        <w:tc>
          <w:tcPr>
            <w:tcW w:w="1843" w:type="dxa"/>
          </w:tcPr>
          <w:p w14:paraId="38816747" w14:textId="77777777" w:rsidR="0024419E" w:rsidRPr="003C744F" w:rsidRDefault="0024419E" w:rsidP="0024419E">
            <w:pPr>
              <w:suppressAutoHyphens/>
              <w:ind w:right="138"/>
              <w:jc w:val="right"/>
              <w:rPr>
                <w:rFonts w:cs="Arial"/>
                <w:spacing w:val="-2"/>
              </w:rPr>
            </w:pPr>
            <w:r w:rsidRPr="003C744F">
              <w:rPr>
                <w:rFonts w:cs="Arial"/>
                <w:spacing w:val="-2"/>
              </w:rPr>
              <w:t>256</w:t>
            </w:r>
          </w:p>
        </w:tc>
        <w:tc>
          <w:tcPr>
            <w:tcW w:w="1843" w:type="dxa"/>
          </w:tcPr>
          <w:p w14:paraId="5763F36C" w14:textId="77777777" w:rsidR="0024419E" w:rsidRPr="0024419E" w:rsidRDefault="0024419E" w:rsidP="0024419E">
            <w:pPr>
              <w:suppressAutoHyphens/>
              <w:ind w:right="138"/>
              <w:jc w:val="right"/>
              <w:rPr>
                <w:rFonts w:cs="Arial"/>
                <w:spacing w:val="-2"/>
              </w:rPr>
            </w:pPr>
            <w:r w:rsidRPr="0024419E">
              <w:rPr>
                <w:rFonts w:cs="Arial"/>
                <w:spacing w:val="-2"/>
              </w:rPr>
              <w:t>-</w:t>
            </w:r>
          </w:p>
        </w:tc>
        <w:tc>
          <w:tcPr>
            <w:tcW w:w="1984" w:type="dxa"/>
          </w:tcPr>
          <w:p w14:paraId="307E4DE7" w14:textId="77777777" w:rsidR="0024419E" w:rsidRPr="0024419E" w:rsidRDefault="0024419E" w:rsidP="0024419E">
            <w:pPr>
              <w:suppressAutoHyphens/>
              <w:ind w:right="138"/>
              <w:jc w:val="right"/>
              <w:rPr>
                <w:rFonts w:cs="Arial"/>
                <w:spacing w:val="-2"/>
              </w:rPr>
            </w:pPr>
            <w:r w:rsidRPr="0024419E">
              <w:rPr>
                <w:rFonts w:cs="Arial"/>
                <w:spacing w:val="-2"/>
              </w:rPr>
              <w:t>-</w:t>
            </w:r>
          </w:p>
        </w:tc>
      </w:tr>
      <w:tr w:rsidR="0024419E" w:rsidRPr="00C328EF" w14:paraId="3F48D8FA" w14:textId="77777777" w:rsidTr="00435357">
        <w:tc>
          <w:tcPr>
            <w:tcW w:w="2943" w:type="dxa"/>
          </w:tcPr>
          <w:p w14:paraId="495273F6" w14:textId="77777777" w:rsidR="0024419E" w:rsidRPr="00E36665" w:rsidRDefault="0024419E" w:rsidP="0024419E">
            <w:pPr>
              <w:jc w:val="both"/>
            </w:pPr>
            <w:r w:rsidRPr="00E36665">
              <w:tab/>
              <w:t>Management and admin</w:t>
            </w:r>
          </w:p>
        </w:tc>
        <w:tc>
          <w:tcPr>
            <w:tcW w:w="1843" w:type="dxa"/>
          </w:tcPr>
          <w:p w14:paraId="7B378E16" w14:textId="77777777" w:rsidR="0024419E" w:rsidRPr="003C744F" w:rsidRDefault="0024419E" w:rsidP="0024419E">
            <w:pPr>
              <w:suppressAutoHyphens/>
              <w:ind w:right="138"/>
              <w:jc w:val="right"/>
              <w:rPr>
                <w:rFonts w:cs="Arial"/>
                <w:spacing w:val="-2"/>
              </w:rPr>
            </w:pPr>
            <w:r w:rsidRPr="003C744F">
              <w:rPr>
                <w:rFonts w:cs="Arial"/>
                <w:spacing w:val="-2"/>
              </w:rPr>
              <w:t>1</w:t>
            </w:r>
            <w:r w:rsidR="003C744F" w:rsidRPr="003C744F">
              <w:rPr>
                <w:rFonts w:cs="Arial"/>
                <w:spacing w:val="-2"/>
              </w:rPr>
              <w:t>76</w:t>
            </w:r>
          </w:p>
        </w:tc>
        <w:tc>
          <w:tcPr>
            <w:tcW w:w="1843" w:type="dxa"/>
          </w:tcPr>
          <w:p w14:paraId="1D52ED83" w14:textId="77777777" w:rsidR="0024419E" w:rsidRPr="0024419E" w:rsidRDefault="0024419E" w:rsidP="0024419E">
            <w:pPr>
              <w:suppressAutoHyphens/>
              <w:ind w:right="138"/>
              <w:jc w:val="right"/>
              <w:rPr>
                <w:rFonts w:cs="Arial"/>
                <w:spacing w:val="-2"/>
              </w:rPr>
            </w:pPr>
            <w:r w:rsidRPr="0024419E">
              <w:rPr>
                <w:rFonts w:cs="Arial"/>
                <w:spacing w:val="-2"/>
              </w:rPr>
              <w:t>143</w:t>
            </w:r>
          </w:p>
        </w:tc>
        <w:tc>
          <w:tcPr>
            <w:tcW w:w="1843" w:type="dxa"/>
          </w:tcPr>
          <w:p w14:paraId="116E7676" w14:textId="77777777" w:rsidR="0024419E" w:rsidRPr="0024419E" w:rsidRDefault="0024419E" w:rsidP="0024419E">
            <w:pPr>
              <w:suppressAutoHyphens/>
              <w:ind w:right="138"/>
              <w:jc w:val="right"/>
              <w:rPr>
                <w:rFonts w:cs="Arial"/>
                <w:spacing w:val="-2"/>
              </w:rPr>
            </w:pPr>
            <w:r w:rsidRPr="0024419E">
              <w:rPr>
                <w:rFonts w:cs="Arial"/>
                <w:spacing w:val="-2"/>
              </w:rPr>
              <w:t>2</w:t>
            </w:r>
          </w:p>
        </w:tc>
        <w:tc>
          <w:tcPr>
            <w:tcW w:w="1984" w:type="dxa"/>
          </w:tcPr>
          <w:p w14:paraId="55C3455D" w14:textId="77777777" w:rsidR="0024419E" w:rsidRPr="0024419E" w:rsidRDefault="0024419E" w:rsidP="0024419E">
            <w:pPr>
              <w:suppressAutoHyphens/>
              <w:ind w:right="138"/>
              <w:jc w:val="right"/>
              <w:rPr>
                <w:rFonts w:cs="Arial"/>
                <w:spacing w:val="-2"/>
              </w:rPr>
            </w:pPr>
            <w:r w:rsidRPr="0024419E">
              <w:rPr>
                <w:rFonts w:cs="Arial"/>
                <w:spacing w:val="-2"/>
              </w:rPr>
              <w:t>2</w:t>
            </w:r>
          </w:p>
        </w:tc>
      </w:tr>
      <w:tr w:rsidR="009526FE" w:rsidRPr="00C328EF" w14:paraId="0CE9DE7A" w14:textId="77777777" w:rsidTr="00435357">
        <w:tc>
          <w:tcPr>
            <w:tcW w:w="2943" w:type="dxa"/>
          </w:tcPr>
          <w:p w14:paraId="68B8C0A4" w14:textId="77777777" w:rsidR="009526FE" w:rsidRPr="00C328EF" w:rsidRDefault="009526FE" w:rsidP="009526FE">
            <w:pPr>
              <w:jc w:val="both"/>
              <w:rPr>
                <w:highlight w:val="yellow"/>
              </w:rPr>
            </w:pPr>
          </w:p>
        </w:tc>
        <w:tc>
          <w:tcPr>
            <w:tcW w:w="1843" w:type="dxa"/>
          </w:tcPr>
          <w:p w14:paraId="12C33AE8" w14:textId="77777777" w:rsidR="009526FE" w:rsidRPr="00435357" w:rsidRDefault="009526FE" w:rsidP="00435357">
            <w:pPr>
              <w:tabs>
                <w:tab w:val="decimal" w:pos="1588"/>
              </w:tabs>
              <w:jc w:val="both"/>
              <w:rPr>
                <w:spacing w:val="-2"/>
              </w:rPr>
            </w:pPr>
            <w:r w:rsidRPr="003C744F">
              <w:rPr>
                <w:spacing w:val="-2"/>
              </w:rPr>
              <w:t>──────</w:t>
            </w:r>
          </w:p>
        </w:tc>
        <w:tc>
          <w:tcPr>
            <w:tcW w:w="1843" w:type="dxa"/>
          </w:tcPr>
          <w:p w14:paraId="66B79C43" w14:textId="77777777" w:rsidR="009526FE" w:rsidRPr="00435357" w:rsidRDefault="009526FE" w:rsidP="00435357">
            <w:pPr>
              <w:tabs>
                <w:tab w:val="decimal" w:pos="1588"/>
              </w:tabs>
              <w:ind w:right="170"/>
              <w:jc w:val="both"/>
              <w:rPr>
                <w:spacing w:val="-2"/>
              </w:rPr>
            </w:pPr>
            <w:r w:rsidRPr="0024419E">
              <w:rPr>
                <w:spacing w:val="-2"/>
              </w:rPr>
              <w:t>──────</w:t>
            </w:r>
          </w:p>
        </w:tc>
        <w:tc>
          <w:tcPr>
            <w:tcW w:w="1843" w:type="dxa"/>
          </w:tcPr>
          <w:p w14:paraId="2CF2A935" w14:textId="77777777" w:rsidR="009526FE" w:rsidRPr="00435357" w:rsidRDefault="009526FE" w:rsidP="00435357">
            <w:pPr>
              <w:tabs>
                <w:tab w:val="decimal" w:pos="1588"/>
              </w:tabs>
              <w:jc w:val="both"/>
              <w:rPr>
                <w:spacing w:val="-2"/>
              </w:rPr>
            </w:pPr>
            <w:r w:rsidRPr="0024419E">
              <w:rPr>
                <w:spacing w:val="-2"/>
              </w:rPr>
              <w:t>──────</w:t>
            </w:r>
          </w:p>
        </w:tc>
        <w:tc>
          <w:tcPr>
            <w:tcW w:w="1984" w:type="dxa"/>
          </w:tcPr>
          <w:p w14:paraId="74521B2F" w14:textId="77777777" w:rsidR="009526FE" w:rsidRPr="00435357" w:rsidRDefault="009526FE" w:rsidP="00435357">
            <w:pPr>
              <w:tabs>
                <w:tab w:val="decimal" w:pos="1588"/>
              </w:tabs>
              <w:jc w:val="both"/>
              <w:rPr>
                <w:spacing w:val="-2"/>
              </w:rPr>
            </w:pPr>
            <w:r w:rsidRPr="0024419E">
              <w:rPr>
                <w:spacing w:val="-2"/>
              </w:rPr>
              <w:t>──────</w:t>
            </w:r>
          </w:p>
        </w:tc>
      </w:tr>
      <w:tr w:rsidR="009526FE" w:rsidRPr="00C328EF" w14:paraId="5E47512B" w14:textId="77777777" w:rsidTr="00A320D4">
        <w:tc>
          <w:tcPr>
            <w:tcW w:w="2943" w:type="dxa"/>
          </w:tcPr>
          <w:p w14:paraId="0308A04D" w14:textId="77777777" w:rsidR="009526FE" w:rsidRPr="00C328EF" w:rsidRDefault="009526FE" w:rsidP="009526FE">
            <w:pPr>
              <w:jc w:val="both"/>
              <w:rPr>
                <w:highlight w:val="yellow"/>
              </w:rPr>
            </w:pPr>
          </w:p>
        </w:tc>
        <w:tc>
          <w:tcPr>
            <w:tcW w:w="1843" w:type="dxa"/>
          </w:tcPr>
          <w:p w14:paraId="7CFA635D" w14:textId="77777777" w:rsidR="009526FE" w:rsidRPr="00A320D4" w:rsidRDefault="0024419E" w:rsidP="00A320D4">
            <w:pPr>
              <w:suppressAutoHyphens/>
              <w:ind w:left="-113" w:right="138"/>
              <w:jc w:val="right"/>
              <w:rPr>
                <w:rFonts w:cs="Arial"/>
                <w:spacing w:val="-2"/>
              </w:rPr>
            </w:pPr>
            <w:r w:rsidRPr="00A320D4">
              <w:rPr>
                <w:rFonts w:cs="Arial"/>
                <w:spacing w:val="-2"/>
              </w:rPr>
              <w:t xml:space="preserve">   </w:t>
            </w:r>
            <w:r w:rsidR="009526FE" w:rsidRPr="00A320D4">
              <w:rPr>
                <w:rFonts w:cs="Arial"/>
                <w:spacing w:val="-2"/>
              </w:rPr>
              <w:t>2,</w:t>
            </w:r>
            <w:r w:rsidR="003C744F" w:rsidRPr="00A320D4">
              <w:rPr>
                <w:rFonts w:cs="Arial"/>
                <w:spacing w:val="-2"/>
              </w:rPr>
              <w:t>977</w:t>
            </w:r>
          </w:p>
        </w:tc>
        <w:tc>
          <w:tcPr>
            <w:tcW w:w="1843" w:type="dxa"/>
          </w:tcPr>
          <w:p w14:paraId="2CC2EC3C" w14:textId="77777777" w:rsidR="009526FE" w:rsidRPr="00A320D4" w:rsidRDefault="0024419E" w:rsidP="00A320D4">
            <w:pPr>
              <w:suppressAutoHyphens/>
              <w:ind w:left="-113" w:right="138"/>
              <w:jc w:val="right"/>
              <w:rPr>
                <w:rFonts w:cs="Arial"/>
                <w:spacing w:val="-2"/>
              </w:rPr>
            </w:pPr>
            <w:r w:rsidRPr="00A320D4">
              <w:rPr>
                <w:rFonts w:cs="Arial"/>
                <w:spacing w:val="-2"/>
              </w:rPr>
              <w:t>2,692</w:t>
            </w:r>
          </w:p>
        </w:tc>
        <w:tc>
          <w:tcPr>
            <w:tcW w:w="1843" w:type="dxa"/>
          </w:tcPr>
          <w:p w14:paraId="4CED9788" w14:textId="77777777" w:rsidR="009526FE" w:rsidRPr="00A320D4" w:rsidRDefault="009526FE" w:rsidP="00A320D4">
            <w:pPr>
              <w:suppressAutoHyphens/>
              <w:ind w:left="-113" w:right="138"/>
              <w:jc w:val="right"/>
              <w:rPr>
                <w:rFonts w:cs="Arial"/>
                <w:spacing w:val="-2"/>
              </w:rPr>
            </w:pPr>
            <w:r w:rsidRPr="00A320D4">
              <w:rPr>
                <w:rFonts w:cs="Arial"/>
                <w:spacing w:val="-2"/>
              </w:rPr>
              <w:t>2</w:t>
            </w:r>
          </w:p>
        </w:tc>
        <w:tc>
          <w:tcPr>
            <w:tcW w:w="1984" w:type="dxa"/>
          </w:tcPr>
          <w:p w14:paraId="51DB1F29" w14:textId="77777777" w:rsidR="009526FE" w:rsidRPr="00A320D4" w:rsidRDefault="009526FE" w:rsidP="00A320D4">
            <w:pPr>
              <w:suppressAutoHyphens/>
              <w:ind w:left="-113" w:right="138"/>
              <w:jc w:val="right"/>
              <w:rPr>
                <w:rFonts w:cs="Arial"/>
                <w:spacing w:val="-2"/>
              </w:rPr>
            </w:pPr>
            <w:r w:rsidRPr="00A320D4">
              <w:rPr>
                <w:rFonts w:cs="Arial"/>
                <w:spacing w:val="-2"/>
              </w:rPr>
              <w:t xml:space="preserve">            2</w:t>
            </w:r>
          </w:p>
        </w:tc>
      </w:tr>
      <w:tr w:rsidR="009526FE" w:rsidRPr="00C328EF" w14:paraId="39256D63" w14:textId="77777777" w:rsidTr="00435357">
        <w:tc>
          <w:tcPr>
            <w:tcW w:w="2943" w:type="dxa"/>
          </w:tcPr>
          <w:p w14:paraId="7101C053" w14:textId="77777777" w:rsidR="009526FE" w:rsidRPr="00C328EF" w:rsidRDefault="009526FE" w:rsidP="009526FE">
            <w:pPr>
              <w:jc w:val="both"/>
              <w:rPr>
                <w:highlight w:val="yellow"/>
              </w:rPr>
            </w:pPr>
          </w:p>
        </w:tc>
        <w:tc>
          <w:tcPr>
            <w:tcW w:w="1843" w:type="dxa"/>
          </w:tcPr>
          <w:p w14:paraId="6B3C2AF5" w14:textId="77777777" w:rsidR="009526FE" w:rsidRPr="00435357" w:rsidRDefault="009526FE" w:rsidP="00435357">
            <w:pPr>
              <w:tabs>
                <w:tab w:val="decimal" w:pos="1616"/>
              </w:tabs>
              <w:jc w:val="both"/>
              <w:rPr>
                <w:spacing w:val="-2"/>
              </w:rPr>
            </w:pPr>
            <w:r w:rsidRPr="003C744F">
              <w:rPr>
                <w:spacing w:val="-2"/>
              </w:rPr>
              <w:t>══════</w:t>
            </w:r>
          </w:p>
        </w:tc>
        <w:tc>
          <w:tcPr>
            <w:tcW w:w="1843" w:type="dxa"/>
          </w:tcPr>
          <w:p w14:paraId="7E48EE1D" w14:textId="77777777" w:rsidR="009526FE" w:rsidRPr="00435357" w:rsidRDefault="009526FE" w:rsidP="00435357">
            <w:pPr>
              <w:tabs>
                <w:tab w:val="decimal" w:pos="1616"/>
              </w:tabs>
              <w:ind w:right="170"/>
              <w:jc w:val="both"/>
              <w:rPr>
                <w:spacing w:val="-2"/>
              </w:rPr>
            </w:pPr>
            <w:r w:rsidRPr="0024419E">
              <w:rPr>
                <w:spacing w:val="-2"/>
              </w:rPr>
              <w:t>══════</w:t>
            </w:r>
          </w:p>
        </w:tc>
        <w:tc>
          <w:tcPr>
            <w:tcW w:w="1843" w:type="dxa"/>
          </w:tcPr>
          <w:p w14:paraId="4EE3CB24" w14:textId="77777777" w:rsidR="009526FE" w:rsidRPr="00435357" w:rsidRDefault="009526FE" w:rsidP="00435357">
            <w:pPr>
              <w:tabs>
                <w:tab w:val="decimal" w:pos="1616"/>
              </w:tabs>
              <w:jc w:val="both"/>
              <w:rPr>
                <w:spacing w:val="-2"/>
              </w:rPr>
            </w:pPr>
            <w:r w:rsidRPr="0024419E">
              <w:rPr>
                <w:spacing w:val="-2"/>
              </w:rPr>
              <w:t>══════</w:t>
            </w:r>
          </w:p>
        </w:tc>
        <w:tc>
          <w:tcPr>
            <w:tcW w:w="1984" w:type="dxa"/>
          </w:tcPr>
          <w:p w14:paraId="13F5009E" w14:textId="77777777" w:rsidR="009526FE" w:rsidRPr="00435357" w:rsidRDefault="009526FE" w:rsidP="00435357">
            <w:pPr>
              <w:tabs>
                <w:tab w:val="decimal" w:pos="1026"/>
                <w:tab w:val="decimal" w:pos="1616"/>
              </w:tabs>
              <w:jc w:val="right"/>
              <w:rPr>
                <w:spacing w:val="-2"/>
              </w:rPr>
            </w:pPr>
            <w:r w:rsidRPr="0024419E">
              <w:rPr>
                <w:spacing w:val="-2"/>
              </w:rPr>
              <w:t>══════</w:t>
            </w:r>
          </w:p>
        </w:tc>
      </w:tr>
    </w:tbl>
    <w:p w14:paraId="6BE24D72" w14:textId="77777777" w:rsidR="003A7F80" w:rsidRDefault="003A7F80" w:rsidP="00155A84">
      <w:pPr>
        <w:ind w:left="78"/>
        <w:jc w:val="center"/>
        <w:rPr>
          <w:highlight w:val="yellow"/>
        </w:rPr>
      </w:pPr>
    </w:p>
    <w:tbl>
      <w:tblPr>
        <w:tblW w:w="10456" w:type="dxa"/>
        <w:tblLayout w:type="fixed"/>
        <w:tblLook w:val="0000" w:firstRow="0" w:lastRow="0" w:firstColumn="0" w:lastColumn="0" w:noHBand="0" w:noVBand="0"/>
      </w:tblPr>
      <w:tblGrid>
        <w:gridCol w:w="2943"/>
        <w:gridCol w:w="1843"/>
        <w:gridCol w:w="1843"/>
        <w:gridCol w:w="1843"/>
        <w:gridCol w:w="1984"/>
      </w:tblGrid>
      <w:tr w:rsidR="003A7F80" w:rsidRPr="00D40104" w14:paraId="2B10C9C2" w14:textId="77777777" w:rsidTr="00EC20DB">
        <w:tc>
          <w:tcPr>
            <w:tcW w:w="2943" w:type="dxa"/>
          </w:tcPr>
          <w:p w14:paraId="63C2107D" w14:textId="77777777" w:rsidR="003A7F80" w:rsidRPr="00D40104" w:rsidRDefault="003A7F80" w:rsidP="00EC20DB">
            <w:pPr>
              <w:ind w:left="567"/>
            </w:pPr>
            <w:r w:rsidRPr="00D40104">
              <w:t>The aggregate payroll costs were as follows:</w:t>
            </w:r>
          </w:p>
        </w:tc>
        <w:tc>
          <w:tcPr>
            <w:tcW w:w="3686" w:type="dxa"/>
            <w:gridSpan w:val="2"/>
          </w:tcPr>
          <w:p w14:paraId="26FF71D7" w14:textId="77777777" w:rsidR="003A7F80" w:rsidRPr="00D40104" w:rsidRDefault="003A7F80" w:rsidP="00EC20DB">
            <w:pPr>
              <w:ind w:left="282"/>
              <w:jc w:val="center"/>
              <w:rPr>
                <w:b/>
              </w:rPr>
            </w:pPr>
            <w:r w:rsidRPr="00D40104">
              <w:rPr>
                <w:b/>
              </w:rPr>
              <w:t>Consolidated Group</w:t>
            </w:r>
          </w:p>
        </w:tc>
        <w:tc>
          <w:tcPr>
            <w:tcW w:w="3827" w:type="dxa"/>
            <w:gridSpan w:val="2"/>
          </w:tcPr>
          <w:p w14:paraId="30BF0432" w14:textId="77777777" w:rsidR="003A7F80" w:rsidRPr="00D40104" w:rsidRDefault="003A7F80" w:rsidP="00EC20DB">
            <w:pPr>
              <w:ind w:left="435"/>
              <w:jc w:val="center"/>
              <w:rPr>
                <w:b/>
              </w:rPr>
            </w:pPr>
            <w:r w:rsidRPr="00D40104">
              <w:rPr>
                <w:b/>
              </w:rPr>
              <w:t>Parent Entity</w:t>
            </w:r>
          </w:p>
        </w:tc>
      </w:tr>
      <w:tr w:rsidR="003A7F80" w:rsidRPr="00D40104" w14:paraId="624E3FB5" w14:textId="77777777" w:rsidTr="00EC20DB">
        <w:tc>
          <w:tcPr>
            <w:tcW w:w="2943" w:type="dxa"/>
          </w:tcPr>
          <w:p w14:paraId="3E18D7EA" w14:textId="77777777" w:rsidR="003A7F80" w:rsidRPr="00D40104" w:rsidRDefault="003A7F80" w:rsidP="00EC20DB">
            <w:pPr>
              <w:jc w:val="both"/>
              <w:rPr>
                <w:b/>
              </w:rPr>
            </w:pPr>
          </w:p>
        </w:tc>
        <w:tc>
          <w:tcPr>
            <w:tcW w:w="1843" w:type="dxa"/>
          </w:tcPr>
          <w:p w14:paraId="5A200DF0" w14:textId="77777777" w:rsidR="003A7F80" w:rsidRPr="00D40104" w:rsidRDefault="003A7F80" w:rsidP="00EC20DB">
            <w:pPr>
              <w:suppressAutoHyphens/>
              <w:ind w:right="138"/>
              <w:jc w:val="right"/>
              <w:rPr>
                <w:rFonts w:cs="Arial"/>
                <w:b/>
                <w:spacing w:val="-2"/>
              </w:rPr>
            </w:pPr>
            <w:r>
              <w:rPr>
                <w:rFonts w:cs="Arial"/>
                <w:b/>
                <w:spacing w:val="-2"/>
              </w:rPr>
              <w:t xml:space="preserve">Period to 28 December </w:t>
            </w:r>
            <w:r w:rsidRPr="00D40104">
              <w:rPr>
                <w:rFonts w:cs="Arial"/>
                <w:b/>
                <w:spacing w:val="-2"/>
              </w:rPr>
              <w:t>2024</w:t>
            </w:r>
          </w:p>
        </w:tc>
        <w:tc>
          <w:tcPr>
            <w:tcW w:w="1843" w:type="dxa"/>
          </w:tcPr>
          <w:p w14:paraId="1AC3998A" w14:textId="77777777" w:rsidR="003A7F80" w:rsidRPr="00D40104" w:rsidRDefault="003A7F80" w:rsidP="00EC20DB">
            <w:pPr>
              <w:suppressAutoHyphens/>
              <w:ind w:right="138"/>
              <w:jc w:val="right"/>
              <w:rPr>
                <w:rFonts w:cs="Arial"/>
                <w:b/>
                <w:spacing w:val="-2"/>
              </w:rPr>
            </w:pPr>
            <w:r>
              <w:rPr>
                <w:rFonts w:cs="Arial"/>
                <w:b/>
                <w:spacing w:val="-2"/>
              </w:rPr>
              <w:t xml:space="preserve">Period to 30 December </w:t>
            </w:r>
            <w:r w:rsidRPr="00D40104">
              <w:rPr>
                <w:rFonts w:cs="Arial"/>
                <w:b/>
                <w:spacing w:val="-2"/>
              </w:rPr>
              <w:t>2023</w:t>
            </w:r>
          </w:p>
        </w:tc>
        <w:tc>
          <w:tcPr>
            <w:tcW w:w="1843" w:type="dxa"/>
          </w:tcPr>
          <w:p w14:paraId="5CE60571" w14:textId="77777777" w:rsidR="003A7F80" w:rsidRPr="00D40104" w:rsidRDefault="003A7F80" w:rsidP="00EC20DB">
            <w:pPr>
              <w:suppressAutoHyphens/>
              <w:ind w:right="138"/>
              <w:jc w:val="right"/>
              <w:rPr>
                <w:rFonts w:cs="Arial"/>
                <w:b/>
                <w:spacing w:val="-2"/>
              </w:rPr>
            </w:pPr>
            <w:r>
              <w:rPr>
                <w:rFonts w:cs="Arial"/>
                <w:b/>
                <w:spacing w:val="-2"/>
              </w:rPr>
              <w:t xml:space="preserve">Period to 28 December </w:t>
            </w:r>
            <w:r w:rsidRPr="00D40104">
              <w:rPr>
                <w:rFonts w:cs="Arial"/>
                <w:b/>
                <w:spacing w:val="-2"/>
              </w:rPr>
              <w:t>2024</w:t>
            </w:r>
          </w:p>
        </w:tc>
        <w:tc>
          <w:tcPr>
            <w:tcW w:w="1984" w:type="dxa"/>
          </w:tcPr>
          <w:p w14:paraId="7F6BB6BC" w14:textId="77777777" w:rsidR="003A7F80" w:rsidRPr="00D40104" w:rsidRDefault="003A7F80" w:rsidP="00EC20DB">
            <w:pPr>
              <w:suppressAutoHyphens/>
              <w:ind w:right="138"/>
              <w:jc w:val="right"/>
              <w:rPr>
                <w:rFonts w:cs="Arial"/>
                <w:b/>
                <w:spacing w:val="-2"/>
              </w:rPr>
            </w:pPr>
            <w:r>
              <w:rPr>
                <w:rFonts w:cs="Arial"/>
                <w:b/>
                <w:spacing w:val="-2"/>
              </w:rPr>
              <w:t xml:space="preserve">Period to 30 December </w:t>
            </w:r>
            <w:r w:rsidRPr="00D40104">
              <w:rPr>
                <w:rFonts w:cs="Arial"/>
                <w:b/>
                <w:spacing w:val="-2"/>
              </w:rPr>
              <w:t>2023</w:t>
            </w:r>
          </w:p>
        </w:tc>
      </w:tr>
      <w:tr w:rsidR="003A7F80" w:rsidRPr="00D40104" w14:paraId="29D31BD1" w14:textId="77777777" w:rsidTr="00EC20DB">
        <w:tc>
          <w:tcPr>
            <w:tcW w:w="2943" w:type="dxa"/>
          </w:tcPr>
          <w:p w14:paraId="6EEEF4DE" w14:textId="77777777" w:rsidR="003A7F80" w:rsidRPr="00D40104" w:rsidRDefault="003A7F80" w:rsidP="00EC20DB">
            <w:pPr>
              <w:jc w:val="both"/>
              <w:rPr>
                <w:b/>
              </w:rPr>
            </w:pPr>
          </w:p>
        </w:tc>
        <w:tc>
          <w:tcPr>
            <w:tcW w:w="1843" w:type="dxa"/>
          </w:tcPr>
          <w:p w14:paraId="6034DAFD" w14:textId="77777777" w:rsidR="003A7F80" w:rsidRPr="00D40104" w:rsidRDefault="003A7F80" w:rsidP="00EC20DB">
            <w:pPr>
              <w:suppressAutoHyphens/>
              <w:ind w:right="138"/>
              <w:jc w:val="right"/>
              <w:rPr>
                <w:rFonts w:cs="Arial"/>
                <w:b/>
                <w:spacing w:val="-2"/>
              </w:rPr>
            </w:pPr>
            <w:r w:rsidRPr="00D40104">
              <w:rPr>
                <w:rFonts w:cs="Arial"/>
                <w:b/>
                <w:spacing w:val="-2"/>
              </w:rPr>
              <w:t>£’000</w:t>
            </w:r>
          </w:p>
        </w:tc>
        <w:tc>
          <w:tcPr>
            <w:tcW w:w="1843" w:type="dxa"/>
          </w:tcPr>
          <w:p w14:paraId="66C1FCF1" w14:textId="77777777" w:rsidR="003A7F80" w:rsidRPr="00D40104" w:rsidRDefault="003A7F80" w:rsidP="00EC20DB">
            <w:pPr>
              <w:suppressAutoHyphens/>
              <w:ind w:right="138"/>
              <w:jc w:val="right"/>
              <w:rPr>
                <w:rFonts w:cs="Arial"/>
                <w:b/>
                <w:spacing w:val="-2"/>
              </w:rPr>
            </w:pPr>
            <w:r w:rsidRPr="00D40104">
              <w:rPr>
                <w:rFonts w:cs="Arial"/>
                <w:b/>
                <w:spacing w:val="-2"/>
              </w:rPr>
              <w:t>£’000</w:t>
            </w:r>
          </w:p>
        </w:tc>
        <w:tc>
          <w:tcPr>
            <w:tcW w:w="1843" w:type="dxa"/>
          </w:tcPr>
          <w:p w14:paraId="3B118C02" w14:textId="77777777" w:rsidR="003A7F80" w:rsidRPr="00D40104" w:rsidRDefault="003A7F80" w:rsidP="00EC20DB">
            <w:pPr>
              <w:suppressAutoHyphens/>
              <w:ind w:right="138"/>
              <w:jc w:val="right"/>
              <w:rPr>
                <w:rFonts w:cs="Arial"/>
                <w:b/>
                <w:spacing w:val="-2"/>
              </w:rPr>
            </w:pPr>
            <w:r w:rsidRPr="00D40104">
              <w:rPr>
                <w:rFonts w:cs="Arial"/>
                <w:b/>
                <w:spacing w:val="-2"/>
              </w:rPr>
              <w:t>£’000</w:t>
            </w:r>
          </w:p>
        </w:tc>
        <w:tc>
          <w:tcPr>
            <w:tcW w:w="1984" w:type="dxa"/>
          </w:tcPr>
          <w:p w14:paraId="2B34F621" w14:textId="77777777" w:rsidR="003A7F80" w:rsidRPr="00D40104" w:rsidRDefault="003A7F80" w:rsidP="00EC20DB">
            <w:pPr>
              <w:suppressAutoHyphens/>
              <w:ind w:right="138"/>
              <w:jc w:val="right"/>
              <w:rPr>
                <w:rFonts w:cs="Arial"/>
                <w:b/>
                <w:spacing w:val="-2"/>
              </w:rPr>
            </w:pPr>
            <w:r w:rsidRPr="00D40104">
              <w:rPr>
                <w:rFonts w:cs="Arial"/>
                <w:b/>
                <w:spacing w:val="-2"/>
              </w:rPr>
              <w:t>£’000</w:t>
            </w:r>
          </w:p>
        </w:tc>
      </w:tr>
      <w:tr w:rsidR="003A7F80" w:rsidRPr="00D40104" w14:paraId="166A0111" w14:textId="77777777" w:rsidTr="00EC20DB">
        <w:tc>
          <w:tcPr>
            <w:tcW w:w="2943" w:type="dxa"/>
          </w:tcPr>
          <w:p w14:paraId="22DEF3E0" w14:textId="77777777" w:rsidR="003A7F80" w:rsidRPr="00D40104" w:rsidRDefault="003A7F80" w:rsidP="00EC20DB">
            <w:pPr>
              <w:jc w:val="both"/>
              <w:rPr>
                <w:b/>
                <w:sz w:val="8"/>
                <w:szCs w:val="8"/>
              </w:rPr>
            </w:pPr>
          </w:p>
        </w:tc>
        <w:tc>
          <w:tcPr>
            <w:tcW w:w="1843" w:type="dxa"/>
          </w:tcPr>
          <w:p w14:paraId="5E3E8EC5" w14:textId="77777777" w:rsidR="003A7F80" w:rsidRPr="00D40104" w:rsidRDefault="003A7F80" w:rsidP="00EC20DB">
            <w:pPr>
              <w:suppressAutoHyphens/>
              <w:ind w:right="138"/>
              <w:jc w:val="right"/>
              <w:rPr>
                <w:rFonts w:cs="Arial"/>
                <w:b/>
                <w:spacing w:val="-2"/>
              </w:rPr>
            </w:pPr>
          </w:p>
        </w:tc>
        <w:tc>
          <w:tcPr>
            <w:tcW w:w="1843" w:type="dxa"/>
          </w:tcPr>
          <w:p w14:paraId="20F816D3" w14:textId="77777777" w:rsidR="003A7F80" w:rsidRPr="00D40104" w:rsidRDefault="003A7F80" w:rsidP="00EC20DB">
            <w:pPr>
              <w:suppressAutoHyphens/>
              <w:ind w:right="138"/>
              <w:jc w:val="right"/>
              <w:rPr>
                <w:rFonts w:cs="Arial"/>
                <w:b/>
                <w:spacing w:val="-2"/>
                <w:sz w:val="8"/>
                <w:szCs w:val="8"/>
              </w:rPr>
            </w:pPr>
          </w:p>
        </w:tc>
        <w:tc>
          <w:tcPr>
            <w:tcW w:w="1843" w:type="dxa"/>
          </w:tcPr>
          <w:p w14:paraId="68906EC6" w14:textId="77777777" w:rsidR="003A7F80" w:rsidRPr="00D40104" w:rsidRDefault="003A7F80" w:rsidP="00EC20DB">
            <w:pPr>
              <w:suppressAutoHyphens/>
              <w:ind w:right="138"/>
              <w:jc w:val="right"/>
              <w:rPr>
                <w:rFonts w:cs="Arial"/>
                <w:b/>
                <w:spacing w:val="-2"/>
                <w:sz w:val="8"/>
                <w:szCs w:val="8"/>
              </w:rPr>
            </w:pPr>
          </w:p>
        </w:tc>
        <w:tc>
          <w:tcPr>
            <w:tcW w:w="1984" w:type="dxa"/>
          </w:tcPr>
          <w:p w14:paraId="07F67EC5" w14:textId="77777777" w:rsidR="003A7F80" w:rsidRPr="00D40104" w:rsidRDefault="003A7F80" w:rsidP="00EC20DB">
            <w:pPr>
              <w:suppressAutoHyphens/>
              <w:ind w:right="138"/>
              <w:jc w:val="right"/>
              <w:rPr>
                <w:rFonts w:cs="Arial"/>
                <w:b/>
                <w:spacing w:val="-2"/>
                <w:sz w:val="8"/>
                <w:szCs w:val="8"/>
              </w:rPr>
            </w:pPr>
          </w:p>
        </w:tc>
      </w:tr>
      <w:tr w:rsidR="003A7F80" w:rsidRPr="00D40104" w14:paraId="3B4D247E" w14:textId="77777777" w:rsidTr="00EC20DB">
        <w:tc>
          <w:tcPr>
            <w:tcW w:w="2943" w:type="dxa"/>
          </w:tcPr>
          <w:p w14:paraId="7BB7B72C" w14:textId="77777777" w:rsidR="003A7F80" w:rsidRPr="00D40104" w:rsidRDefault="003A7F80" w:rsidP="00EC20DB">
            <w:pPr>
              <w:jc w:val="both"/>
            </w:pPr>
            <w:r w:rsidRPr="00D40104">
              <w:tab/>
              <w:t>Wages and salaries</w:t>
            </w:r>
          </w:p>
        </w:tc>
        <w:tc>
          <w:tcPr>
            <w:tcW w:w="1843" w:type="dxa"/>
          </w:tcPr>
          <w:p w14:paraId="51FB168F" w14:textId="77777777" w:rsidR="003A7F80" w:rsidRPr="00D40104" w:rsidRDefault="003A7F80" w:rsidP="00EC20DB">
            <w:pPr>
              <w:suppressAutoHyphens/>
              <w:ind w:left="-113" w:right="138"/>
              <w:jc w:val="right"/>
              <w:rPr>
                <w:rFonts w:cs="Arial"/>
                <w:spacing w:val="-2"/>
              </w:rPr>
            </w:pPr>
            <w:r w:rsidRPr="00D40104">
              <w:rPr>
                <w:rFonts w:cs="Arial"/>
                <w:spacing w:val="-2"/>
              </w:rPr>
              <w:t>108,128</w:t>
            </w:r>
          </w:p>
        </w:tc>
        <w:tc>
          <w:tcPr>
            <w:tcW w:w="1843" w:type="dxa"/>
          </w:tcPr>
          <w:p w14:paraId="289D444B" w14:textId="77777777" w:rsidR="003A7F80" w:rsidRPr="00D40104" w:rsidRDefault="003A7F80" w:rsidP="00EC20DB">
            <w:pPr>
              <w:suppressAutoHyphens/>
              <w:ind w:right="138"/>
              <w:jc w:val="right"/>
              <w:rPr>
                <w:rFonts w:cs="Arial"/>
                <w:spacing w:val="-2"/>
              </w:rPr>
            </w:pPr>
            <w:r w:rsidRPr="00D40104">
              <w:rPr>
                <w:rFonts w:cs="Arial"/>
                <w:spacing w:val="-2"/>
              </w:rPr>
              <w:t>97,173</w:t>
            </w:r>
          </w:p>
        </w:tc>
        <w:tc>
          <w:tcPr>
            <w:tcW w:w="1843" w:type="dxa"/>
          </w:tcPr>
          <w:p w14:paraId="3451AAA4" w14:textId="77777777" w:rsidR="003A7F80" w:rsidRPr="00D40104" w:rsidRDefault="003A7F80" w:rsidP="00EC20DB">
            <w:pPr>
              <w:suppressAutoHyphens/>
              <w:ind w:right="138"/>
              <w:jc w:val="right"/>
              <w:rPr>
                <w:rFonts w:cs="Arial"/>
                <w:spacing w:val="-2"/>
              </w:rPr>
            </w:pPr>
            <w:r w:rsidRPr="00D40104">
              <w:rPr>
                <w:rFonts w:cs="Arial"/>
                <w:spacing w:val="-2"/>
              </w:rPr>
              <w:t>206</w:t>
            </w:r>
          </w:p>
        </w:tc>
        <w:tc>
          <w:tcPr>
            <w:tcW w:w="1984" w:type="dxa"/>
          </w:tcPr>
          <w:p w14:paraId="3C0C34AA" w14:textId="77777777" w:rsidR="003A7F80" w:rsidRPr="00D40104" w:rsidRDefault="003A7F80" w:rsidP="00EC20DB">
            <w:pPr>
              <w:suppressAutoHyphens/>
              <w:ind w:right="138"/>
              <w:jc w:val="right"/>
              <w:rPr>
                <w:rFonts w:cs="Arial"/>
                <w:spacing w:val="-2"/>
              </w:rPr>
            </w:pPr>
            <w:r w:rsidRPr="00D40104">
              <w:rPr>
                <w:rFonts w:cs="Arial"/>
                <w:spacing w:val="-2"/>
              </w:rPr>
              <w:t>188</w:t>
            </w:r>
          </w:p>
        </w:tc>
      </w:tr>
      <w:tr w:rsidR="003A7F80" w:rsidRPr="00D40104" w14:paraId="685B5ECC" w14:textId="77777777" w:rsidTr="00EC20DB">
        <w:tc>
          <w:tcPr>
            <w:tcW w:w="2943" w:type="dxa"/>
          </w:tcPr>
          <w:p w14:paraId="197DBB3C" w14:textId="77777777" w:rsidR="003A7F80" w:rsidRPr="00D40104" w:rsidRDefault="003A7F80" w:rsidP="00EC20DB">
            <w:pPr>
              <w:jc w:val="both"/>
            </w:pPr>
            <w:r w:rsidRPr="00D40104">
              <w:tab/>
              <w:t>Social security costs</w:t>
            </w:r>
          </w:p>
        </w:tc>
        <w:tc>
          <w:tcPr>
            <w:tcW w:w="1843" w:type="dxa"/>
          </w:tcPr>
          <w:p w14:paraId="0784AEE3" w14:textId="77777777" w:rsidR="003A7F80" w:rsidRPr="00D40104" w:rsidRDefault="003A7F80" w:rsidP="00EC20DB">
            <w:pPr>
              <w:suppressAutoHyphens/>
              <w:ind w:right="138"/>
              <w:jc w:val="right"/>
              <w:rPr>
                <w:rFonts w:cs="Arial"/>
                <w:spacing w:val="-2"/>
              </w:rPr>
            </w:pPr>
            <w:r w:rsidRPr="00D40104">
              <w:rPr>
                <w:rFonts w:cs="Arial"/>
                <w:spacing w:val="-2"/>
              </w:rPr>
              <w:t>11,163</w:t>
            </w:r>
          </w:p>
        </w:tc>
        <w:tc>
          <w:tcPr>
            <w:tcW w:w="1843" w:type="dxa"/>
          </w:tcPr>
          <w:p w14:paraId="0835F5E3" w14:textId="77777777" w:rsidR="003A7F80" w:rsidRPr="00D40104" w:rsidRDefault="003A7F80" w:rsidP="00EC20DB">
            <w:pPr>
              <w:suppressAutoHyphens/>
              <w:ind w:right="138"/>
              <w:jc w:val="right"/>
              <w:rPr>
                <w:rFonts w:cs="Arial"/>
                <w:spacing w:val="-2"/>
              </w:rPr>
            </w:pPr>
            <w:r w:rsidRPr="00D40104">
              <w:rPr>
                <w:rFonts w:cs="Arial"/>
                <w:spacing w:val="-2"/>
              </w:rPr>
              <w:t>10,033</w:t>
            </w:r>
          </w:p>
        </w:tc>
        <w:tc>
          <w:tcPr>
            <w:tcW w:w="1843" w:type="dxa"/>
          </w:tcPr>
          <w:p w14:paraId="1926BA84" w14:textId="77777777" w:rsidR="003A7F80" w:rsidRPr="00D40104" w:rsidRDefault="003A7F80" w:rsidP="00EC20DB">
            <w:pPr>
              <w:suppressAutoHyphens/>
              <w:ind w:right="138"/>
              <w:jc w:val="right"/>
              <w:rPr>
                <w:rFonts w:cs="Arial"/>
                <w:spacing w:val="-2"/>
              </w:rPr>
            </w:pPr>
            <w:r w:rsidRPr="00D40104">
              <w:rPr>
                <w:rFonts w:cs="Arial"/>
                <w:spacing w:val="-2"/>
              </w:rPr>
              <w:t>24</w:t>
            </w:r>
          </w:p>
        </w:tc>
        <w:tc>
          <w:tcPr>
            <w:tcW w:w="1984" w:type="dxa"/>
          </w:tcPr>
          <w:p w14:paraId="7DCE2481" w14:textId="77777777" w:rsidR="003A7F80" w:rsidRPr="00D40104" w:rsidRDefault="003A7F80" w:rsidP="00EC20DB">
            <w:pPr>
              <w:suppressAutoHyphens/>
              <w:ind w:right="138"/>
              <w:jc w:val="right"/>
              <w:rPr>
                <w:rFonts w:cs="Arial"/>
                <w:spacing w:val="-2"/>
              </w:rPr>
            </w:pPr>
            <w:r w:rsidRPr="00D40104">
              <w:rPr>
                <w:rFonts w:cs="Arial"/>
                <w:spacing w:val="-2"/>
              </w:rPr>
              <w:t>23</w:t>
            </w:r>
          </w:p>
        </w:tc>
      </w:tr>
      <w:tr w:rsidR="003A7F80" w:rsidRPr="00D40104" w14:paraId="64EB3572" w14:textId="77777777" w:rsidTr="00EC20DB">
        <w:tc>
          <w:tcPr>
            <w:tcW w:w="2943" w:type="dxa"/>
          </w:tcPr>
          <w:p w14:paraId="1450B4B8" w14:textId="77777777" w:rsidR="003A7F80" w:rsidRPr="00D40104" w:rsidRDefault="003A7F80" w:rsidP="00EC20DB">
            <w:pPr>
              <w:jc w:val="both"/>
            </w:pPr>
            <w:r w:rsidRPr="00D40104">
              <w:tab/>
              <w:t>Other pension costs</w:t>
            </w:r>
          </w:p>
        </w:tc>
        <w:tc>
          <w:tcPr>
            <w:tcW w:w="1843" w:type="dxa"/>
          </w:tcPr>
          <w:p w14:paraId="7731ACF0" w14:textId="77777777" w:rsidR="003A7F80" w:rsidRPr="00D40104" w:rsidRDefault="003A7F80" w:rsidP="00EC20DB">
            <w:pPr>
              <w:suppressAutoHyphens/>
              <w:ind w:right="138"/>
              <w:jc w:val="right"/>
              <w:rPr>
                <w:rFonts w:cs="Arial"/>
                <w:spacing w:val="-2"/>
              </w:rPr>
            </w:pPr>
            <w:r w:rsidRPr="00D40104">
              <w:rPr>
                <w:rFonts w:cs="Arial"/>
                <w:spacing w:val="-2"/>
              </w:rPr>
              <w:t>9,108</w:t>
            </w:r>
          </w:p>
        </w:tc>
        <w:tc>
          <w:tcPr>
            <w:tcW w:w="1843" w:type="dxa"/>
          </w:tcPr>
          <w:p w14:paraId="47C478EF" w14:textId="77777777" w:rsidR="003A7F80" w:rsidRPr="00D40104" w:rsidRDefault="003A7F80" w:rsidP="00EC20DB">
            <w:pPr>
              <w:suppressAutoHyphens/>
              <w:ind w:right="138"/>
              <w:jc w:val="right"/>
              <w:rPr>
                <w:rFonts w:cs="Arial"/>
                <w:spacing w:val="-2"/>
              </w:rPr>
            </w:pPr>
            <w:r w:rsidRPr="00D40104">
              <w:rPr>
                <w:rFonts w:cs="Arial"/>
                <w:spacing w:val="-2"/>
              </w:rPr>
              <w:t>6,147</w:t>
            </w:r>
          </w:p>
        </w:tc>
        <w:tc>
          <w:tcPr>
            <w:tcW w:w="1843" w:type="dxa"/>
          </w:tcPr>
          <w:p w14:paraId="57604B81" w14:textId="77777777" w:rsidR="003A7F80" w:rsidRPr="00D40104" w:rsidRDefault="003A7F80" w:rsidP="00EC20DB">
            <w:pPr>
              <w:suppressAutoHyphens/>
              <w:ind w:right="138"/>
              <w:jc w:val="right"/>
              <w:rPr>
                <w:rFonts w:cs="Arial"/>
                <w:spacing w:val="-2"/>
              </w:rPr>
            </w:pPr>
            <w:r w:rsidRPr="00D40104">
              <w:rPr>
                <w:rFonts w:cs="Arial"/>
                <w:spacing w:val="-2"/>
              </w:rPr>
              <w:t>2</w:t>
            </w:r>
          </w:p>
        </w:tc>
        <w:tc>
          <w:tcPr>
            <w:tcW w:w="1984" w:type="dxa"/>
          </w:tcPr>
          <w:p w14:paraId="243D762C" w14:textId="77777777" w:rsidR="003A7F80" w:rsidRPr="00D40104" w:rsidRDefault="003A7F80" w:rsidP="00EC20DB">
            <w:pPr>
              <w:suppressAutoHyphens/>
              <w:ind w:right="138"/>
              <w:jc w:val="right"/>
              <w:rPr>
                <w:rFonts w:cs="Arial"/>
                <w:spacing w:val="-2"/>
              </w:rPr>
            </w:pPr>
            <w:r w:rsidRPr="00D40104">
              <w:rPr>
                <w:rFonts w:cs="Arial"/>
                <w:spacing w:val="-2"/>
              </w:rPr>
              <w:t>2</w:t>
            </w:r>
          </w:p>
        </w:tc>
      </w:tr>
      <w:tr w:rsidR="003A7F80" w:rsidRPr="00D40104" w14:paraId="17C00D7C" w14:textId="77777777" w:rsidTr="00EC20DB">
        <w:tc>
          <w:tcPr>
            <w:tcW w:w="2943" w:type="dxa"/>
          </w:tcPr>
          <w:p w14:paraId="2E6E50D9" w14:textId="77777777" w:rsidR="003A7F80" w:rsidRPr="00D40104" w:rsidRDefault="003A7F80" w:rsidP="00EC20DB">
            <w:pPr>
              <w:jc w:val="both"/>
            </w:pPr>
          </w:p>
        </w:tc>
        <w:tc>
          <w:tcPr>
            <w:tcW w:w="1843" w:type="dxa"/>
          </w:tcPr>
          <w:p w14:paraId="59206707" w14:textId="77777777" w:rsidR="003A7F80" w:rsidRPr="00D40104" w:rsidRDefault="003A7F80" w:rsidP="00EC20DB">
            <w:pPr>
              <w:tabs>
                <w:tab w:val="decimal" w:pos="1588"/>
              </w:tabs>
              <w:jc w:val="both"/>
            </w:pPr>
            <w:r>
              <w:rPr>
                <w:spacing w:val="-2"/>
              </w:rPr>
              <w:t xml:space="preserve">    </w:t>
            </w:r>
            <w:r w:rsidRPr="00D40104">
              <w:rPr>
                <w:spacing w:val="-2"/>
              </w:rPr>
              <w:t>──────</w:t>
            </w:r>
          </w:p>
        </w:tc>
        <w:tc>
          <w:tcPr>
            <w:tcW w:w="1843" w:type="dxa"/>
          </w:tcPr>
          <w:p w14:paraId="4B1D5B59" w14:textId="77777777" w:rsidR="003A7F80" w:rsidRPr="00D40104" w:rsidRDefault="003A7F80" w:rsidP="00EC20DB">
            <w:pPr>
              <w:tabs>
                <w:tab w:val="decimal" w:pos="1455"/>
              </w:tabs>
              <w:ind w:right="170"/>
              <w:jc w:val="both"/>
            </w:pPr>
            <w:r w:rsidRPr="00D40104">
              <w:rPr>
                <w:spacing w:val="-2"/>
              </w:rPr>
              <w:t>──────</w:t>
            </w:r>
          </w:p>
        </w:tc>
        <w:tc>
          <w:tcPr>
            <w:tcW w:w="1843" w:type="dxa"/>
          </w:tcPr>
          <w:p w14:paraId="40463D13" w14:textId="77777777" w:rsidR="003A7F80" w:rsidRPr="00D40104" w:rsidRDefault="003A7F80" w:rsidP="00EC20DB">
            <w:pPr>
              <w:tabs>
                <w:tab w:val="decimal" w:pos="1450"/>
              </w:tabs>
              <w:jc w:val="both"/>
            </w:pPr>
            <w:r w:rsidRPr="00D40104">
              <w:rPr>
                <w:spacing w:val="-2"/>
              </w:rPr>
              <w:t>──────</w:t>
            </w:r>
          </w:p>
        </w:tc>
        <w:tc>
          <w:tcPr>
            <w:tcW w:w="1984" w:type="dxa"/>
          </w:tcPr>
          <w:p w14:paraId="61A1D047" w14:textId="77777777" w:rsidR="003A7F80" w:rsidRPr="00D40104" w:rsidRDefault="003A7F80" w:rsidP="00EC20DB">
            <w:pPr>
              <w:tabs>
                <w:tab w:val="decimal" w:pos="1766"/>
              </w:tabs>
              <w:jc w:val="both"/>
            </w:pPr>
            <w:r w:rsidRPr="00D40104">
              <w:rPr>
                <w:spacing w:val="-2"/>
              </w:rPr>
              <w:t>──────</w:t>
            </w:r>
          </w:p>
        </w:tc>
      </w:tr>
      <w:tr w:rsidR="003A7F80" w:rsidRPr="00D40104" w14:paraId="3FA87CC2" w14:textId="77777777" w:rsidTr="00EC20DB">
        <w:tc>
          <w:tcPr>
            <w:tcW w:w="2943" w:type="dxa"/>
          </w:tcPr>
          <w:p w14:paraId="3DD211C8" w14:textId="77777777" w:rsidR="003A7F80" w:rsidRPr="00D40104" w:rsidRDefault="003A7F80" w:rsidP="00EC20DB">
            <w:pPr>
              <w:jc w:val="both"/>
            </w:pPr>
          </w:p>
        </w:tc>
        <w:tc>
          <w:tcPr>
            <w:tcW w:w="1843" w:type="dxa"/>
          </w:tcPr>
          <w:p w14:paraId="3F01074A" w14:textId="77777777" w:rsidR="003A7F80" w:rsidRPr="002C1D71" w:rsidRDefault="003A7F80" w:rsidP="00EC20DB">
            <w:pPr>
              <w:suppressAutoHyphens/>
              <w:ind w:left="-113" w:right="138"/>
              <w:jc w:val="right"/>
              <w:rPr>
                <w:rFonts w:cs="Arial"/>
                <w:spacing w:val="-2"/>
              </w:rPr>
            </w:pPr>
            <w:r w:rsidRPr="002C1D71">
              <w:rPr>
                <w:rFonts w:cs="Arial"/>
                <w:spacing w:val="-2"/>
              </w:rPr>
              <w:t>128,399</w:t>
            </w:r>
          </w:p>
        </w:tc>
        <w:tc>
          <w:tcPr>
            <w:tcW w:w="1843" w:type="dxa"/>
          </w:tcPr>
          <w:p w14:paraId="25816F5C" w14:textId="77777777" w:rsidR="003A7F80" w:rsidRPr="002C1D71" w:rsidRDefault="003A7F80" w:rsidP="00EC20DB">
            <w:pPr>
              <w:suppressAutoHyphens/>
              <w:ind w:left="-113" w:right="138"/>
              <w:jc w:val="right"/>
              <w:rPr>
                <w:rFonts w:cs="Arial"/>
                <w:spacing w:val="-2"/>
              </w:rPr>
            </w:pPr>
            <w:r w:rsidRPr="002C1D71">
              <w:rPr>
                <w:rFonts w:cs="Arial"/>
                <w:spacing w:val="-2"/>
              </w:rPr>
              <w:t>113,353</w:t>
            </w:r>
          </w:p>
        </w:tc>
        <w:tc>
          <w:tcPr>
            <w:tcW w:w="1843" w:type="dxa"/>
          </w:tcPr>
          <w:p w14:paraId="7199EF37" w14:textId="77777777" w:rsidR="003A7F80" w:rsidRPr="002C1D71" w:rsidRDefault="003A7F80" w:rsidP="00EC20DB">
            <w:pPr>
              <w:suppressAutoHyphens/>
              <w:ind w:right="138"/>
              <w:jc w:val="right"/>
              <w:rPr>
                <w:rFonts w:cs="Arial"/>
                <w:spacing w:val="-2"/>
              </w:rPr>
            </w:pPr>
            <w:r w:rsidRPr="002C1D71">
              <w:rPr>
                <w:rFonts w:cs="Arial"/>
                <w:spacing w:val="-2"/>
              </w:rPr>
              <w:t>232</w:t>
            </w:r>
          </w:p>
        </w:tc>
        <w:tc>
          <w:tcPr>
            <w:tcW w:w="1984" w:type="dxa"/>
          </w:tcPr>
          <w:p w14:paraId="397B062B" w14:textId="77777777" w:rsidR="003A7F80" w:rsidRPr="002C1D71" w:rsidRDefault="003A7F80" w:rsidP="00EC20DB">
            <w:pPr>
              <w:suppressAutoHyphens/>
              <w:ind w:left="-113" w:right="138"/>
              <w:jc w:val="right"/>
              <w:rPr>
                <w:rFonts w:cs="Arial"/>
                <w:spacing w:val="-2"/>
              </w:rPr>
            </w:pPr>
            <w:r w:rsidRPr="002C1D71">
              <w:rPr>
                <w:rFonts w:cs="Arial"/>
                <w:spacing w:val="-2"/>
              </w:rPr>
              <w:t>213</w:t>
            </w:r>
          </w:p>
        </w:tc>
      </w:tr>
      <w:tr w:rsidR="003A7F80" w:rsidRPr="00D40104" w14:paraId="0FD5CBB8" w14:textId="77777777" w:rsidTr="00EC20DB">
        <w:tc>
          <w:tcPr>
            <w:tcW w:w="2943" w:type="dxa"/>
          </w:tcPr>
          <w:p w14:paraId="3DC6EFD9" w14:textId="77777777" w:rsidR="003A7F80" w:rsidRPr="00D40104" w:rsidRDefault="003A7F80" w:rsidP="00EC20DB">
            <w:pPr>
              <w:jc w:val="both"/>
            </w:pPr>
          </w:p>
        </w:tc>
        <w:tc>
          <w:tcPr>
            <w:tcW w:w="1843" w:type="dxa"/>
          </w:tcPr>
          <w:p w14:paraId="13EC3BB7" w14:textId="77777777" w:rsidR="003A7F80" w:rsidRPr="00D40104" w:rsidRDefault="003A7F80" w:rsidP="00EC20DB">
            <w:pPr>
              <w:tabs>
                <w:tab w:val="decimal" w:pos="1616"/>
              </w:tabs>
              <w:jc w:val="both"/>
            </w:pPr>
            <w:r w:rsidRPr="00D40104">
              <w:rPr>
                <w:spacing w:val="-2"/>
              </w:rPr>
              <w:t>══════</w:t>
            </w:r>
          </w:p>
        </w:tc>
        <w:tc>
          <w:tcPr>
            <w:tcW w:w="1843" w:type="dxa"/>
          </w:tcPr>
          <w:p w14:paraId="68BB93D3" w14:textId="77777777" w:rsidR="003A7F80" w:rsidRPr="00D40104" w:rsidRDefault="003A7F80" w:rsidP="00EC20DB">
            <w:pPr>
              <w:tabs>
                <w:tab w:val="decimal" w:pos="1455"/>
              </w:tabs>
              <w:ind w:right="170"/>
              <w:jc w:val="both"/>
            </w:pPr>
            <w:r w:rsidRPr="00D40104">
              <w:rPr>
                <w:spacing w:val="-2"/>
              </w:rPr>
              <w:t>══════</w:t>
            </w:r>
          </w:p>
        </w:tc>
        <w:tc>
          <w:tcPr>
            <w:tcW w:w="1843" w:type="dxa"/>
          </w:tcPr>
          <w:p w14:paraId="7F22F644" w14:textId="77777777" w:rsidR="003A7F80" w:rsidRPr="00D40104" w:rsidRDefault="003A7F80" w:rsidP="00EC20DB">
            <w:pPr>
              <w:tabs>
                <w:tab w:val="decimal" w:pos="1450"/>
              </w:tabs>
              <w:jc w:val="both"/>
            </w:pPr>
            <w:r w:rsidRPr="00D40104">
              <w:rPr>
                <w:spacing w:val="-2"/>
              </w:rPr>
              <w:t>══════</w:t>
            </w:r>
          </w:p>
        </w:tc>
        <w:tc>
          <w:tcPr>
            <w:tcW w:w="1984" w:type="dxa"/>
          </w:tcPr>
          <w:p w14:paraId="7B4E8F20" w14:textId="77777777" w:rsidR="003A7F80" w:rsidRPr="00D40104" w:rsidRDefault="003A7F80" w:rsidP="00EC20DB">
            <w:pPr>
              <w:tabs>
                <w:tab w:val="decimal" w:pos="879"/>
              </w:tabs>
              <w:jc w:val="right"/>
            </w:pPr>
            <w:r w:rsidRPr="00D40104">
              <w:rPr>
                <w:spacing w:val="-2"/>
              </w:rPr>
              <w:t>══════</w:t>
            </w:r>
          </w:p>
        </w:tc>
      </w:tr>
    </w:tbl>
    <w:p w14:paraId="17F50685" w14:textId="77777777" w:rsidR="003A7F80" w:rsidRPr="00D40104" w:rsidRDefault="003A7F80" w:rsidP="003A7F80">
      <w:pPr>
        <w:ind w:left="567" w:firstLine="3"/>
        <w:jc w:val="both"/>
        <w:rPr>
          <w:rFonts w:cs="Arial"/>
          <w:sz w:val="4"/>
          <w:szCs w:val="4"/>
        </w:rPr>
      </w:pPr>
    </w:p>
    <w:p w14:paraId="2E07EA65" w14:textId="77777777" w:rsidR="006B74D3" w:rsidRDefault="006B74D3" w:rsidP="003A7F80">
      <w:pPr>
        <w:jc w:val="both"/>
        <w:rPr>
          <w:rFonts w:cs="Arial"/>
        </w:rPr>
      </w:pPr>
    </w:p>
    <w:p w14:paraId="00B7E283" w14:textId="77777777" w:rsidR="003A7F80" w:rsidRPr="00D40104" w:rsidRDefault="003A7F80" w:rsidP="003A7F80">
      <w:pPr>
        <w:jc w:val="both"/>
        <w:rPr>
          <w:rFonts w:cs="Arial"/>
        </w:rPr>
      </w:pPr>
      <w:r w:rsidRPr="00D40104">
        <w:rPr>
          <w:rFonts w:cs="Arial"/>
        </w:rPr>
        <w:t>Other pension costs comprise contributions to defined benefit schemes of £2,010,000 (2023: £2,126,000) and to defined contribution schemes of £7,098,000 (2023: £4,021,000) for the Group and £nil (2023: £nil) and £2,000 (2023: £2,000) for the Company respectively.</w:t>
      </w:r>
    </w:p>
    <w:p w14:paraId="29796973" w14:textId="77777777" w:rsidR="003A7F80" w:rsidRPr="00D40104" w:rsidRDefault="003A7F80" w:rsidP="003A7F80">
      <w:pPr>
        <w:ind w:left="567" w:firstLine="3"/>
        <w:jc w:val="both"/>
        <w:rPr>
          <w:sz w:val="8"/>
          <w:szCs w:val="8"/>
        </w:rPr>
      </w:pPr>
    </w:p>
    <w:tbl>
      <w:tblPr>
        <w:tblW w:w="10456" w:type="dxa"/>
        <w:tblLayout w:type="fixed"/>
        <w:tblLook w:val="0000" w:firstRow="0" w:lastRow="0" w:firstColumn="0" w:lastColumn="0" w:noHBand="0" w:noVBand="0"/>
      </w:tblPr>
      <w:tblGrid>
        <w:gridCol w:w="2943"/>
        <w:gridCol w:w="1843"/>
        <w:gridCol w:w="1843"/>
        <w:gridCol w:w="1843"/>
        <w:gridCol w:w="1984"/>
      </w:tblGrid>
      <w:tr w:rsidR="003A7F80" w:rsidRPr="00D55E08" w14:paraId="08E1383C" w14:textId="77777777" w:rsidTr="00EC20DB">
        <w:tc>
          <w:tcPr>
            <w:tcW w:w="2943" w:type="dxa"/>
          </w:tcPr>
          <w:p w14:paraId="31CF1A8D" w14:textId="77777777" w:rsidR="003A7F80" w:rsidRPr="00D40104" w:rsidRDefault="003A7F80" w:rsidP="00EC20DB">
            <w:pPr>
              <w:ind w:left="567"/>
              <w:jc w:val="both"/>
            </w:pPr>
          </w:p>
        </w:tc>
        <w:tc>
          <w:tcPr>
            <w:tcW w:w="3686" w:type="dxa"/>
            <w:gridSpan w:val="2"/>
          </w:tcPr>
          <w:p w14:paraId="713A53EC" w14:textId="77777777" w:rsidR="003A7F80" w:rsidRPr="00D55E08" w:rsidRDefault="003A7F80" w:rsidP="00EC20DB">
            <w:pPr>
              <w:ind w:left="282"/>
              <w:jc w:val="center"/>
              <w:rPr>
                <w:b/>
              </w:rPr>
            </w:pPr>
            <w:r w:rsidRPr="00D55E08">
              <w:rPr>
                <w:b/>
              </w:rPr>
              <w:t>Consolidated Group</w:t>
            </w:r>
          </w:p>
        </w:tc>
        <w:tc>
          <w:tcPr>
            <w:tcW w:w="3827" w:type="dxa"/>
            <w:gridSpan w:val="2"/>
          </w:tcPr>
          <w:p w14:paraId="65B26BDF" w14:textId="77777777" w:rsidR="003A7F80" w:rsidRPr="00D55E08" w:rsidRDefault="003A7F80" w:rsidP="00EC20DB">
            <w:pPr>
              <w:ind w:left="238"/>
              <w:jc w:val="center"/>
              <w:rPr>
                <w:b/>
              </w:rPr>
            </w:pPr>
            <w:r w:rsidRPr="00D55E08">
              <w:rPr>
                <w:b/>
              </w:rPr>
              <w:t>Parent Entity</w:t>
            </w:r>
          </w:p>
        </w:tc>
      </w:tr>
      <w:tr w:rsidR="003A7F80" w:rsidRPr="00D55E08" w14:paraId="153ED28D" w14:textId="77777777" w:rsidTr="00EC20DB">
        <w:tc>
          <w:tcPr>
            <w:tcW w:w="2943" w:type="dxa"/>
          </w:tcPr>
          <w:p w14:paraId="433710B1" w14:textId="77777777" w:rsidR="003A7F80" w:rsidRPr="00D55E08" w:rsidRDefault="003A7F80" w:rsidP="00EC20DB">
            <w:pPr>
              <w:ind w:left="567"/>
              <w:jc w:val="both"/>
              <w:rPr>
                <w:b/>
              </w:rPr>
            </w:pPr>
            <w:r w:rsidRPr="00D55E08">
              <w:rPr>
                <w:i/>
                <w:u w:val="single"/>
              </w:rPr>
              <w:t>Directors’ remuneration</w:t>
            </w:r>
          </w:p>
        </w:tc>
        <w:tc>
          <w:tcPr>
            <w:tcW w:w="1843" w:type="dxa"/>
          </w:tcPr>
          <w:p w14:paraId="3288274D" w14:textId="77777777" w:rsidR="003A7F80" w:rsidRPr="00D55E08" w:rsidRDefault="003A7F80" w:rsidP="00EC20DB">
            <w:pPr>
              <w:suppressAutoHyphens/>
              <w:ind w:right="126"/>
              <w:jc w:val="right"/>
              <w:rPr>
                <w:rFonts w:cs="Arial"/>
                <w:b/>
                <w:spacing w:val="-2"/>
              </w:rPr>
            </w:pPr>
            <w:r w:rsidRPr="00D55E08">
              <w:rPr>
                <w:rFonts w:cs="Arial"/>
                <w:b/>
                <w:spacing w:val="-2"/>
              </w:rPr>
              <w:t>Period to 28 December 2024</w:t>
            </w:r>
          </w:p>
        </w:tc>
        <w:tc>
          <w:tcPr>
            <w:tcW w:w="1843" w:type="dxa"/>
          </w:tcPr>
          <w:p w14:paraId="2C587603" w14:textId="77777777" w:rsidR="003A7F80" w:rsidRPr="00D55E08" w:rsidRDefault="003A7F80" w:rsidP="00EC20DB">
            <w:pPr>
              <w:suppressAutoHyphens/>
              <w:ind w:right="126"/>
              <w:jc w:val="right"/>
              <w:rPr>
                <w:rFonts w:cs="Arial"/>
                <w:b/>
                <w:spacing w:val="-2"/>
              </w:rPr>
            </w:pPr>
            <w:r w:rsidRPr="00D55E08">
              <w:rPr>
                <w:rFonts w:cs="Arial"/>
                <w:b/>
                <w:spacing w:val="-2"/>
              </w:rPr>
              <w:t>Period to 30 December 2023</w:t>
            </w:r>
          </w:p>
        </w:tc>
        <w:tc>
          <w:tcPr>
            <w:tcW w:w="1843" w:type="dxa"/>
          </w:tcPr>
          <w:p w14:paraId="58B41E0A" w14:textId="77777777" w:rsidR="003A7F80" w:rsidRPr="00D55E08" w:rsidRDefault="003A7F80" w:rsidP="00EC20DB">
            <w:pPr>
              <w:suppressAutoHyphens/>
              <w:ind w:right="126"/>
              <w:jc w:val="right"/>
              <w:rPr>
                <w:rFonts w:cs="Arial"/>
                <w:b/>
                <w:spacing w:val="-2"/>
              </w:rPr>
            </w:pPr>
            <w:r w:rsidRPr="00D55E08">
              <w:rPr>
                <w:rFonts w:cs="Arial"/>
                <w:b/>
                <w:spacing w:val="-2"/>
              </w:rPr>
              <w:t>Period to 28 December 2024</w:t>
            </w:r>
          </w:p>
        </w:tc>
        <w:tc>
          <w:tcPr>
            <w:tcW w:w="1984" w:type="dxa"/>
          </w:tcPr>
          <w:p w14:paraId="10F15461" w14:textId="77777777" w:rsidR="003A7F80" w:rsidRPr="00D55E08" w:rsidRDefault="003A7F80" w:rsidP="00EC20DB">
            <w:pPr>
              <w:suppressAutoHyphens/>
              <w:ind w:right="126"/>
              <w:jc w:val="right"/>
              <w:rPr>
                <w:rFonts w:cs="Arial"/>
                <w:b/>
                <w:spacing w:val="-2"/>
              </w:rPr>
            </w:pPr>
            <w:r w:rsidRPr="00D55E08">
              <w:rPr>
                <w:rFonts w:cs="Arial"/>
                <w:b/>
                <w:spacing w:val="-2"/>
              </w:rPr>
              <w:t>Period to 30 December 2023</w:t>
            </w:r>
          </w:p>
        </w:tc>
      </w:tr>
      <w:tr w:rsidR="003A7F80" w:rsidRPr="00D55E08" w14:paraId="1BE62EE1" w14:textId="77777777" w:rsidTr="00EC20DB">
        <w:tc>
          <w:tcPr>
            <w:tcW w:w="2943" w:type="dxa"/>
          </w:tcPr>
          <w:p w14:paraId="26201F60" w14:textId="77777777" w:rsidR="003A7F80" w:rsidRPr="00D55E08" w:rsidRDefault="003A7F80" w:rsidP="00EC20DB">
            <w:pPr>
              <w:ind w:left="567"/>
              <w:jc w:val="both"/>
              <w:rPr>
                <w:b/>
              </w:rPr>
            </w:pPr>
          </w:p>
        </w:tc>
        <w:tc>
          <w:tcPr>
            <w:tcW w:w="1843" w:type="dxa"/>
          </w:tcPr>
          <w:p w14:paraId="39606989" w14:textId="77777777" w:rsidR="003A7F80" w:rsidRPr="00D55E08" w:rsidRDefault="003A7F80" w:rsidP="00EC20DB">
            <w:pPr>
              <w:suppressAutoHyphens/>
              <w:ind w:right="126"/>
              <w:jc w:val="right"/>
              <w:rPr>
                <w:rFonts w:cs="Arial"/>
                <w:b/>
                <w:spacing w:val="-2"/>
              </w:rPr>
            </w:pPr>
            <w:r w:rsidRPr="00D55E08">
              <w:rPr>
                <w:rFonts w:cs="Arial"/>
                <w:b/>
                <w:spacing w:val="-2"/>
              </w:rPr>
              <w:t>£’000</w:t>
            </w:r>
          </w:p>
        </w:tc>
        <w:tc>
          <w:tcPr>
            <w:tcW w:w="1843" w:type="dxa"/>
          </w:tcPr>
          <w:p w14:paraId="42BD876F" w14:textId="77777777" w:rsidR="003A7F80" w:rsidRPr="00D55E08" w:rsidRDefault="003A7F80" w:rsidP="00EC20DB">
            <w:pPr>
              <w:suppressAutoHyphens/>
              <w:ind w:right="126"/>
              <w:jc w:val="right"/>
              <w:rPr>
                <w:rFonts w:cs="Arial"/>
                <w:b/>
                <w:spacing w:val="-2"/>
              </w:rPr>
            </w:pPr>
            <w:r w:rsidRPr="00D55E08">
              <w:rPr>
                <w:rFonts w:cs="Arial"/>
                <w:b/>
                <w:spacing w:val="-2"/>
              </w:rPr>
              <w:t>£’000</w:t>
            </w:r>
          </w:p>
        </w:tc>
        <w:tc>
          <w:tcPr>
            <w:tcW w:w="1843" w:type="dxa"/>
          </w:tcPr>
          <w:p w14:paraId="7C017EEB" w14:textId="77777777" w:rsidR="003A7F80" w:rsidRPr="00D55E08" w:rsidRDefault="003A7F80" w:rsidP="00EC20DB">
            <w:pPr>
              <w:suppressAutoHyphens/>
              <w:ind w:right="126"/>
              <w:jc w:val="right"/>
              <w:rPr>
                <w:rFonts w:cs="Arial"/>
                <w:b/>
                <w:spacing w:val="-2"/>
              </w:rPr>
            </w:pPr>
            <w:r w:rsidRPr="00D55E08">
              <w:rPr>
                <w:rFonts w:cs="Arial"/>
                <w:b/>
                <w:spacing w:val="-2"/>
              </w:rPr>
              <w:t>£’000</w:t>
            </w:r>
          </w:p>
        </w:tc>
        <w:tc>
          <w:tcPr>
            <w:tcW w:w="1984" w:type="dxa"/>
          </w:tcPr>
          <w:p w14:paraId="606EF627" w14:textId="77777777" w:rsidR="003A7F80" w:rsidRPr="00D55E08" w:rsidRDefault="003A7F80" w:rsidP="00EC20DB">
            <w:pPr>
              <w:suppressAutoHyphens/>
              <w:ind w:right="126"/>
              <w:jc w:val="right"/>
              <w:rPr>
                <w:rFonts w:cs="Arial"/>
                <w:b/>
                <w:spacing w:val="-2"/>
              </w:rPr>
            </w:pPr>
            <w:r w:rsidRPr="00D55E08">
              <w:rPr>
                <w:rFonts w:cs="Arial"/>
                <w:b/>
                <w:spacing w:val="-2"/>
              </w:rPr>
              <w:t>£’000</w:t>
            </w:r>
          </w:p>
        </w:tc>
      </w:tr>
      <w:tr w:rsidR="003A7F80" w:rsidRPr="00D55E08" w14:paraId="50BB7814" w14:textId="77777777" w:rsidTr="00EC20DB">
        <w:tc>
          <w:tcPr>
            <w:tcW w:w="2943" w:type="dxa"/>
          </w:tcPr>
          <w:p w14:paraId="68A1391D" w14:textId="77777777" w:rsidR="003A7F80" w:rsidRPr="00D55E08" w:rsidRDefault="003A7F80" w:rsidP="00EC20DB">
            <w:pPr>
              <w:ind w:left="624"/>
              <w:jc w:val="both"/>
              <w:rPr>
                <w:b/>
                <w:sz w:val="8"/>
                <w:szCs w:val="8"/>
              </w:rPr>
            </w:pPr>
          </w:p>
        </w:tc>
        <w:tc>
          <w:tcPr>
            <w:tcW w:w="1843" w:type="dxa"/>
          </w:tcPr>
          <w:p w14:paraId="0C190367" w14:textId="77777777" w:rsidR="003A7F80" w:rsidRPr="00D55E08" w:rsidRDefault="003A7F80" w:rsidP="00EC20DB">
            <w:pPr>
              <w:suppressAutoHyphens/>
              <w:ind w:right="126"/>
              <w:jc w:val="right"/>
              <w:rPr>
                <w:rFonts w:cs="Arial"/>
                <w:b/>
                <w:spacing w:val="-2"/>
                <w:sz w:val="8"/>
                <w:szCs w:val="8"/>
              </w:rPr>
            </w:pPr>
          </w:p>
        </w:tc>
        <w:tc>
          <w:tcPr>
            <w:tcW w:w="1843" w:type="dxa"/>
          </w:tcPr>
          <w:p w14:paraId="36A42F2E" w14:textId="77777777" w:rsidR="003A7F80" w:rsidRPr="00D55E08" w:rsidRDefault="003A7F80" w:rsidP="00EC20DB">
            <w:pPr>
              <w:suppressAutoHyphens/>
              <w:ind w:right="126"/>
              <w:jc w:val="right"/>
              <w:rPr>
                <w:rFonts w:cs="Arial"/>
                <w:b/>
                <w:spacing w:val="-2"/>
                <w:sz w:val="8"/>
                <w:szCs w:val="8"/>
              </w:rPr>
            </w:pPr>
          </w:p>
        </w:tc>
        <w:tc>
          <w:tcPr>
            <w:tcW w:w="1843" w:type="dxa"/>
          </w:tcPr>
          <w:p w14:paraId="53B2CA5B" w14:textId="77777777" w:rsidR="003A7F80" w:rsidRPr="00D55E08" w:rsidRDefault="003A7F80" w:rsidP="00EC20DB">
            <w:pPr>
              <w:suppressAutoHyphens/>
              <w:ind w:right="126"/>
              <w:jc w:val="right"/>
              <w:rPr>
                <w:rFonts w:cs="Arial"/>
                <w:b/>
                <w:spacing w:val="-2"/>
                <w:sz w:val="8"/>
                <w:szCs w:val="8"/>
              </w:rPr>
            </w:pPr>
          </w:p>
        </w:tc>
        <w:tc>
          <w:tcPr>
            <w:tcW w:w="1984" w:type="dxa"/>
          </w:tcPr>
          <w:p w14:paraId="0D09EC50" w14:textId="77777777" w:rsidR="003A7F80" w:rsidRPr="00D55E08" w:rsidRDefault="003A7F80" w:rsidP="00EC20DB">
            <w:pPr>
              <w:suppressAutoHyphens/>
              <w:ind w:right="126"/>
              <w:jc w:val="right"/>
              <w:rPr>
                <w:rFonts w:cs="Arial"/>
                <w:b/>
                <w:spacing w:val="-2"/>
                <w:sz w:val="8"/>
                <w:szCs w:val="8"/>
              </w:rPr>
            </w:pPr>
          </w:p>
        </w:tc>
      </w:tr>
      <w:tr w:rsidR="003A7F80" w:rsidRPr="00D55E08" w14:paraId="3C7E5982" w14:textId="77777777" w:rsidTr="00EC20DB">
        <w:tc>
          <w:tcPr>
            <w:tcW w:w="2943" w:type="dxa"/>
          </w:tcPr>
          <w:p w14:paraId="42FA67E3" w14:textId="77777777" w:rsidR="003A7F80" w:rsidRPr="00D55E08" w:rsidRDefault="003A7F80" w:rsidP="00EC20DB">
            <w:pPr>
              <w:ind w:left="567"/>
              <w:rPr>
                <w:b/>
              </w:rPr>
            </w:pPr>
            <w:r w:rsidRPr="00D55E08">
              <w:t>Aggregate emoluments and benefits</w:t>
            </w:r>
          </w:p>
        </w:tc>
        <w:tc>
          <w:tcPr>
            <w:tcW w:w="1843" w:type="dxa"/>
          </w:tcPr>
          <w:p w14:paraId="1B705A64" w14:textId="77777777" w:rsidR="003A7F80" w:rsidRPr="00D55E08" w:rsidRDefault="003A7F80" w:rsidP="00EC20DB">
            <w:pPr>
              <w:ind w:right="126"/>
              <w:jc w:val="right"/>
              <w:rPr>
                <w:rFonts w:cs="Arial"/>
              </w:rPr>
            </w:pPr>
            <w:r w:rsidRPr="00D55E08">
              <w:rPr>
                <w:rFonts w:cs="Arial"/>
              </w:rPr>
              <w:t>139</w:t>
            </w:r>
          </w:p>
        </w:tc>
        <w:tc>
          <w:tcPr>
            <w:tcW w:w="1843" w:type="dxa"/>
          </w:tcPr>
          <w:p w14:paraId="40486986" w14:textId="77777777" w:rsidR="003A7F80" w:rsidRPr="00D55E08" w:rsidRDefault="003A7F80" w:rsidP="00EC20DB">
            <w:pPr>
              <w:ind w:right="126"/>
              <w:jc w:val="right"/>
              <w:rPr>
                <w:rFonts w:cs="Arial"/>
              </w:rPr>
            </w:pPr>
            <w:r w:rsidRPr="00D55E08">
              <w:rPr>
                <w:rFonts w:cs="Arial"/>
              </w:rPr>
              <w:t>193</w:t>
            </w:r>
          </w:p>
        </w:tc>
        <w:tc>
          <w:tcPr>
            <w:tcW w:w="1843" w:type="dxa"/>
          </w:tcPr>
          <w:p w14:paraId="35050030" w14:textId="77777777" w:rsidR="003A7F80" w:rsidRPr="00D55E08" w:rsidRDefault="003A7F80" w:rsidP="00EC20DB">
            <w:pPr>
              <w:ind w:right="126"/>
              <w:jc w:val="right"/>
              <w:rPr>
                <w:rFonts w:cs="Arial"/>
              </w:rPr>
            </w:pPr>
            <w:r w:rsidRPr="00D55E08">
              <w:rPr>
                <w:rFonts w:cs="Arial"/>
              </w:rPr>
              <w:t>139</w:t>
            </w:r>
          </w:p>
        </w:tc>
        <w:tc>
          <w:tcPr>
            <w:tcW w:w="1984" w:type="dxa"/>
          </w:tcPr>
          <w:p w14:paraId="1BE5085B" w14:textId="77777777" w:rsidR="003A7F80" w:rsidRPr="00D55E08" w:rsidRDefault="003A7F80" w:rsidP="00EC20DB">
            <w:pPr>
              <w:ind w:right="126"/>
              <w:jc w:val="right"/>
              <w:rPr>
                <w:rFonts w:cs="Arial"/>
              </w:rPr>
            </w:pPr>
            <w:r w:rsidRPr="00D55E08">
              <w:rPr>
                <w:rFonts w:cs="Arial"/>
              </w:rPr>
              <w:t>161</w:t>
            </w:r>
          </w:p>
        </w:tc>
      </w:tr>
      <w:tr w:rsidR="003A7F80" w:rsidRPr="00D55E08" w14:paraId="6551AB3A" w14:textId="77777777" w:rsidTr="00EC20DB">
        <w:tc>
          <w:tcPr>
            <w:tcW w:w="2943" w:type="dxa"/>
          </w:tcPr>
          <w:p w14:paraId="563CB0E2" w14:textId="77777777" w:rsidR="003A7F80" w:rsidRPr="00D55E08" w:rsidRDefault="003A7F80" w:rsidP="00EC20DB">
            <w:pPr>
              <w:ind w:left="567"/>
              <w:rPr>
                <w:b/>
              </w:rPr>
            </w:pPr>
            <w:r w:rsidRPr="00D55E08">
              <w:t>Highest paid Director’s emoluments and benefits</w:t>
            </w:r>
          </w:p>
        </w:tc>
        <w:tc>
          <w:tcPr>
            <w:tcW w:w="1843" w:type="dxa"/>
          </w:tcPr>
          <w:p w14:paraId="715AB414" w14:textId="77777777" w:rsidR="003A7F80" w:rsidRPr="00D55E08" w:rsidRDefault="003A7F80" w:rsidP="00EC20DB">
            <w:pPr>
              <w:ind w:right="126"/>
              <w:jc w:val="right"/>
            </w:pPr>
            <w:r w:rsidRPr="00D55E08">
              <w:t>139</w:t>
            </w:r>
          </w:p>
        </w:tc>
        <w:tc>
          <w:tcPr>
            <w:tcW w:w="1843" w:type="dxa"/>
          </w:tcPr>
          <w:p w14:paraId="3FBB4546" w14:textId="77777777" w:rsidR="003A7F80" w:rsidRPr="00D55E08" w:rsidRDefault="003A7F80" w:rsidP="00EC20DB">
            <w:pPr>
              <w:ind w:right="126"/>
              <w:jc w:val="right"/>
            </w:pPr>
            <w:r w:rsidRPr="00D55E08">
              <w:t>161</w:t>
            </w:r>
          </w:p>
        </w:tc>
        <w:tc>
          <w:tcPr>
            <w:tcW w:w="1843" w:type="dxa"/>
          </w:tcPr>
          <w:p w14:paraId="0E5D5863" w14:textId="77777777" w:rsidR="003A7F80" w:rsidRPr="00D55E08" w:rsidRDefault="003A7F80" w:rsidP="00EC20DB">
            <w:pPr>
              <w:ind w:right="126"/>
              <w:jc w:val="right"/>
            </w:pPr>
            <w:r w:rsidRPr="00D55E08">
              <w:t>139</w:t>
            </w:r>
          </w:p>
        </w:tc>
        <w:tc>
          <w:tcPr>
            <w:tcW w:w="1984" w:type="dxa"/>
          </w:tcPr>
          <w:p w14:paraId="2E148C28" w14:textId="77777777" w:rsidR="003A7F80" w:rsidRPr="00D55E08" w:rsidRDefault="003A7F80" w:rsidP="00EC20DB">
            <w:pPr>
              <w:ind w:right="126"/>
              <w:jc w:val="right"/>
            </w:pPr>
            <w:r w:rsidRPr="00D55E08">
              <w:t>161</w:t>
            </w:r>
          </w:p>
        </w:tc>
      </w:tr>
    </w:tbl>
    <w:p w14:paraId="0922C1F7" w14:textId="77777777" w:rsidR="003A7F80" w:rsidRPr="004546B3" w:rsidRDefault="003A7F80" w:rsidP="003A7F80">
      <w:pPr>
        <w:ind w:left="78"/>
        <w:rPr>
          <w:sz w:val="12"/>
          <w:szCs w:val="12"/>
          <w:highlight w:val="yellow"/>
        </w:rPr>
      </w:pPr>
    </w:p>
    <w:p w14:paraId="1577D7CE" w14:textId="77777777" w:rsidR="003A7F80" w:rsidRPr="00D40104" w:rsidRDefault="003A7F80" w:rsidP="006B74D3">
      <w:pPr>
        <w:jc w:val="both"/>
        <w:rPr>
          <w:rFonts w:cs="Arial"/>
        </w:rPr>
      </w:pPr>
      <w:r w:rsidRPr="00D55E08">
        <w:t xml:space="preserve">One Director received emoluments from the Company (2023: one). </w:t>
      </w:r>
      <w:r w:rsidR="00D55E08" w:rsidRPr="00D55E08">
        <w:t>No</w:t>
      </w:r>
      <w:r w:rsidRPr="00D55E08">
        <w:t xml:space="preserve"> Director (2023: one) received emoluments from subsidiary companies, relative to serving on this Company’s Board. No Director is accruing retirement benefits under a defined benefit scheme (2023: none). Directors’ remuneration costs disclosed above exclude employers</w:t>
      </w:r>
      <w:r w:rsidR="00D55E08" w:rsidRPr="00D55E08">
        <w:t>’</w:t>
      </w:r>
      <w:r w:rsidRPr="00D55E08">
        <w:t xml:space="preserve"> national insurance costs of £16,393 (2023: £</w:t>
      </w:r>
      <w:r w:rsidR="00D55E08" w:rsidRPr="00D55E08">
        <w:t>20,709</w:t>
      </w:r>
      <w:r w:rsidRPr="00D55E08">
        <w:t xml:space="preserve">). </w:t>
      </w:r>
      <w:r w:rsidRPr="00D55E08">
        <w:rPr>
          <w:rFonts w:cs="Arial"/>
        </w:rPr>
        <w:t xml:space="preserve">The highest paid </w:t>
      </w:r>
      <w:r w:rsidRPr="00D55E08">
        <w:t>Directors’ remuneration costs disclosed above exclude employers</w:t>
      </w:r>
      <w:r w:rsidR="00D55E08" w:rsidRPr="00D55E08">
        <w:t>’</w:t>
      </w:r>
      <w:r w:rsidRPr="00D55E08">
        <w:t xml:space="preserve"> national insurance costs of £16,393 (2023: £20,709). </w:t>
      </w:r>
      <w:r w:rsidRPr="00D55E08">
        <w:rPr>
          <w:rFonts w:cs="Arial"/>
        </w:rPr>
        <w:t>The highest paid Director has an accrued pension of £nil per annum (2023: £nil) and an accrued lump sum of £nil (2023: £nil) at the end of the period. The Directors of Transport for Edinburgh Limited are also considered to be the Company’s key management personnel.</w:t>
      </w:r>
    </w:p>
    <w:p w14:paraId="319EC0B8" w14:textId="77777777" w:rsidR="003A7F80" w:rsidRPr="00C328EF" w:rsidRDefault="003A7F80" w:rsidP="00155A84">
      <w:pPr>
        <w:ind w:left="78"/>
        <w:jc w:val="center"/>
        <w:rPr>
          <w:highlight w:val="yellow"/>
        </w:rPr>
      </w:pPr>
    </w:p>
    <w:p w14:paraId="3254263D" w14:textId="77777777" w:rsidR="00155A84" w:rsidRPr="00F45179" w:rsidRDefault="00E01DD2" w:rsidP="00155A84">
      <w:pPr>
        <w:ind w:left="78"/>
        <w:jc w:val="center"/>
        <w:rPr>
          <w:b/>
        </w:rPr>
      </w:pPr>
      <w:r w:rsidRPr="00C328EF">
        <w:rPr>
          <w:highlight w:val="yellow"/>
        </w:rPr>
        <w:br w:type="page"/>
      </w:r>
      <w:r w:rsidR="005404A5" w:rsidRPr="00F45179">
        <w:rPr>
          <w:b/>
        </w:rPr>
        <w:lastRenderedPageBreak/>
        <w:t>TRANSPORT FOR EDINBURGH LIMITED</w:t>
      </w:r>
    </w:p>
    <w:p w14:paraId="614BD25E" w14:textId="77777777" w:rsidR="00155A84" w:rsidRPr="00F45179" w:rsidRDefault="00155A84" w:rsidP="00155A84">
      <w:pPr>
        <w:jc w:val="center"/>
        <w:rPr>
          <w:b/>
        </w:rPr>
      </w:pPr>
    </w:p>
    <w:p w14:paraId="34D242AE" w14:textId="77777777" w:rsidR="00155A84" w:rsidRPr="00F45179" w:rsidRDefault="00155A84" w:rsidP="00155A84">
      <w:pPr>
        <w:jc w:val="center"/>
        <w:rPr>
          <w:b/>
        </w:rPr>
      </w:pPr>
      <w:r w:rsidRPr="00F45179">
        <w:rPr>
          <w:b/>
        </w:rPr>
        <w:t>Notes to the Financial Statements (continued)</w:t>
      </w:r>
    </w:p>
    <w:p w14:paraId="0154E196" w14:textId="77777777" w:rsidR="00155A84" w:rsidRPr="00F45179" w:rsidRDefault="00155A84" w:rsidP="00155A84">
      <w:pPr>
        <w:jc w:val="center"/>
        <w:rPr>
          <w:b/>
        </w:rPr>
      </w:pPr>
    </w:p>
    <w:p w14:paraId="305ED8D6" w14:textId="77777777" w:rsidR="00155A84" w:rsidRPr="00F45179" w:rsidRDefault="00D90B89" w:rsidP="00155A84">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41B15D10" w14:textId="77777777" w:rsidR="003A511D" w:rsidRPr="00F45179" w:rsidRDefault="003A511D" w:rsidP="00155A84">
      <w:pPr>
        <w:tabs>
          <w:tab w:val="left" w:pos="567"/>
          <w:tab w:val="left" w:pos="1134"/>
        </w:tabs>
        <w:jc w:val="both"/>
      </w:pPr>
      <w:bookmarkStart w:id="33" w:name="_Hlk161670155"/>
    </w:p>
    <w:bookmarkEnd w:id="33"/>
    <w:p w14:paraId="4C4C138E" w14:textId="77777777" w:rsidR="00E36665" w:rsidRPr="00D40104" w:rsidRDefault="00E36665" w:rsidP="007A23D4">
      <w:pPr>
        <w:ind w:left="-142"/>
      </w:pPr>
    </w:p>
    <w:p w14:paraId="1D96FD90" w14:textId="77777777" w:rsidR="003C0811" w:rsidRPr="00DB770D" w:rsidRDefault="003C0811" w:rsidP="00A5227C">
      <w:pPr>
        <w:numPr>
          <w:ilvl w:val="0"/>
          <w:numId w:val="48"/>
        </w:numPr>
        <w:ind w:hanging="927"/>
        <w:rPr>
          <w:b/>
          <w:bCs/>
        </w:rPr>
      </w:pPr>
      <w:r w:rsidRPr="00DB770D">
        <w:rPr>
          <w:b/>
          <w:bCs/>
        </w:rPr>
        <w:t>Property, plant and equipment</w:t>
      </w:r>
    </w:p>
    <w:p w14:paraId="448A4206" w14:textId="77777777" w:rsidR="00343560" w:rsidRPr="00D40104" w:rsidRDefault="00343560" w:rsidP="00343560">
      <w:pPr>
        <w:ind w:left="546"/>
        <w:rPr>
          <w:b/>
          <w:sz w:val="4"/>
          <w:szCs w:val="4"/>
        </w:rPr>
      </w:pPr>
    </w:p>
    <w:tbl>
      <w:tblPr>
        <w:tblW w:w="10065" w:type="dxa"/>
        <w:tblInd w:w="108" w:type="dxa"/>
        <w:tblLayout w:type="fixed"/>
        <w:tblLook w:val="01E0" w:firstRow="1" w:lastRow="1" w:firstColumn="1" w:lastColumn="1" w:noHBand="0" w:noVBand="0"/>
      </w:tblPr>
      <w:tblGrid>
        <w:gridCol w:w="3119"/>
        <w:gridCol w:w="1559"/>
        <w:gridCol w:w="1418"/>
        <w:gridCol w:w="1275"/>
        <w:gridCol w:w="1276"/>
        <w:gridCol w:w="1418"/>
      </w:tblGrid>
      <w:tr w:rsidR="006B74D3" w:rsidRPr="00D40104" w14:paraId="1437CCA8" w14:textId="77777777" w:rsidTr="006B74D3">
        <w:tc>
          <w:tcPr>
            <w:tcW w:w="3119" w:type="dxa"/>
            <w:vAlign w:val="bottom"/>
          </w:tcPr>
          <w:p w14:paraId="0713A950" w14:textId="77777777" w:rsidR="006B74D3" w:rsidRPr="00D40104" w:rsidRDefault="006B74D3" w:rsidP="000C6A86">
            <w:pPr>
              <w:jc w:val="center"/>
            </w:pPr>
          </w:p>
        </w:tc>
        <w:tc>
          <w:tcPr>
            <w:tcW w:w="1559" w:type="dxa"/>
            <w:vAlign w:val="bottom"/>
          </w:tcPr>
          <w:p w14:paraId="18532055" w14:textId="77777777" w:rsidR="006B74D3" w:rsidRPr="00D40104" w:rsidRDefault="006B74D3" w:rsidP="006B74D3">
            <w:pPr>
              <w:ind w:right="39"/>
              <w:jc w:val="right"/>
              <w:rPr>
                <w:b/>
              </w:rPr>
            </w:pPr>
            <w:r w:rsidRPr="00D40104">
              <w:rPr>
                <w:b/>
              </w:rPr>
              <w:t>Heritable &amp; Right-of-use</w:t>
            </w:r>
          </w:p>
          <w:p w14:paraId="480C0E2E" w14:textId="77777777" w:rsidR="006B74D3" w:rsidRPr="00D40104" w:rsidRDefault="006B74D3" w:rsidP="006B74D3">
            <w:pPr>
              <w:jc w:val="right"/>
              <w:rPr>
                <w:b/>
              </w:rPr>
            </w:pPr>
            <w:r w:rsidRPr="00D40104">
              <w:rPr>
                <w:b/>
              </w:rPr>
              <w:t>Properties</w:t>
            </w:r>
          </w:p>
        </w:tc>
        <w:tc>
          <w:tcPr>
            <w:tcW w:w="1418" w:type="dxa"/>
            <w:vAlign w:val="bottom"/>
          </w:tcPr>
          <w:p w14:paraId="1188E87C" w14:textId="77777777" w:rsidR="006B74D3" w:rsidRPr="00D40104" w:rsidRDefault="006B74D3" w:rsidP="006B74D3">
            <w:pPr>
              <w:jc w:val="right"/>
              <w:rPr>
                <w:b/>
              </w:rPr>
            </w:pPr>
            <w:r w:rsidRPr="00D40104">
              <w:rPr>
                <w:b/>
              </w:rPr>
              <w:t>Passenger Vehicles</w:t>
            </w:r>
          </w:p>
        </w:tc>
        <w:tc>
          <w:tcPr>
            <w:tcW w:w="1275" w:type="dxa"/>
            <w:vAlign w:val="bottom"/>
          </w:tcPr>
          <w:p w14:paraId="4C4B947E" w14:textId="77777777" w:rsidR="006B74D3" w:rsidRPr="00D40104" w:rsidRDefault="006B74D3" w:rsidP="006B74D3">
            <w:pPr>
              <w:ind w:left="170"/>
              <w:jc w:val="right"/>
              <w:rPr>
                <w:b/>
              </w:rPr>
            </w:pPr>
            <w:r w:rsidRPr="00D40104">
              <w:rPr>
                <w:b/>
              </w:rPr>
              <w:t>Other</w:t>
            </w:r>
          </w:p>
          <w:p w14:paraId="0A8C8F80" w14:textId="77777777" w:rsidR="006B74D3" w:rsidRPr="00D40104" w:rsidRDefault="006B74D3" w:rsidP="006B74D3">
            <w:pPr>
              <w:jc w:val="right"/>
              <w:rPr>
                <w:b/>
              </w:rPr>
            </w:pPr>
            <w:r w:rsidRPr="00D40104">
              <w:rPr>
                <w:b/>
              </w:rPr>
              <w:t>Vehicles</w:t>
            </w:r>
          </w:p>
        </w:tc>
        <w:tc>
          <w:tcPr>
            <w:tcW w:w="1276" w:type="dxa"/>
            <w:vAlign w:val="bottom"/>
          </w:tcPr>
          <w:p w14:paraId="4D69E04A" w14:textId="77777777" w:rsidR="006B74D3" w:rsidRPr="00D40104" w:rsidRDefault="006B74D3" w:rsidP="006B74D3">
            <w:pPr>
              <w:jc w:val="right"/>
              <w:rPr>
                <w:b/>
              </w:rPr>
            </w:pPr>
            <w:r w:rsidRPr="00D40104">
              <w:rPr>
                <w:b/>
              </w:rPr>
              <w:t>Plant &amp; Equipment</w:t>
            </w:r>
          </w:p>
        </w:tc>
        <w:tc>
          <w:tcPr>
            <w:tcW w:w="1418" w:type="dxa"/>
            <w:vAlign w:val="bottom"/>
          </w:tcPr>
          <w:p w14:paraId="71CE58F6" w14:textId="77777777" w:rsidR="006B74D3" w:rsidRPr="00D40104" w:rsidRDefault="006B74D3" w:rsidP="006B74D3">
            <w:pPr>
              <w:ind w:left="57"/>
              <w:jc w:val="right"/>
              <w:rPr>
                <w:b/>
              </w:rPr>
            </w:pPr>
            <w:r w:rsidRPr="00D40104">
              <w:rPr>
                <w:b/>
              </w:rPr>
              <w:t>Total</w:t>
            </w:r>
          </w:p>
        </w:tc>
      </w:tr>
      <w:tr w:rsidR="006B74D3" w:rsidRPr="00C328EF" w14:paraId="04235E89" w14:textId="77777777" w:rsidTr="006B74D3">
        <w:trPr>
          <w:trHeight w:val="80"/>
        </w:trPr>
        <w:tc>
          <w:tcPr>
            <w:tcW w:w="3119" w:type="dxa"/>
          </w:tcPr>
          <w:p w14:paraId="3BB3031A" w14:textId="77777777" w:rsidR="006B74D3" w:rsidRPr="007C4847" w:rsidRDefault="006B74D3" w:rsidP="000C6A86">
            <w:pPr>
              <w:ind w:left="397"/>
            </w:pPr>
            <w:r w:rsidRPr="007C4847">
              <w:rPr>
                <w:b/>
              </w:rPr>
              <w:t>Group</w:t>
            </w:r>
          </w:p>
        </w:tc>
        <w:tc>
          <w:tcPr>
            <w:tcW w:w="1559" w:type="dxa"/>
          </w:tcPr>
          <w:p w14:paraId="5D8ACD84" w14:textId="77777777" w:rsidR="006B74D3" w:rsidRPr="007C4847" w:rsidRDefault="006B74D3" w:rsidP="006B74D3">
            <w:pPr>
              <w:ind w:left="-624"/>
              <w:jc w:val="right"/>
              <w:rPr>
                <w:b/>
              </w:rPr>
            </w:pPr>
            <w:r w:rsidRPr="007C4847">
              <w:rPr>
                <w:b/>
              </w:rPr>
              <w:t>£’000</w:t>
            </w:r>
          </w:p>
        </w:tc>
        <w:tc>
          <w:tcPr>
            <w:tcW w:w="1418" w:type="dxa"/>
          </w:tcPr>
          <w:p w14:paraId="30FB2F53" w14:textId="77777777" w:rsidR="006B74D3" w:rsidRPr="007C4847" w:rsidRDefault="006B74D3" w:rsidP="006B74D3">
            <w:pPr>
              <w:ind w:left="-113"/>
              <w:jc w:val="right"/>
              <w:rPr>
                <w:b/>
              </w:rPr>
            </w:pPr>
            <w:r w:rsidRPr="007C4847">
              <w:rPr>
                <w:b/>
              </w:rPr>
              <w:t>£’000</w:t>
            </w:r>
          </w:p>
        </w:tc>
        <w:tc>
          <w:tcPr>
            <w:tcW w:w="1275" w:type="dxa"/>
          </w:tcPr>
          <w:p w14:paraId="2F534BFC" w14:textId="77777777" w:rsidR="006B74D3" w:rsidRPr="007C4847" w:rsidRDefault="006B74D3" w:rsidP="006B74D3">
            <w:pPr>
              <w:ind w:left="283"/>
              <w:jc w:val="right"/>
              <w:rPr>
                <w:b/>
              </w:rPr>
            </w:pPr>
            <w:r w:rsidRPr="007C4847">
              <w:rPr>
                <w:b/>
              </w:rPr>
              <w:t>£’000</w:t>
            </w:r>
          </w:p>
        </w:tc>
        <w:tc>
          <w:tcPr>
            <w:tcW w:w="1276" w:type="dxa"/>
          </w:tcPr>
          <w:p w14:paraId="2996CB4E" w14:textId="77777777" w:rsidR="006B74D3" w:rsidRPr="007C4847" w:rsidRDefault="006B74D3" w:rsidP="006B74D3">
            <w:pPr>
              <w:jc w:val="right"/>
              <w:rPr>
                <w:b/>
              </w:rPr>
            </w:pPr>
            <w:r w:rsidRPr="007C4847">
              <w:rPr>
                <w:b/>
              </w:rPr>
              <w:t>£’000</w:t>
            </w:r>
          </w:p>
        </w:tc>
        <w:tc>
          <w:tcPr>
            <w:tcW w:w="1418" w:type="dxa"/>
          </w:tcPr>
          <w:p w14:paraId="19023120" w14:textId="77777777" w:rsidR="006B74D3" w:rsidRPr="007C4847" w:rsidRDefault="006B74D3" w:rsidP="006B74D3">
            <w:pPr>
              <w:ind w:left="57"/>
              <w:jc w:val="right"/>
              <w:rPr>
                <w:b/>
              </w:rPr>
            </w:pPr>
            <w:r w:rsidRPr="007C4847">
              <w:rPr>
                <w:b/>
              </w:rPr>
              <w:t>£’000</w:t>
            </w:r>
          </w:p>
        </w:tc>
      </w:tr>
      <w:tr w:rsidR="006B74D3" w:rsidRPr="00C328EF" w14:paraId="6D619C9F" w14:textId="77777777" w:rsidTr="006B74D3">
        <w:tc>
          <w:tcPr>
            <w:tcW w:w="3119" w:type="dxa"/>
          </w:tcPr>
          <w:p w14:paraId="5BEE734D" w14:textId="77777777" w:rsidR="006B74D3" w:rsidRPr="007C4847" w:rsidRDefault="006B74D3" w:rsidP="000C6A86">
            <w:pPr>
              <w:ind w:left="397"/>
              <w:rPr>
                <w:b/>
              </w:rPr>
            </w:pPr>
            <w:r w:rsidRPr="007C4847">
              <w:rPr>
                <w:b/>
              </w:rPr>
              <w:t>Cost or valuation</w:t>
            </w:r>
          </w:p>
        </w:tc>
        <w:tc>
          <w:tcPr>
            <w:tcW w:w="1559" w:type="dxa"/>
          </w:tcPr>
          <w:p w14:paraId="65CA4064" w14:textId="77777777" w:rsidR="006B74D3" w:rsidRPr="007C4847" w:rsidRDefault="006B74D3" w:rsidP="000C6A86">
            <w:pPr>
              <w:jc w:val="right"/>
            </w:pPr>
          </w:p>
        </w:tc>
        <w:tc>
          <w:tcPr>
            <w:tcW w:w="1418" w:type="dxa"/>
          </w:tcPr>
          <w:p w14:paraId="1B1519FE" w14:textId="77777777" w:rsidR="006B74D3" w:rsidRPr="007C4847" w:rsidRDefault="006B74D3" w:rsidP="000C6A86">
            <w:pPr>
              <w:jc w:val="right"/>
            </w:pPr>
          </w:p>
        </w:tc>
        <w:tc>
          <w:tcPr>
            <w:tcW w:w="1275" w:type="dxa"/>
          </w:tcPr>
          <w:p w14:paraId="1392DAB3" w14:textId="77777777" w:rsidR="006B74D3" w:rsidRPr="007C4847" w:rsidRDefault="006B74D3" w:rsidP="000C6A86">
            <w:pPr>
              <w:jc w:val="right"/>
            </w:pPr>
          </w:p>
        </w:tc>
        <w:tc>
          <w:tcPr>
            <w:tcW w:w="1276" w:type="dxa"/>
          </w:tcPr>
          <w:p w14:paraId="03DCCC10" w14:textId="77777777" w:rsidR="006B74D3" w:rsidRPr="007C4847" w:rsidRDefault="006B74D3" w:rsidP="000C6A86">
            <w:pPr>
              <w:jc w:val="right"/>
            </w:pPr>
          </w:p>
        </w:tc>
        <w:tc>
          <w:tcPr>
            <w:tcW w:w="1418" w:type="dxa"/>
          </w:tcPr>
          <w:p w14:paraId="488D3CC8" w14:textId="77777777" w:rsidR="006B74D3" w:rsidRPr="007C4847" w:rsidRDefault="006B74D3" w:rsidP="000C6A86">
            <w:pPr>
              <w:jc w:val="right"/>
            </w:pPr>
          </w:p>
        </w:tc>
      </w:tr>
      <w:tr w:rsidR="006B74D3" w:rsidRPr="00C328EF" w14:paraId="7EF46ABC" w14:textId="77777777" w:rsidTr="006B74D3">
        <w:tc>
          <w:tcPr>
            <w:tcW w:w="3119" w:type="dxa"/>
          </w:tcPr>
          <w:p w14:paraId="54C2630A" w14:textId="77777777" w:rsidR="006B74D3" w:rsidRPr="007C4847" w:rsidRDefault="006B74D3" w:rsidP="007C4847">
            <w:pPr>
              <w:ind w:left="397"/>
            </w:pPr>
            <w:r w:rsidRPr="007C4847">
              <w:rPr>
                <w:b/>
              </w:rPr>
              <w:t>At 3</w:t>
            </w:r>
            <w:r>
              <w:rPr>
                <w:b/>
              </w:rPr>
              <w:t>0</w:t>
            </w:r>
            <w:r w:rsidRPr="007C4847">
              <w:rPr>
                <w:b/>
              </w:rPr>
              <w:t xml:space="preserve"> December 202</w:t>
            </w:r>
            <w:r>
              <w:rPr>
                <w:b/>
              </w:rPr>
              <w:t>3</w:t>
            </w:r>
          </w:p>
        </w:tc>
        <w:tc>
          <w:tcPr>
            <w:tcW w:w="1559" w:type="dxa"/>
            <w:vAlign w:val="center"/>
          </w:tcPr>
          <w:p w14:paraId="405E6A66" w14:textId="77777777" w:rsidR="006B74D3" w:rsidRPr="007C4847" w:rsidRDefault="006B74D3" w:rsidP="007C4847">
            <w:pPr>
              <w:jc w:val="right"/>
              <w:rPr>
                <w:rFonts w:cs="Arial"/>
                <w:bCs/>
              </w:rPr>
            </w:pPr>
            <w:r w:rsidRPr="007C4847">
              <w:rPr>
                <w:rFonts w:cs="Arial"/>
                <w:bCs/>
              </w:rPr>
              <w:t>124,342</w:t>
            </w:r>
          </w:p>
        </w:tc>
        <w:tc>
          <w:tcPr>
            <w:tcW w:w="1418" w:type="dxa"/>
            <w:vAlign w:val="center"/>
          </w:tcPr>
          <w:p w14:paraId="012496E3" w14:textId="77777777" w:rsidR="006B74D3" w:rsidRPr="007C4847" w:rsidRDefault="006B74D3" w:rsidP="007C4847">
            <w:pPr>
              <w:jc w:val="right"/>
              <w:rPr>
                <w:rFonts w:cs="Arial"/>
                <w:bCs/>
              </w:rPr>
            </w:pPr>
            <w:r w:rsidRPr="007C4847">
              <w:rPr>
                <w:rFonts w:cs="Arial"/>
                <w:bCs/>
              </w:rPr>
              <w:t>146,864</w:t>
            </w:r>
          </w:p>
        </w:tc>
        <w:tc>
          <w:tcPr>
            <w:tcW w:w="1275" w:type="dxa"/>
            <w:vAlign w:val="center"/>
          </w:tcPr>
          <w:p w14:paraId="73BD2F0B" w14:textId="77777777" w:rsidR="006B74D3" w:rsidRPr="007C4847" w:rsidRDefault="006B74D3" w:rsidP="007C4847">
            <w:pPr>
              <w:jc w:val="right"/>
              <w:rPr>
                <w:rFonts w:cs="Arial"/>
                <w:bCs/>
              </w:rPr>
            </w:pPr>
            <w:r w:rsidRPr="007C4847">
              <w:rPr>
                <w:rFonts w:cs="Arial"/>
                <w:bCs/>
              </w:rPr>
              <w:t>264</w:t>
            </w:r>
          </w:p>
        </w:tc>
        <w:tc>
          <w:tcPr>
            <w:tcW w:w="1276" w:type="dxa"/>
            <w:vAlign w:val="center"/>
          </w:tcPr>
          <w:p w14:paraId="3BC2BC1F" w14:textId="77777777" w:rsidR="006B74D3" w:rsidRPr="007C4847" w:rsidRDefault="006B74D3" w:rsidP="007C4847">
            <w:pPr>
              <w:jc w:val="right"/>
              <w:rPr>
                <w:rFonts w:cs="Arial"/>
                <w:bCs/>
              </w:rPr>
            </w:pPr>
            <w:r w:rsidRPr="007C4847">
              <w:rPr>
                <w:rFonts w:cs="Arial"/>
                <w:bCs/>
              </w:rPr>
              <w:t>26,775</w:t>
            </w:r>
          </w:p>
        </w:tc>
        <w:tc>
          <w:tcPr>
            <w:tcW w:w="1418" w:type="dxa"/>
            <w:vAlign w:val="center"/>
          </w:tcPr>
          <w:p w14:paraId="38B7D1B2" w14:textId="77777777" w:rsidR="006B74D3" w:rsidRPr="007C4847" w:rsidRDefault="006B74D3" w:rsidP="007C4847">
            <w:pPr>
              <w:jc w:val="right"/>
              <w:rPr>
                <w:rFonts w:cs="Arial"/>
                <w:bCs/>
              </w:rPr>
            </w:pPr>
            <w:r w:rsidRPr="007C4847">
              <w:rPr>
                <w:rFonts w:cs="Arial"/>
                <w:bCs/>
              </w:rPr>
              <w:t>298,245</w:t>
            </w:r>
          </w:p>
        </w:tc>
      </w:tr>
      <w:tr w:rsidR="006B74D3" w:rsidRPr="00C328EF" w14:paraId="0BE2DF25" w14:textId="77777777" w:rsidTr="006B74D3">
        <w:tc>
          <w:tcPr>
            <w:tcW w:w="3119" w:type="dxa"/>
          </w:tcPr>
          <w:p w14:paraId="01AF9CAC" w14:textId="77777777" w:rsidR="006B74D3" w:rsidRPr="007C4847" w:rsidRDefault="006B74D3" w:rsidP="00912323">
            <w:pPr>
              <w:ind w:left="397"/>
            </w:pPr>
            <w:r>
              <w:t>On acquisition of subsidiary</w:t>
            </w:r>
          </w:p>
        </w:tc>
        <w:tc>
          <w:tcPr>
            <w:tcW w:w="1559" w:type="dxa"/>
          </w:tcPr>
          <w:p w14:paraId="491A1507" w14:textId="77777777" w:rsidR="006B74D3" w:rsidRDefault="006B74D3" w:rsidP="00912323">
            <w:pPr>
              <w:jc w:val="right"/>
              <w:rPr>
                <w:rFonts w:cs="Arial"/>
                <w:highlight w:val="yellow"/>
              </w:rPr>
            </w:pPr>
            <w:r w:rsidRPr="0008397D">
              <w:t>425</w:t>
            </w:r>
          </w:p>
        </w:tc>
        <w:tc>
          <w:tcPr>
            <w:tcW w:w="1418" w:type="dxa"/>
          </w:tcPr>
          <w:p w14:paraId="08A57D46" w14:textId="77777777" w:rsidR="006B74D3" w:rsidRPr="00912323" w:rsidRDefault="006B74D3" w:rsidP="00912323">
            <w:pPr>
              <w:jc w:val="right"/>
              <w:rPr>
                <w:rFonts w:cs="Arial"/>
              </w:rPr>
            </w:pPr>
            <w:r w:rsidRPr="00912323">
              <w:t>3,532</w:t>
            </w:r>
          </w:p>
        </w:tc>
        <w:tc>
          <w:tcPr>
            <w:tcW w:w="1275" w:type="dxa"/>
          </w:tcPr>
          <w:p w14:paraId="4FC394BC" w14:textId="77777777" w:rsidR="006B74D3" w:rsidRPr="00C328EF" w:rsidRDefault="006B74D3" w:rsidP="00912323">
            <w:pPr>
              <w:jc w:val="right"/>
              <w:rPr>
                <w:rFonts w:cs="Arial"/>
                <w:highlight w:val="yellow"/>
              </w:rPr>
            </w:pPr>
            <w:r w:rsidRPr="0008397D">
              <w:t>25</w:t>
            </w:r>
          </w:p>
        </w:tc>
        <w:tc>
          <w:tcPr>
            <w:tcW w:w="1276" w:type="dxa"/>
          </w:tcPr>
          <w:p w14:paraId="1D2DD3E1" w14:textId="77777777" w:rsidR="006B74D3" w:rsidRPr="00912323" w:rsidRDefault="006B74D3" w:rsidP="00912323">
            <w:pPr>
              <w:jc w:val="right"/>
              <w:rPr>
                <w:rFonts w:cs="Arial"/>
              </w:rPr>
            </w:pPr>
            <w:r w:rsidRPr="00912323">
              <w:t>233</w:t>
            </w:r>
          </w:p>
        </w:tc>
        <w:tc>
          <w:tcPr>
            <w:tcW w:w="1418" w:type="dxa"/>
          </w:tcPr>
          <w:p w14:paraId="02262194" w14:textId="77777777" w:rsidR="006B74D3" w:rsidRPr="00255188" w:rsidRDefault="006B74D3" w:rsidP="00912323">
            <w:pPr>
              <w:jc w:val="right"/>
              <w:rPr>
                <w:rFonts w:cs="Arial"/>
              </w:rPr>
            </w:pPr>
            <w:r w:rsidRPr="00255188">
              <w:t>4,215</w:t>
            </w:r>
          </w:p>
        </w:tc>
      </w:tr>
      <w:tr w:rsidR="006B74D3" w:rsidRPr="00C328EF" w14:paraId="30A10C4E" w14:textId="77777777" w:rsidTr="006B74D3">
        <w:tc>
          <w:tcPr>
            <w:tcW w:w="3119" w:type="dxa"/>
          </w:tcPr>
          <w:p w14:paraId="199740A6" w14:textId="77777777" w:rsidR="006B74D3" w:rsidRPr="007C4847" w:rsidRDefault="006B74D3" w:rsidP="00912323">
            <w:pPr>
              <w:ind w:left="397"/>
            </w:pPr>
            <w:r w:rsidRPr="007C4847">
              <w:t>Additions</w:t>
            </w:r>
          </w:p>
        </w:tc>
        <w:tc>
          <w:tcPr>
            <w:tcW w:w="1559" w:type="dxa"/>
            <w:vAlign w:val="center"/>
          </w:tcPr>
          <w:p w14:paraId="5A97DF3C" w14:textId="77777777" w:rsidR="006B74D3" w:rsidRPr="00912323" w:rsidRDefault="006B74D3" w:rsidP="00912323">
            <w:pPr>
              <w:jc w:val="right"/>
              <w:rPr>
                <w:rFonts w:cs="Arial"/>
              </w:rPr>
            </w:pPr>
            <w:r w:rsidRPr="00912323">
              <w:rPr>
                <w:rFonts w:cs="Arial"/>
              </w:rPr>
              <w:t>863</w:t>
            </w:r>
          </w:p>
        </w:tc>
        <w:tc>
          <w:tcPr>
            <w:tcW w:w="1418" w:type="dxa"/>
            <w:vAlign w:val="center"/>
          </w:tcPr>
          <w:p w14:paraId="0F5BE192" w14:textId="77777777" w:rsidR="006B74D3" w:rsidRPr="00912323" w:rsidRDefault="006B74D3" w:rsidP="00912323">
            <w:pPr>
              <w:jc w:val="right"/>
              <w:rPr>
                <w:rFonts w:cs="Arial"/>
              </w:rPr>
            </w:pPr>
            <w:r w:rsidRPr="00912323">
              <w:rPr>
                <w:rFonts w:cs="Arial"/>
              </w:rPr>
              <w:t>9,749</w:t>
            </w:r>
          </w:p>
        </w:tc>
        <w:tc>
          <w:tcPr>
            <w:tcW w:w="1275" w:type="dxa"/>
            <w:vAlign w:val="center"/>
          </w:tcPr>
          <w:p w14:paraId="52E954E3" w14:textId="77777777" w:rsidR="006B74D3" w:rsidRPr="00912323" w:rsidRDefault="006B74D3" w:rsidP="00912323">
            <w:pPr>
              <w:jc w:val="right"/>
              <w:rPr>
                <w:rFonts w:cs="Arial"/>
              </w:rPr>
            </w:pPr>
            <w:r w:rsidRPr="00912323">
              <w:rPr>
                <w:rFonts w:cs="Arial"/>
              </w:rPr>
              <w:t>64</w:t>
            </w:r>
          </w:p>
        </w:tc>
        <w:tc>
          <w:tcPr>
            <w:tcW w:w="1276" w:type="dxa"/>
            <w:vAlign w:val="center"/>
          </w:tcPr>
          <w:p w14:paraId="5C6A60CE" w14:textId="77777777" w:rsidR="006B74D3" w:rsidRPr="00912323" w:rsidRDefault="006B74D3" w:rsidP="00912323">
            <w:pPr>
              <w:jc w:val="right"/>
              <w:rPr>
                <w:rFonts w:cs="Arial"/>
              </w:rPr>
            </w:pPr>
            <w:r w:rsidRPr="00912323">
              <w:rPr>
                <w:rFonts w:cs="Arial"/>
              </w:rPr>
              <w:t>6,465</w:t>
            </w:r>
          </w:p>
        </w:tc>
        <w:tc>
          <w:tcPr>
            <w:tcW w:w="1418" w:type="dxa"/>
            <w:vAlign w:val="center"/>
          </w:tcPr>
          <w:p w14:paraId="78109E97" w14:textId="77777777" w:rsidR="006B74D3" w:rsidRPr="00255188" w:rsidRDefault="006B74D3" w:rsidP="00912323">
            <w:pPr>
              <w:jc w:val="right"/>
              <w:rPr>
                <w:rFonts w:cs="Arial"/>
              </w:rPr>
            </w:pPr>
            <w:r w:rsidRPr="00255188">
              <w:rPr>
                <w:rFonts w:cs="Arial"/>
              </w:rPr>
              <w:t>17,141</w:t>
            </w:r>
          </w:p>
        </w:tc>
      </w:tr>
      <w:tr w:rsidR="006B74D3" w:rsidRPr="00C328EF" w14:paraId="54BE3F30" w14:textId="77777777" w:rsidTr="006B74D3">
        <w:tc>
          <w:tcPr>
            <w:tcW w:w="3119" w:type="dxa"/>
          </w:tcPr>
          <w:p w14:paraId="2D61D325" w14:textId="77777777" w:rsidR="006B74D3" w:rsidRPr="007C4847" w:rsidRDefault="006B74D3" w:rsidP="00912323">
            <w:pPr>
              <w:ind w:left="397"/>
            </w:pPr>
            <w:r w:rsidRPr="007C4847">
              <w:t>Disposals</w:t>
            </w:r>
          </w:p>
        </w:tc>
        <w:tc>
          <w:tcPr>
            <w:tcW w:w="1559" w:type="dxa"/>
            <w:vAlign w:val="center"/>
          </w:tcPr>
          <w:p w14:paraId="1CEDFEDF" w14:textId="77777777" w:rsidR="006B74D3" w:rsidRPr="00912323" w:rsidRDefault="006B74D3" w:rsidP="00912323">
            <w:pPr>
              <w:jc w:val="right"/>
              <w:rPr>
                <w:rFonts w:cs="Arial"/>
              </w:rPr>
            </w:pPr>
            <w:r w:rsidRPr="00912323">
              <w:rPr>
                <w:rFonts w:cs="Arial"/>
              </w:rPr>
              <w:t>-</w:t>
            </w:r>
          </w:p>
        </w:tc>
        <w:tc>
          <w:tcPr>
            <w:tcW w:w="1418" w:type="dxa"/>
            <w:vAlign w:val="center"/>
          </w:tcPr>
          <w:p w14:paraId="71576EFA" w14:textId="77777777" w:rsidR="006B74D3" w:rsidRPr="00912323" w:rsidRDefault="006B74D3" w:rsidP="00912323">
            <w:pPr>
              <w:jc w:val="right"/>
              <w:rPr>
                <w:rFonts w:cs="Arial"/>
              </w:rPr>
            </w:pPr>
            <w:r w:rsidRPr="00912323">
              <w:rPr>
                <w:rFonts w:cs="Arial"/>
              </w:rPr>
              <w:t>(358)</w:t>
            </w:r>
          </w:p>
        </w:tc>
        <w:tc>
          <w:tcPr>
            <w:tcW w:w="1275" w:type="dxa"/>
            <w:vAlign w:val="center"/>
          </w:tcPr>
          <w:p w14:paraId="42494EFA" w14:textId="77777777" w:rsidR="006B74D3" w:rsidRPr="00912323" w:rsidRDefault="006B74D3" w:rsidP="00912323">
            <w:pPr>
              <w:jc w:val="right"/>
              <w:rPr>
                <w:rFonts w:cs="Arial"/>
              </w:rPr>
            </w:pPr>
            <w:r w:rsidRPr="00912323">
              <w:rPr>
                <w:rFonts w:cs="Arial"/>
              </w:rPr>
              <w:t>(40)</w:t>
            </w:r>
          </w:p>
        </w:tc>
        <w:tc>
          <w:tcPr>
            <w:tcW w:w="1276" w:type="dxa"/>
            <w:vAlign w:val="center"/>
          </w:tcPr>
          <w:p w14:paraId="1167A4DD" w14:textId="77777777" w:rsidR="006B74D3" w:rsidRPr="00912323" w:rsidRDefault="006B74D3" w:rsidP="00912323">
            <w:pPr>
              <w:jc w:val="right"/>
              <w:rPr>
                <w:rFonts w:cs="Arial"/>
              </w:rPr>
            </w:pPr>
            <w:r w:rsidRPr="00912323">
              <w:rPr>
                <w:rFonts w:cs="Arial"/>
              </w:rPr>
              <w:t>-</w:t>
            </w:r>
          </w:p>
        </w:tc>
        <w:tc>
          <w:tcPr>
            <w:tcW w:w="1418" w:type="dxa"/>
            <w:vAlign w:val="center"/>
          </w:tcPr>
          <w:p w14:paraId="502C762B" w14:textId="77777777" w:rsidR="006B74D3" w:rsidRPr="00255188" w:rsidRDefault="006B74D3" w:rsidP="00912323">
            <w:pPr>
              <w:jc w:val="right"/>
              <w:rPr>
                <w:rFonts w:cs="Arial"/>
              </w:rPr>
            </w:pPr>
            <w:r w:rsidRPr="00255188">
              <w:rPr>
                <w:rFonts w:cs="Arial"/>
              </w:rPr>
              <w:t>(398)</w:t>
            </w:r>
          </w:p>
        </w:tc>
      </w:tr>
      <w:tr w:rsidR="006B74D3" w:rsidRPr="00C328EF" w14:paraId="19F5EC16" w14:textId="77777777" w:rsidTr="006B74D3">
        <w:tc>
          <w:tcPr>
            <w:tcW w:w="3119" w:type="dxa"/>
          </w:tcPr>
          <w:p w14:paraId="218B0009" w14:textId="77777777" w:rsidR="006B74D3" w:rsidRPr="007C4847" w:rsidRDefault="006B74D3" w:rsidP="00912323">
            <w:pPr>
              <w:ind w:left="397"/>
            </w:pPr>
            <w:r w:rsidRPr="007C4847">
              <w:t>Revaluation</w:t>
            </w:r>
          </w:p>
        </w:tc>
        <w:tc>
          <w:tcPr>
            <w:tcW w:w="1559" w:type="dxa"/>
            <w:vAlign w:val="center"/>
          </w:tcPr>
          <w:p w14:paraId="6C8D2CD0" w14:textId="77777777" w:rsidR="006B74D3" w:rsidRPr="00912323" w:rsidRDefault="006B74D3" w:rsidP="00912323">
            <w:pPr>
              <w:jc w:val="right"/>
              <w:rPr>
                <w:rFonts w:cs="Arial"/>
              </w:rPr>
            </w:pPr>
            <w:r w:rsidRPr="00912323">
              <w:rPr>
                <w:rFonts w:cs="Arial"/>
              </w:rPr>
              <w:t>50</w:t>
            </w:r>
          </w:p>
        </w:tc>
        <w:tc>
          <w:tcPr>
            <w:tcW w:w="1418" w:type="dxa"/>
            <w:vAlign w:val="center"/>
          </w:tcPr>
          <w:p w14:paraId="7EFD15B4" w14:textId="77777777" w:rsidR="006B74D3" w:rsidRPr="00912323" w:rsidRDefault="006B74D3" w:rsidP="00912323">
            <w:pPr>
              <w:jc w:val="right"/>
              <w:rPr>
                <w:rFonts w:cs="Arial"/>
              </w:rPr>
            </w:pPr>
            <w:r w:rsidRPr="00912323">
              <w:rPr>
                <w:rFonts w:cs="Arial"/>
              </w:rPr>
              <w:t>-</w:t>
            </w:r>
          </w:p>
        </w:tc>
        <w:tc>
          <w:tcPr>
            <w:tcW w:w="1275" w:type="dxa"/>
            <w:vAlign w:val="center"/>
          </w:tcPr>
          <w:p w14:paraId="4E369B31" w14:textId="77777777" w:rsidR="006B74D3" w:rsidRPr="00912323" w:rsidRDefault="006B74D3" w:rsidP="00912323">
            <w:pPr>
              <w:jc w:val="right"/>
              <w:rPr>
                <w:rFonts w:cs="Arial"/>
              </w:rPr>
            </w:pPr>
            <w:r w:rsidRPr="00912323">
              <w:rPr>
                <w:rFonts w:cs="Arial"/>
              </w:rPr>
              <w:t>-</w:t>
            </w:r>
          </w:p>
        </w:tc>
        <w:tc>
          <w:tcPr>
            <w:tcW w:w="1276" w:type="dxa"/>
            <w:vAlign w:val="center"/>
          </w:tcPr>
          <w:p w14:paraId="1FEC89EF" w14:textId="77777777" w:rsidR="006B74D3" w:rsidRPr="00912323" w:rsidRDefault="006B74D3" w:rsidP="00912323">
            <w:pPr>
              <w:jc w:val="right"/>
              <w:rPr>
                <w:rFonts w:cs="Arial"/>
              </w:rPr>
            </w:pPr>
            <w:r w:rsidRPr="00912323">
              <w:rPr>
                <w:rFonts w:cs="Arial"/>
              </w:rPr>
              <w:t>-</w:t>
            </w:r>
          </w:p>
        </w:tc>
        <w:tc>
          <w:tcPr>
            <w:tcW w:w="1418" w:type="dxa"/>
            <w:vAlign w:val="center"/>
          </w:tcPr>
          <w:p w14:paraId="50745536" w14:textId="77777777" w:rsidR="006B74D3" w:rsidRPr="00255188" w:rsidRDefault="006B74D3" w:rsidP="00912323">
            <w:pPr>
              <w:jc w:val="right"/>
              <w:rPr>
                <w:rFonts w:cs="Arial"/>
              </w:rPr>
            </w:pPr>
            <w:r w:rsidRPr="00255188">
              <w:rPr>
                <w:rFonts w:cs="Arial"/>
              </w:rPr>
              <w:t>50</w:t>
            </w:r>
          </w:p>
        </w:tc>
      </w:tr>
      <w:tr w:rsidR="006B74D3" w:rsidRPr="00C328EF" w14:paraId="157D8FB5" w14:textId="77777777" w:rsidTr="006B74D3">
        <w:tc>
          <w:tcPr>
            <w:tcW w:w="3119" w:type="dxa"/>
          </w:tcPr>
          <w:p w14:paraId="0A6EB7F3" w14:textId="77777777" w:rsidR="006B74D3" w:rsidRPr="007C4847" w:rsidRDefault="006B74D3" w:rsidP="00912323">
            <w:pPr>
              <w:ind w:left="397"/>
            </w:pPr>
          </w:p>
        </w:tc>
        <w:tc>
          <w:tcPr>
            <w:tcW w:w="1559" w:type="dxa"/>
          </w:tcPr>
          <w:p w14:paraId="5493A258" w14:textId="77777777" w:rsidR="006B74D3" w:rsidRPr="00912323" w:rsidRDefault="006B74D3" w:rsidP="00912323">
            <w:pPr>
              <w:jc w:val="right"/>
              <w:rPr>
                <w:spacing w:val="-2"/>
              </w:rPr>
            </w:pPr>
            <w:r w:rsidRPr="00912323">
              <w:rPr>
                <w:spacing w:val="-2"/>
              </w:rPr>
              <w:t>───────</w:t>
            </w:r>
          </w:p>
        </w:tc>
        <w:tc>
          <w:tcPr>
            <w:tcW w:w="1418" w:type="dxa"/>
          </w:tcPr>
          <w:p w14:paraId="3EC7E53B" w14:textId="77777777" w:rsidR="006B74D3" w:rsidRPr="00912323" w:rsidRDefault="006B74D3" w:rsidP="00912323">
            <w:pPr>
              <w:jc w:val="right"/>
            </w:pPr>
            <w:r w:rsidRPr="00912323">
              <w:rPr>
                <w:spacing w:val="-2"/>
              </w:rPr>
              <w:t>───────</w:t>
            </w:r>
          </w:p>
        </w:tc>
        <w:tc>
          <w:tcPr>
            <w:tcW w:w="1275" w:type="dxa"/>
          </w:tcPr>
          <w:p w14:paraId="15B1EB6B" w14:textId="77777777" w:rsidR="006B74D3" w:rsidRPr="00912323" w:rsidRDefault="006B74D3" w:rsidP="00912323">
            <w:pPr>
              <w:jc w:val="right"/>
              <w:rPr>
                <w:spacing w:val="-2"/>
              </w:rPr>
            </w:pPr>
            <w:r w:rsidRPr="00912323">
              <w:rPr>
                <w:spacing w:val="-2"/>
              </w:rPr>
              <w:t>───────</w:t>
            </w:r>
          </w:p>
        </w:tc>
        <w:tc>
          <w:tcPr>
            <w:tcW w:w="1276" w:type="dxa"/>
          </w:tcPr>
          <w:p w14:paraId="65A11952" w14:textId="77777777" w:rsidR="006B74D3" w:rsidRPr="00912323" w:rsidRDefault="006B74D3" w:rsidP="00912323">
            <w:pPr>
              <w:jc w:val="right"/>
            </w:pPr>
            <w:r w:rsidRPr="00912323">
              <w:rPr>
                <w:spacing w:val="-2"/>
              </w:rPr>
              <w:t>───────</w:t>
            </w:r>
          </w:p>
        </w:tc>
        <w:tc>
          <w:tcPr>
            <w:tcW w:w="1418" w:type="dxa"/>
          </w:tcPr>
          <w:p w14:paraId="70555A7E" w14:textId="77777777" w:rsidR="006B74D3" w:rsidRPr="00255188" w:rsidRDefault="006B74D3" w:rsidP="00912323">
            <w:pPr>
              <w:jc w:val="right"/>
            </w:pPr>
            <w:r w:rsidRPr="00255188">
              <w:rPr>
                <w:spacing w:val="-2"/>
              </w:rPr>
              <w:t>───────</w:t>
            </w:r>
          </w:p>
        </w:tc>
      </w:tr>
      <w:tr w:rsidR="006B74D3" w:rsidRPr="00C328EF" w14:paraId="249376C2" w14:textId="77777777" w:rsidTr="006B74D3">
        <w:tc>
          <w:tcPr>
            <w:tcW w:w="3119" w:type="dxa"/>
          </w:tcPr>
          <w:p w14:paraId="0CFED704" w14:textId="77777777" w:rsidR="006B74D3" w:rsidRPr="007C4847" w:rsidRDefault="006B74D3" w:rsidP="00912323">
            <w:pPr>
              <w:ind w:left="397"/>
              <w:rPr>
                <w:b/>
              </w:rPr>
            </w:pPr>
            <w:r w:rsidRPr="007C4847">
              <w:rPr>
                <w:b/>
              </w:rPr>
              <w:t xml:space="preserve">At </w:t>
            </w:r>
            <w:r>
              <w:rPr>
                <w:b/>
              </w:rPr>
              <w:t>28</w:t>
            </w:r>
            <w:r w:rsidRPr="007C4847">
              <w:rPr>
                <w:b/>
              </w:rPr>
              <w:t xml:space="preserve"> December 2024</w:t>
            </w:r>
          </w:p>
        </w:tc>
        <w:tc>
          <w:tcPr>
            <w:tcW w:w="1559" w:type="dxa"/>
            <w:vAlign w:val="center"/>
          </w:tcPr>
          <w:p w14:paraId="278B7A23" w14:textId="77777777" w:rsidR="006B74D3" w:rsidRPr="00912323" w:rsidRDefault="006B74D3" w:rsidP="00912323">
            <w:pPr>
              <w:jc w:val="right"/>
              <w:rPr>
                <w:rFonts w:cs="Arial"/>
                <w:bCs/>
              </w:rPr>
            </w:pPr>
            <w:r w:rsidRPr="00912323">
              <w:rPr>
                <w:rFonts w:cs="Arial"/>
                <w:bCs/>
              </w:rPr>
              <w:t>125,680</w:t>
            </w:r>
          </w:p>
        </w:tc>
        <w:tc>
          <w:tcPr>
            <w:tcW w:w="1418" w:type="dxa"/>
            <w:vAlign w:val="center"/>
          </w:tcPr>
          <w:p w14:paraId="2CD967B5" w14:textId="77777777" w:rsidR="006B74D3" w:rsidRPr="00912323" w:rsidRDefault="006B74D3" w:rsidP="00912323">
            <w:pPr>
              <w:jc w:val="right"/>
              <w:rPr>
                <w:rFonts w:cs="Arial"/>
                <w:bCs/>
              </w:rPr>
            </w:pPr>
            <w:r w:rsidRPr="00912323">
              <w:rPr>
                <w:rFonts w:cs="Arial"/>
                <w:bCs/>
              </w:rPr>
              <w:t>159,787</w:t>
            </w:r>
          </w:p>
        </w:tc>
        <w:tc>
          <w:tcPr>
            <w:tcW w:w="1275" w:type="dxa"/>
            <w:vAlign w:val="center"/>
          </w:tcPr>
          <w:p w14:paraId="2B6C602C" w14:textId="77777777" w:rsidR="006B74D3" w:rsidRPr="00912323" w:rsidRDefault="006B74D3" w:rsidP="00912323">
            <w:pPr>
              <w:jc w:val="right"/>
              <w:rPr>
                <w:rFonts w:cs="Arial"/>
                <w:bCs/>
              </w:rPr>
            </w:pPr>
            <w:r w:rsidRPr="00912323">
              <w:rPr>
                <w:rFonts w:cs="Arial"/>
                <w:bCs/>
              </w:rPr>
              <w:t>313</w:t>
            </w:r>
          </w:p>
        </w:tc>
        <w:tc>
          <w:tcPr>
            <w:tcW w:w="1276" w:type="dxa"/>
            <w:vAlign w:val="center"/>
          </w:tcPr>
          <w:p w14:paraId="77B25485" w14:textId="77777777" w:rsidR="006B74D3" w:rsidRPr="00912323" w:rsidRDefault="006B74D3" w:rsidP="00912323">
            <w:pPr>
              <w:jc w:val="right"/>
              <w:rPr>
                <w:rFonts w:cs="Arial"/>
                <w:bCs/>
              </w:rPr>
            </w:pPr>
            <w:r w:rsidRPr="00912323">
              <w:rPr>
                <w:rFonts w:cs="Arial"/>
                <w:bCs/>
              </w:rPr>
              <w:t>33,473</w:t>
            </w:r>
          </w:p>
        </w:tc>
        <w:tc>
          <w:tcPr>
            <w:tcW w:w="1418" w:type="dxa"/>
            <w:vAlign w:val="center"/>
          </w:tcPr>
          <w:p w14:paraId="0F6158AC" w14:textId="77777777" w:rsidR="006B74D3" w:rsidRPr="00255188" w:rsidRDefault="006B74D3" w:rsidP="00912323">
            <w:pPr>
              <w:jc w:val="right"/>
              <w:rPr>
                <w:rFonts w:cs="Arial"/>
                <w:bCs/>
              </w:rPr>
            </w:pPr>
            <w:r w:rsidRPr="00255188">
              <w:rPr>
                <w:rFonts w:cs="Arial"/>
                <w:bCs/>
              </w:rPr>
              <w:t>319,253</w:t>
            </w:r>
          </w:p>
        </w:tc>
      </w:tr>
      <w:tr w:rsidR="006B74D3" w:rsidRPr="00C328EF" w14:paraId="7F1EABA9" w14:textId="77777777" w:rsidTr="006B74D3">
        <w:tc>
          <w:tcPr>
            <w:tcW w:w="3119" w:type="dxa"/>
          </w:tcPr>
          <w:p w14:paraId="483FB3C3" w14:textId="77777777" w:rsidR="006B74D3" w:rsidRPr="007C4847" w:rsidRDefault="006B74D3" w:rsidP="00912323">
            <w:pPr>
              <w:ind w:left="397"/>
            </w:pPr>
          </w:p>
        </w:tc>
        <w:tc>
          <w:tcPr>
            <w:tcW w:w="1559" w:type="dxa"/>
          </w:tcPr>
          <w:p w14:paraId="4EE01E06" w14:textId="77777777" w:rsidR="006B74D3" w:rsidRPr="00912323" w:rsidRDefault="006B74D3" w:rsidP="00912323">
            <w:pPr>
              <w:jc w:val="right"/>
            </w:pPr>
            <w:r w:rsidRPr="00912323">
              <w:rPr>
                <w:spacing w:val="-2"/>
              </w:rPr>
              <w:t>───────</w:t>
            </w:r>
          </w:p>
        </w:tc>
        <w:tc>
          <w:tcPr>
            <w:tcW w:w="1418" w:type="dxa"/>
          </w:tcPr>
          <w:p w14:paraId="06ECB263" w14:textId="77777777" w:rsidR="006B74D3" w:rsidRPr="00912323" w:rsidRDefault="006B74D3" w:rsidP="00912323">
            <w:pPr>
              <w:jc w:val="right"/>
            </w:pPr>
            <w:r w:rsidRPr="00912323">
              <w:rPr>
                <w:spacing w:val="-2"/>
              </w:rPr>
              <w:t>───────</w:t>
            </w:r>
          </w:p>
        </w:tc>
        <w:tc>
          <w:tcPr>
            <w:tcW w:w="1275" w:type="dxa"/>
          </w:tcPr>
          <w:p w14:paraId="41842A26" w14:textId="77777777" w:rsidR="006B74D3" w:rsidRPr="00912323" w:rsidRDefault="006B74D3" w:rsidP="00912323">
            <w:pPr>
              <w:jc w:val="right"/>
            </w:pPr>
            <w:r w:rsidRPr="00912323">
              <w:rPr>
                <w:spacing w:val="-2"/>
              </w:rPr>
              <w:t>───────</w:t>
            </w:r>
          </w:p>
        </w:tc>
        <w:tc>
          <w:tcPr>
            <w:tcW w:w="1276" w:type="dxa"/>
          </w:tcPr>
          <w:p w14:paraId="0651D7C3" w14:textId="77777777" w:rsidR="006B74D3" w:rsidRPr="00912323" w:rsidRDefault="006B74D3" w:rsidP="00912323">
            <w:pPr>
              <w:jc w:val="right"/>
            </w:pPr>
            <w:r w:rsidRPr="00912323">
              <w:rPr>
                <w:spacing w:val="-2"/>
              </w:rPr>
              <w:t>───────</w:t>
            </w:r>
          </w:p>
        </w:tc>
        <w:tc>
          <w:tcPr>
            <w:tcW w:w="1418" w:type="dxa"/>
          </w:tcPr>
          <w:p w14:paraId="0CCF1328" w14:textId="77777777" w:rsidR="006B74D3" w:rsidRPr="00255188" w:rsidRDefault="006B74D3" w:rsidP="00912323">
            <w:pPr>
              <w:jc w:val="right"/>
            </w:pPr>
            <w:r w:rsidRPr="00255188">
              <w:rPr>
                <w:spacing w:val="-2"/>
              </w:rPr>
              <w:t>───────</w:t>
            </w:r>
          </w:p>
        </w:tc>
      </w:tr>
      <w:tr w:rsidR="006B74D3" w:rsidRPr="00C328EF" w14:paraId="564FCD67" w14:textId="77777777" w:rsidTr="006B74D3">
        <w:tc>
          <w:tcPr>
            <w:tcW w:w="3119" w:type="dxa"/>
          </w:tcPr>
          <w:p w14:paraId="56AC7332" w14:textId="77777777" w:rsidR="006B74D3" w:rsidRPr="007C4847" w:rsidRDefault="006B74D3" w:rsidP="00912323">
            <w:pPr>
              <w:ind w:left="397"/>
              <w:rPr>
                <w:b/>
              </w:rPr>
            </w:pPr>
            <w:r w:rsidRPr="007C4847">
              <w:rPr>
                <w:b/>
              </w:rPr>
              <w:t>Accumulated depreciation</w:t>
            </w:r>
          </w:p>
        </w:tc>
        <w:tc>
          <w:tcPr>
            <w:tcW w:w="1559" w:type="dxa"/>
          </w:tcPr>
          <w:p w14:paraId="30CC284C" w14:textId="77777777" w:rsidR="006B74D3" w:rsidRPr="00C328EF" w:rsidRDefault="006B74D3" w:rsidP="00912323">
            <w:pPr>
              <w:jc w:val="right"/>
              <w:rPr>
                <w:highlight w:val="yellow"/>
              </w:rPr>
            </w:pPr>
          </w:p>
        </w:tc>
        <w:tc>
          <w:tcPr>
            <w:tcW w:w="1418" w:type="dxa"/>
          </w:tcPr>
          <w:p w14:paraId="2332AB00" w14:textId="77777777" w:rsidR="006B74D3" w:rsidRPr="00C328EF" w:rsidRDefault="006B74D3" w:rsidP="00912323">
            <w:pPr>
              <w:jc w:val="right"/>
              <w:rPr>
                <w:highlight w:val="yellow"/>
              </w:rPr>
            </w:pPr>
          </w:p>
        </w:tc>
        <w:tc>
          <w:tcPr>
            <w:tcW w:w="1275" w:type="dxa"/>
          </w:tcPr>
          <w:p w14:paraId="69D6EC19" w14:textId="77777777" w:rsidR="006B74D3" w:rsidRPr="00C328EF" w:rsidRDefault="006B74D3" w:rsidP="00912323">
            <w:pPr>
              <w:jc w:val="right"/>
              <w:rPr>
                <w:highlight w:val="yellow"/>
              </w:rPr>
            </w:pPr>
          </w:p>
        </w:tc>
        <w:tc>
          <w:tcPr>
            <w:tcW w:w="1276" w:type="dxa"/>
          </w:tcPr>
          <w:p w14:paraId="752C77C3" w14:textId="77777777" w:rsidR="006B74D3" w:rsidRPr="00C328EF" w:rsidRDefault="006B74D3" w:rsidP="00912323">
            <w:pPr>
              <w:jc w:val="right"/>
              <w:rPr>
                <w:highlight w:val="yellow"/>
              </w:rPr>
            </w:pPr>
          </w:p>
        </w:tc>
        <w:tc>
          <w:tcPr>
            <w:tcW w:w="1418" w:type="dxa"/>
          </w:tcPr>
          <w:p w14:paraId="45FB5745" w14:textId="77777777" w:rsidR="006B74D3" w:rsidRPr="00C328EF" w:rsidRDefault="006B74D3" w:rsidP="00912323">
            <w:pPr>
              <w:jc w:val="right"/>
              <w:rPr>
                <w:highlight w:val="yellow"/>
              </w:rPr>
            </w:pPr>
          </w:p>
        </w:tc>
      </w:tr>
      <w:tr w:rsidR="006B74D3" w:rsidRPr="00C328EF" w14:paraId="07A201E7" w14:textId="77777777" w:rsidTr="006B74D3">
        <w:tc>
          <w:tcPr>
            <w:tcW w:w="3119" w:type="dxa"/>
          </w:tcPr>
          <w:p w14:paraId="4E87D25E" w14:textId="77777777" w:rsidR="006B74D3" w:rsidRPr="007C4847" w:rsidRDefault="006B74D3" w:rsidP="00912323">
            <w:pPr>
              <w:ind w:left="397"/>
            </w:pPr>
            <w:r w:rsidRPr="007C4847">
              <w:rPr>
                <w:b/>
              </w:rPr>
              <w:t>At 3</w:t>
            </w:r>
            <w:r>
              <w:rPr>
                <w:b/>
              </w:rPr>
              <w:t>0</w:t>
            </w:r>
            <w:r w:rsidRPr="007C4847">
              <w:rPr>
                <w:b/>
              </w:rPr>
              <w:t xml:space="preserve"> December 202</w:t>
            </w:r>
            <w:r>
              <w:rPr>
                <w:b/>
              </w:rPr>
              <w:t>3</w:t>
            </w:r>
          </w:p>
        </w:tc>
        <w:tc>
          <w:tcPr>
            <w:tcW w:w="1559" w:type="dxa"/>
            <w:tcBorders>
              <w:top w:val="nil"/>
              <w:left w:val="nil"/>
              <w:bottom w:val="nil"/>
              <w:right w:val="nil"/>
            </w:tcBorders>
            <w:vAlign w:val="center"/>
          </w:tcPr>
          <w:p w14:paraId="4B9E33D8" w14:textId="77777777" w:rsidR="006B74D3" w:rsidRPr="007C4847" w:rsidRDefault="006B74D3" w:rsidP="00912323">
            <w:pPr>
              <w:jc w:val="right"/>
              <w:rPr>
                <w:bCs/>
              </w:rPr>
            </w:pPr>
            <w:r w:rsidRPr="007C4847">
              <w:rPr>
                <w:bCs/>
              </w:rPr>
              <w:t>(40,374)</w:t>
            </w:r>
          </w:p>
        </w:tc>
        <w:tc>
          <w:tcPr>
            <w:tcW w:w="1418" w:type="dxa"/>
            <w:tcBorders>
              <w:top w:val="nil"/>
              <w:left w:val="nil"/>
              <w:bottom w:val="nil"/>
              <w:right w:val="nil"/>
            </w:tcBorders>
            <w:vAlign w:val="center"/>
          </w:tcPr>
          <w:p w14:paraId="0F37BB31" w14:textId="77777777" w:rsidR="006B74D3" w:rsidRPr="007C4847" w:rsidRDefault="006B74D3" w:rsidP="00912323">
            <w:pPr>
              <w:jc w:val="right"/>
              <w:rPr>
                <w:bCs/>
              </w:rPr>
            </w:pPr>
            <w:r w:rsidRPr="007C4847">
              <w:rPr>
                <w:bCs/>
              </w:rPr>
              <w:t>(82,542)</w:t>
            </w:r>
          </w:p>
        </w:tc>
        <w:tc>
          <w:tcPr>
            <w:tcW w:w="1275" w:type="dxa"/>
            <w:tcBorders>
              <w:top w:val="nil"/>
              <w:left w:val="nil"/>
              <w:bottom w:val="nil"/>
              <w:right w:val="nil"/>
            </w:tcBorders>
            <w:vAlign w:val="center"/>
          </w:tcPr>
          <w:p w14:paraId="6814F27B" w14:textId="77777777" w:rsidR="006B74D3" w:rsidRPr="007C4847" w:rsidRDefault="006B74D3" w:rsidP="00912323">
            <w:pPr>
              <w:jc w:val="right"/>
              <w:rPr>
                <w:bCs/>
              </w:rPr>
            </w:pPr>
            <w:r w:rsidRPr="007C4847">
              <w:rPr>
                <w:bCs/>
              </w:rPr>
              <w:t>(187)</w:t>
            </w:r>
          </w:p>
        </w:tc>
        <w:tc>
          <w:tcPr>
            <w:tcW w:w="1276" w:type="dxa"/>
            <w:tcBorders>
              <w:top w:val="nil"/>
              <w:left w:val="nil"/>
              <w:bottom w:val="nil"/>
              <w:right w:val="nil"/>
            </w:tcBorders>
            <w:vAlign w:val="center"/>
          </w:tcPr>
          <w:p w14:paraId="06A754EB" w14:textId="77777777" w:rsidR="006B74D3" w:rsidRPr="007C4847" w:rsidRDefault="006B74D3" w:rsidP="00912323">
            <w:pPr>
              <w:jc w:val="right"/>
              <w:rPr>
                <w:bCs/>
              </w:rPr>
            </w:pPr>
            <w:r w:rsidRPr="007C4847">
              <w:rPr>
                <w:bCs/>
              </w:rPr>
              <w:t>(15,767)</w:t>
            </w:r>
          </w:p>
        </w:tc>
        <w:tc>
          <w:tcPr>
            <w:tcW w:w="1418" w:type="dxa"/>
            <w:tcBorders>
              <w:top w:val="nil"/>
              <w:left w:val="nil"/>
              <w:bottom w:val="nil"/>
              <w:right w:val="nil"/>
            </w:tcBorders>
            <w:vAlign w:val="center"/>
          </w:tcPr>
          <w:p w14:paraId="5C7174FD" w14:textId="77777777" w:rsidR="006B74D3" w:rsidRPr="007C4847" w:rsidRDefault="006B74D3" w:rsidP="00912323">
            <w:pPr>
              <w:jc w:val="right"/>
              <w:rPr>
                <w:bCs/>
              </w:rPr>
            </w:pPr>
            <w:r w:rsidRPr="007C4847">
              <w:rPr>
                <w:bCs/>
              </w:rPr>
              <w:t>(138,870)</w:t>
            </w:r>
          </w:p>
        </w:tc>
      </w:tr>
      <w:tr w:rsidR="006B74D3" w:rsidRPr="00C328EF" w14:paraId="4EE9B0D6" w14:textId="77777777" w:rsidTr="006B74D3">
        <w:tc>
          <w:tcPr>
            <w:tcW w:w="3119" w:type="dxa"/>
          </w:tcPr>
          <w:p w14:paraId="6D2FB549" w14:textId="77777777" w:rsidR="006B74D3" w:rsidRPr="007C4847" w:rsidRDefault="006B74D3" w:rsidP="006E64D7">
            <w:pPr>
              <w:ind w:left="397"/>
            </w:pPr>
            <w:r w:rsidRPr="0008397D">
              <w:t>On acquisition of subsidiary</w:t>
            </w:r>
          </w:p>
        </w:tc>
        <w:tc>
          <w:tcPr>
            <w:tcW w:w="1559" w:type="dxa"/>
          </w:tcPr>
          <w:p w14:paraId="5A4A9E77" w14:textId="77777777" w:rsidR="006B74D3" w:rsidRPr="00C328EF" w:rsidRDefault="006B74D3" w:rsidP="006E64D7">
            <w:pPr>
              <w:jc w:val="right"/>
              <w:rPr>
                <w:highlight w:val="yellow"/>
              </w:rPr>
            </w:pPr>
            <w:r w:rsidRPr="0008397D">
              <w:t>-</w:t>
            </w:r>
          </w:p>
        </w:tc>
        <w:tc>
          <w:tcPr>
            <w:tcW w:w="1418" w:type="dxa"/>
          </w:tcPr>
          <w:p w14:paraId="7BAE1943" w14:textId="77777777" w:rsidR="006B74D3" w:rsidRPr="006E64D7" w:rsidRDefault="006B74D3" w:rsidP="006E64D7">
            <w:pPr>
              <w:jc w:val="right"/>
            </w:pPr>
            <w:r w:rsidRPr="006E64D7">
              <w:t>(2,064)</w:t>
            </w:r>
          </w:p>
        </w:tc>
        <w:tc>
          <w:tcPr>
            <w:tcW w:w="1275" w:type="dxa"/>
          </w:tcPr>
          <w:p w14:paraId="610C1DF8" w14:textId="77777777" w:rsidR="006B74D3" w:rsidRPr="00563721" w:rsidRDefault="006B74D3" w:rsidP="006E64D7">
            <w:pPr>
              <w:jc w:val="right"/>
            </w:pPr>
            <w:r w:rsidRPr="00563721">
              <w:t>(25)</w:t>
            </w:r>
          </w:p>
        </w:tc>
        <w:tc>
          <w:tcPr>
            <w:tcW w:w="1276" w:type="dxa"/>
          </w:tcPr>
          <w:p w14:paraId="28E68C09" w14:textId="77777777" w:rsidR="006B74D3" w:rsidRPr="00C328EF" w:rsidRDefault="006B74D3" w:rsidP="006E64D7">
            <w:pPr>
              <w:jc w:val="right"/>
              <w:rPr>
                <w:highlight w:val="yellow"/>
              </w:rPr>
            </w:pPr>
            <w:r w:rsidRPr="0008397D">
              <w:t>(192)</w:t>
            </w:r>
          </w:p>
        </w:tc>
        <w:tc>
          <w:tcPr>
            <w:tcW w:w="1418" w:type="dxa"/>
          </w:tcPr>
          <w:p w14:paraId="2F97000D" w14:textId="77777777" w:rsidR="006B74D3" w:rsidRPr="00C328EF" w:rsidRDefault="006B74D3" w:rsidP="006E64D7">
            <w:pPr>
              <w:jc w:val="right"/>
              <w:rPr>
                <w:highlight w:val="yellow"/>
              </w:rPr>
            </w:pPr>
            <w:r w:rsidRPr="0008397D">
              <w:t>(2,281)</w:t>
            </w:r>
          </w:p>
        </w:tc>
      </w:tr>
      <w:tr w:rsidR="006B74D3" w:rsidRPr="00563721" w14:paraId="5E839F3E" w14:textId="77777777" w:rsidTr="006B74D3">
        <w:tc>
          <w:tcPr>
            <w:tcW w:w="3119" w:type="dxa"/>
          </w:tcPr>
          <w:p w14:paraId="7631F1D5" w14:textId="77777777" w:rsidR="006B74D3" w:rsidRPr="007C4847" w:rsidRDefault="006B74D3" w:rsidP="006E64D7">
            <w:pPr>
              <w:ind w:left="397"/>
            </w:pPr>
            <w:r w:rsidRPr="007C4847">
              <w:t xml:space="preserve">Charge for the </w:t>
            </w:r>
            <w:r>
              <w:t>period</w:t>
            </w:r>
          </w:p>
        </w:tc>
        <w:tc>
          <w:tcPr>
            <w:tcW w:w="1559" w:type="dxa"/>
          </w:tcPr>
          <w:p w14:paraId="75176E63" w14:textId="77777777" w:rsidR="006B74D3" w:rsidRPr="006E64D7" w:rsidRDefault="006B74D3" w:rsidP="006E64D7">
            <w:pPr>
              <w:jc w:val="right"/>
            </w:pPr>
            <w:r w:rsidRPr="006E64D7">
              <w:t>(7,902)</w:t>
            </w:r>
          </w:p>
        </w:tc>
        <w:tc>
          <w:tcPr>
            <w:tcW w:w="1418" w:type="dxa"/>
          </w:tcPr>
          <w:p w14:paraId="1EF2CF77" w14:textId="77777777" w:rsidR="006B74D3" w:rsidRPr="006E64D7" w:rsidRDefault="006B74D3" w:rsidP="006E64D7">
            <w:pPr>
              <w:jc w:val="right"/>
            </w:pPr>
            <w:r w:rsidRPr="006E64D7">
              <w:t>(9,826)</w:t>
            </w:r>
          </w:p>
        </w:tc>
        <w:tc>
          <w:tcPr>
            <w:tcW w:w="1275" w:type="dxa"/>
          </w:tcPr>
          <w:p w14:paraId="640DD9AD" w14:textId="77777777" w:rsidR="006B74D3" w:rsidRPr="00563721" w:rsidRDefault="006B74D3" w:rsidP="006E64D7">
            <w:pPr>
              <w:jc w:val="right"/>
            </w:pPr>
            <w:r w:rsidRPr="00563721">
              <w:t>(52)</w:t>
            </w:r>
          </w:p>
        </w:tc>
        <w:tc>
          <w:tcPr>
            <w:tcW w:w="1276" w:type="dxa"/>
          </w:tcPr>
          <w:p w14:paraId="0264ACB3" w14:textId="77777777" w:rsidR="006B74D3" w:rsidRPr="00563721" w:rsidRDefault="006B74D3" w:rsidP="006E64D7">
            <w:pPr>
              <w:jc w:val="right"/>
            </w:pPr>
            <w:r w:rsidRPr="00563721">
              <w:t>(1,811)</w:t>
            </w:r>
          </w:p>
        </w:tc>
        <w:tc>
          <w:tcPr>
            <w:tcW w:w="1418" w:type="dxa"/>
          </w:tcPr>
          <w:p w14:paraId="6B420340" w14:textId="77777777" w:rsidR="006B74D3" w:rsidRPr="00563721" w:rsidRDefault="006B74D3" w:rsidP="006E64D7">
            <w:pPr>
              <w:jc w:val="right"/>
            </w:pPr>
            <w:r w:rsidRPr="00563721">
              <w:t>(19,591)</w:t>
            </w:r>
          </w:p>
        </w:tc>
      </w:tr>
      <w:tr w:rsidR="006B74D3" w:rsidRPr="00C328EF" w14:paraId="285E07D8" w14:textId="77777777" w:rsidTr="006B74D3">
        <w:tc>
          <w:tcPr>
            <w:tcW w:w="3119" w:type="dxa"/>
          </w:tcPr>
          <w:p w14:paraId="7A80FB24" w14:textId="77777777" w:rsidR="006B74D3" w:rsidRPr="007C4847" w:rsidRDefault="006B74D3" w:rsidP="006E64D7">
            <w:pPr>
              <w:ind w:left="397"/>
            </w:pPr>
            <w:r w:rsidRPr="007C4847">
              <w:t>Eliminated on disposal</w:t>
            </w:r>
          </w:p>
        </w:tc>
        <w:tc>
          <w:tcPr>
            <w:tcW w:w="1559" w:type="dxa"/>
            <w:vAlign w:val="center"/>
          </w:tcPr>
          <w:p w14:paraId="412F8A51" w14:textId="77777777" w:rsidR="006B74D3" w:rsidRPr="006E64D7" w:rsidRDefault="006B74D3" w:rsidP="006E64D7">
            <w:pPr>
              <w:jc w:val="right"/>
              <w:rPr>
                <w:bCs/>
              </w:rPr>
            </w:pPr>
            <w:r w:rsidRPr="006E64D7">
              <w:rPr>
                <w:bCs/>
              </w:rPr>
              <w:t>-</w:t>
            </w:r>
          </w:p>
        </w:tc>
        <w:tc>
          <w:tcPr>
            <w:tcW w:w="1418" w:type="dxa"/>
            <w:vAlign w:val="center"/>
          </w:tcPr>
          <w:p w14:paraId="57DA112D" w14:textId="77777777" w:rsidR="006B74D3" w:rsidRPr="006E64D7" w:rsidRDefault="006B74D3" w:rsidP="006E64D7">
            <w:pPr>
              <w:jc w:val="right"/>
              <w:rPr>
                <w:bCs/>
              </w:rPr>
            </w:pPr>
            <w:r w:rsidRPr="006E64D7">
              <w:rPr>
                <w:bCs/>
              </w:rPr>
              <w:t>276</w:t>
            </w:r>
          </w:p>
        </w:tc>
        <w:tc>
          <w:tcPr>
            <w:tcW w:w="1275" w:type="dxa"/>
            <w:vAlign w:val="center"/>
          </w:tcPr>
          <w:p w14:paraId="63D1DDB0" w14:textId="77777777" w:rsidR="006B74D3" w:rsidRPr="00563721" w:rsidRDefault="006B74D3" w:rsidP="006E64D7">
            <w:pPr>
              <w:jc w:val="right"/>
              <w:rPr>
                <w:bCs/>
              </w:rPr>
            </w:pPr>
            <w:r w:rsidRPr="00563721">
              <w:rPr>
                <w:bCs/>
              </w:rPr>
              <w:t>40</w:t>
            </w:r>
          </w:p>
        </w:tc>
        <w:tc>
          <w:tcPr>
            <w:tcW w:w="1276" w:type="dxa"/>
            <w:vAlign w:val="center"/>
          </w:tcPr>
          <w:p w14:paraId="053289D3" w14:textId="77777777" w:rsidR="006B74D3" w:rsidRPr="00563721" w:rsidRDefault="006B74D3" w:rsidP="006E64D7">
            <w:pPr>
              <w:jc w:val="right"/>
              <w:rPr>
                <w:bCs/>
              </w:rPr>
            </w:pPr>
            <w:r w:rsidRPr="00563721">
              <w:rPr>
                <w:bCs/>
              </w:rPr>
              <w:t>-</w:t>
            </w:r>
          </w:p>
        </w:tc>
        <w:tc>
          <w:tcPr>
            <w:tcW w:w="1418" w:type="dxa"/>
            <w:vAlign w:val="center"/>
          </w:tcPr>
          <w:p w14:paraId="7EDE11CE" w14:textId="77777777" w:rsidR="006B74D3" w:rsidRPr="00563721" w:rsidRDefault="006B74D3" w:rsidP="006E64D7">
            <w:pPr>
              <w:jc w:val="right"/>
              <w:rPr>
                <w:bCs/>
              </w:rPr>
            </w:pPr>
            <w:r w:rsidRPr="00563721">
              <w:rPr>
                <w:bCs/>
              </w:rPr>
              <w:t>316</w:t>
            </w:r>
          </w:p>
        </w:tc>
      </w:tr>
      <w:tr w:rsidR="006B74D3" w:rsidRPr="00C328EF" w14:paraId="5E080C8E" w14:textId="77777777" w:rsidTr="006B74D3">
        <w:tc>
          <w:tcPr>
            <w:tcW w:w="3119" w:type="dxa"/>
          </w:tcPr>
          <w:p w14:paraId="3A5FB49F" w14:textId="77777777" w:rsidR="006B74D3" w:rsidRPr="007C4847" w:rsidRDefault="006B74D3" w:rsidP="006E64D7">
            <w:pPr>
              <w:ind w:left="397"/>
            </w:pPr>
          </w:p>
        </w:tc>
        <w:tc>
          <w:tcPr>
            <w:tcW w:w="1559" w:type="dxa"/>
          </w:tcPr>
          <w:p w14:paraId="04A118B9" w14:textId="77777777" w:rsidR="006B74D3" w:rsidRPr="006E64D7" w:rsidRDefault="006B74D3" w:rsidP="006E64D7">
            <w:pPr>
              <w:jc w:val="right"/>
            </w:pPr>
            <w:r w:rsidRPr="006E64D7">
              <w:rPr>
                <w:spacing w:val="-2"/>
              </w:rPr>
              <w:t>───────</w:t>
            </w:r>
          </w:p>
        </w:tc>
        <w:tc>
          <w:tcPr>
            <w:tcW w:w="1418" w:type="dxa"/>
          </w:tcPr>
          <w:p w14:paraId="333E2655" w14:textId="77777777" w:rsidR="006B74D3" w:rsidRPr="006E64D7" w:rsidRDefault="006B74D3" w:rsidP="006E64D7">
            <w:pPr>
              <w:jc w:val="right"/>
            </w:pPr>
            <w:r w:rsidRPr="006E64D7">
              <w:rPr>
                <w:spacing w:val="-2"/>
              </w:rPr>
              <w:t>───────</w:t>
            </w:r>
          </w:p>
        </w:tc>
        <w:tc>
          <w:tcPr>
            <w:tcW w:w="1275" w:type="dxa"/>
          </w:tcPr>
          <w:p w14:paraId="72515C66" w14:textId="77777777" w:rsidR="006B74D3" w:rsidRPr="00563721" w:rsidRDefault="006B74D3" w:rsidP="006E64D7">
            <w:pPr>
              <w:jc w:val="right"/>
            </w:pPr>
            <w:r w:rsidRPr="00563721">
              <w:rPr>
                <w:spacing w:val="-2"/>
              </w:rPr>
              <w:t>───────</w:t>
            </w:r>
          </w:p>
        </w:tc>
        <w:tc>
          <w:tcPr>
            <w:tcW w:w="1276" w:type="dxa"/>
          </w:tcPr>
          <w:p w14:paraId="3652A6DF" w14:textId="77777777" w:rsidR="006B74D3" w:rsidRPr="00563721" w:rsidRDefault="006B74D3" w:rsidP="006E64D7">
            <w:pPr>
              <w:jc w:val="right"/>
            </w:pPr>
            <w:r w:rsidRPr="00563721">
              <w:rPr>
                <w:spacing w:val="-2"/>
              </w:rPr>
              <w:t>───────</w:t>
            </w:r>
          </w:p>
        </w:tc>
        <w:tc>
          <w:tcPr>
            <w:tcW w:w="1418" w:type="dxa"/>
          </w:tcPr>
          <w:p w14:paraId="1BD88F8E" w14:textId="77777777" w:rsidR="006B74D3" w:rsidRPr="00563721" w:rsidRDefault="006B74D3" w:rsidP="006E64D7">
            <w:pPr>
              <w:jc w:val="right"/>
            </w:pPr>
            <w:r w:rsidRPr="00563721">
              <w:rPr>
                <w:spacing w:val="-2"/>
              </w:rPr>
              <w:t>───────</w:t>
            </w:r>
          </w:p>
        </w:tc>
      </w:tr>
      <w:tr w:rsidR="006B74D3" w:rsidRPr="00C328EF" w14:paraId="70F9906B" w14:textId="77777777" w:rsidTr="006B74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nil"/>
              <w:right w:val="nil"/>
            </w:tcBorders>
          </w:tcPr>
          <w:p w14:paraId="75D698D9" w14:textId="77777777" w:rsidR="006B74D3" w:rsidRPr="007C4847" w:rsidRDefault="006B74D3" w:rsidP="006E64D7">
            <w:pPr>
              <w:ind w:left="397"/>
            </w:pPr>
            <w:r w:rsidRPr="007C4847">
              <w:rPr>
                <w:b/>
              </w:rPr>
              <w:t xml:space="preserve">At </w:t>
            </w:r>
            <w:r>
              <w:rPr>
                <w:b/>
              </w:rPr>
              <w:t>28</w:t>
            </w:r>
            <w:r w:rsidRPr="007C4847">
              <w:rPr>
                <w:b/>
              </w:rPr>
              <w:t xml:space="preserve"> December 2024</w:t>
            </w:r>
          </w:p>
        </w:tc>
        <w:tc>
          <w:tcPr>
            <w:tcW w:w="1559" w:type="dxa"/>
            <w:tcBorders>
              <w:top w:val="nil"/>
              <w:left w:val="nil"/>
              <w:bottom w:val="nil"/>
              <w:right w:val="nil"/>
            </w:tcBorders>
            <w:vAlign w:val="center"/>
          </w:tcPr>
          <w:p w14:paraId="44B2A0F0" w14:textId="77777777" w:rsidR="006B74D3" w:rsidRPr="006E64D7" w:rsidRDefault="006B74D3" w:rsidP="006E64D7">
            <w:pPr>
              <w:jc w:val="right"/>
              <w:rPr>
                <w:bCs/>
              </w:rPr>
            </w:pPr>
            <w:r w:rsidRPr="006E64D7">
              <w:rPr>
                <w:bCs/>
              </w:rPr>
              <w:t>(48,276)</w:t>
            </w:r>
          </w:p>
        </w:tc>
        <w:tc>
          <w:tcPr>
            <w:tcW w:w="1418" w:type="dxa"/>
            <w:tcBorders>
              <w:top w:val="nil"/>
              <w:left w:val="nil"/>
              <w:bottom w:val="nil"/>
              <w:right w:val="nil"/>
            </w:tcBorders>
            <w:vAlign w:val="center"/>
          </w:tcPr>
          <w:p w14:paraId="13D4E471" w14:textId="77777777" w:rsidR="006B74D3" w:rsidRPr="006E64D7" w:rsidRDefault="006B74D3" w:rsidP="006E64D7">
            <w:pPr>
              <w:jc w:val="right"/>
              <w:rPr>
                <w:bCs/>
              </w:rPr>
            </w:pPr>
            <w:r w:rsidRPr="006E64D7">
              <w:rPr>
                <w:bCs/>
              </w:rPr>
              <w:t>(94,156)</w:t>
            </w:r>
          </w:p>
        </w:tc>
        <w:tc>
          <w:tcPr>
            <w:tcW w:w="1275" w:type="dxa"/>
            <w:tcBorders>
              <w:top w:val="nil"/>
              <w:left w:val="nil"/>
              <w:bottom w:val="nil"/>
              <w:right w:val="nil"/>
            </w:tcBorders>
            <w:vAlign w:val="center"/>
          </w:tcPr>
          <w:p w14:paraId="694C80F0" w14:textId="77777777" w:rsidR="006B74D3" w:rsidRPr="00563721" w:rsidRDefault="006B74D3" w:rsidP="006E64D7">
            <w:pPr>
              <w:jc w:val="right"/>
              <w:rPr>
                <w:bCs/>
              </w:rPr>
            </w:pPr>
            <w:r w:rsidRPr="00563721">
              <w:rPr>
                <w:bCs/>
              </w:rPr>
              <w:t>(224)</w:t>
            </w:r>
          </w:p>
        </w:tc>
        <w:tc>
          <w:tcPr>
            <w:tcW w:w="1276" w:type="dxa"/>
            <w:tcBorders>
              <w:top w:val="nil"/>
              <w:left w:val="nil"/>
              <w:bottom w:val="nil"/>
              <w:right w:val="nil"/>
            </w:tcBorders>
            <w:vAlign w:val="center"/>
          </w:tcPr>
          <w:p w14:paraId="36FB78BD" w14:textId="77777777" w:rsidR="006B74D3" w:rsidRPr="00563721" w:rsidRDefault="006B74D3" w:rsidP="006E64D7">
            <w:pPr>
              <w:jc w:val="right"/>
              <w:rPr>
                <w:bCs/>
              </w:rPr>
            </w:pPr>
            <w:r w:rsidRPr="00563721">
              <w:rPr>
                <w:bCs/>
              </w:rPr>
              <w:t>(17,770)</w:t>
            </w:r>
          </w:p>
        </w:tc>
        <w:tc>
          <w:tcPr>
            <w:tcW w:w="1418" w:type="dxa"/>
            <w:tcBorders>
              <w:top w:val="nil"/>
              <w:left w:val="nil"/>
              <w:bottom w:val="nil"/>
              <w:right w:val="nil"/>
            </w:tcBorders>
            <w:vAlign w:val="center"/>
          </w:tcPr>
          <w:p w14:paraId="6853C6AC" w14:textId="77777777" w:rsidR="006B74D3" w:rsidRPr="00563721" w:rsidRDefault="006B74D3" w:rsidP="006E64D7">
            <w:pPr>
              <w:jc w:val="right"/>
              <w:rPr>
                <w:bCs/>
              </w:rPr>
            </w:pPr>
            <w:r w:rsidRPr="00563721">
              <w:rPr>
                <w:bCs/>
              </w:rPr>
              <w:t>(160,426)</w:t>
            </w:r>
          </w:p>
        </w:tc>
      </w:tr>
      <w:tr w:rsidR="006B74D3" w:rsidRPr="00C328EF" w14:paraId="5C57E6F3" w14:textId="77777777" w:rsidTr="006B74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nil"/>
              <w:right w:val="nil"/>
            </w:tcBorders>
          </w:tcPr>
          <w:p w14:paraId="31265434" w14:textId="77777777" w:rsidR="006B74D3" w:rsidRPr="007C4847" w:rsidRDefault="006B74D3" w:rsidP="006E64D7">
            <w:pPr>
              <w:ind w:left="397"/>
            </w:pPr>
          </w:p>
        </w:tc>
        <w:tc>
          <w:tcPr>
            <w:tcW w:w="1559" w:type="dxa"/>
            <w:tcBorders>
              <w:top w:val="nil"/>
              <w:left w:val="nil"/>
              <w:bottom w:val="nil"/>
              <w:right w:val="nil"/>
            </w:tcBorders>
          </w:tcPr>
          <w:p w14:paraId="26792822" w14:textId="77777777" w:rsidR="006B74D3" w:rsidRPr="006E64D7" w:rsidRDefault="006B74D3" w:rsidP="006E64D7">
            <w:pPr>
              <w:jc w:val="right"/>
            </w:pPr>
            <w:r w:rsidRPr="006E64D7">
              <w:rPr>
                <w:spacing w:val="-2"/>
              </w:rPr>
              <w:t>───────</w:t>
            </w:r>
          </w:p>
        </w:tc>
        <w:tc>
          <w:tcPr>
            <w:tcW w:w="1418" w:type="dxa"/>
            <w:tcBorders>
              <w:top w:val="nil"/>
              <w:left w:val="nil"/>
              <w:bottom w:val="nil"/>
              <w:right w:val="nil"/>
            </w:tcBorders>
          </w:tcPr>
          <w:p w14:paraId="110560A5" w14:textId="77777777" w:rsidR="006B74D3" w:rsidRPr="006E64D7" w:rsidRDefault="006B74D3" w:rsidP="006E64D7">
            <w:pPr>
              <w:jc w:val="right"/>
            </w:pPr>
            <w:r w:rsidRPr="006E64D7">
              <w:rPr>
                <w:spacing w:val="-2"/>
              </w:rPr>
              <w:t>───────</w:t>
            </w:r>
          </w:p>
        </w:tc>
        <w:tc>
          <w:tcPr>
            <w:tcW w:w="1275" w:type="dxa"/>
            <w:tcBorders>
              <w:top w:val="nil"/>
              <w:left w:val="nil"/>
              <w:bottom w:val="nil"/>
              <w:right w:val="nil"/>
            </w:tcBorders>
          </w:tcPr>
          <w:p w14:paraId="16594793" w14:textId="77777777" w:rsidR="006B74D3" w:rsidRPr="00563721" w:rsidRDefault="006B74D3" w:rsidP="006E64D7">
            <w:pPr>
              <w:jc w:val="right"/>
            </w:pPr>
            <w:r w:rsidRPr="00563721">
              <w:rPr>
                <w:spacing w:val="-2"/>
              </w:rPr>
              <w:t>───────</w:t>
            </w:r>
          </w:p>
        </w:tc>
        <w:tc>
          <w:tcPr>
            <w:tcW w:w="1276" w:type="dxa"/>
            <w:tcBorders>
              <w:top w:val="nil"/>
              <w:left w:val="nil"/>
              <w:bottom w:val="nil"/>
              <w:right w:val="nil"/>
            </w:tcBorders>
          </w:tcPr>
          <w:p w14:paraId="7A1B9DA1" w14:textId="77777777" w:rsidR="006B74D3" w:rsidRPr="00563721" w:rsidRDefault="006B74D3" w:rsidP="006E64D7">
            <w:pPr>
              <w:jc w:val="right"/>
            </w:pPr>
            <w:r w:rsidRPr="00563721">
              <w:rPr>
                <w:spacing w:val="-2"/>
              </w:rPr>
              <w:t>───────</w:t>
            </w:r>
          </w:p>
        </w:tc>
        <w:tc>
          <w:tcPr>
            <w:tcW w:w="1418" w:type="dxa"/>
            <w:tcBorders>
              <w:top w:val="nil"/>
              <w:left w:val="nil"/>
              <w:bottom w:val="nil"/>
              <w:right w:val="nil"/>
            </w:tcBorders>
          </w:tcPr>
          <w:p w14:paraId="107B116B" w14:textId="77777777" w:rsidR="006B74D3" w:rsidRPr="00563721" w:rsidRDefault="006B74D3" w:rsidP="006E64D7">
            <w:pPr>
              <w:jc w:val="right"/>
            </w:pPr>
            <w:r w:rsidRPr="00563721">
              <w:rPr>
                <w:spacing w:val="-2"/>
              </w:rPr>
              <w:t>───────</w:t>
            </w:r>
          </w:p>
        </w:tc>
      </w:tr>
      <w:tr w:rsidR="006B74D3" w:rsidRPr="00C328EF" w14:paraId="19B32B2C" w14:textId="77777777" w:rsidTr="006B74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nil"/>
              <w:right w:val="nil"/>
            </w:tcBorders>
          </w:tcPr>
          <w:p w14:paraId="3343D125" w14:textId="77777777" w:rsidR="006B74D3" w:rsidRPr="007C4847" w:rsidRDefault="006B74D3" w:rsidP="006E64D7">
            <w:pPr>
              <w:ind w:left="397"/>
              <w:rPr>
                <w:b/>
              </w:rPr>
            </w:pPr>
            <w:r w:rsidRPr="007C4847">
              <w:rPr>
                <w:b/>
              </w:rPr>
              <w:t>Net book value</w:t>
            </w:r>
          </w:p>
        </w:tc>
        <w:tc>
          <w:tcPr>
            <w:tcW w:w="1559" w:type="dxa"/>
            <w:tcBorders>
              <w:top w:val="nil"/>
              <w:left w:val="nil"/>
              <w:bottom w:val="nil"/>
              <w:right w:val="nil"/>
            </w:tcBorders>
          </w:tcPr>
          <w:p w14:paraId="4BBB3C40" w14:textId="77777777" w:rsidR="006B74D3" w:rsidRPr="006E64D7" w:rsidRDefault="006B74D3" w:rsidP="006E64D7">
            <w:pPr>
              <w:jc w:val="right"/>
            </w:pPr>
          </w:p>
        </w:tc>
        <w:tc>
          <w:tcPr>
            <w:tcW w:w="1418" w:type="dxa"/>
            <w:tcBorders>
              <w:top w:val="nil"/>
              <w:left w:val="nil"/>
              <w:bottom w:val="nil"/>
              <w:right w:val="nil"/>
            </w:tcBorders>
          </w:tcPr>
          <w:p w14:paraId="69034BD9" w14:textId="77777777" w:rsidR="006B74D3" w:rsidRPr="006E64D7" w:rsidRDefault="006B74D3" w:rsidP="006E64D7">
            <w:pPr>
              <w:jc w:val="right"/>
            </w:pPr>
          </w:p>
        </w:tc>
        <w:tc>
          <w:tcPr>
            <w:tcW w:w="1275" w:type="dxa"/>
            <w:tcBorders>
              <w:top w:val="nil"/>
              <w:left w:val="nil"/>
              <w:bottom w:val="nil"/>
              <w:right w:val="nil"/>
            </w:tcBorders>
          </w:tcPr>
          <w:p w14:paraId="3E81B38D" w14:textId="77777777" w:rsidR="006B74D3" w:rsidRPr="00563721" w:rsidRDefault="006B74D3" w:rsidP="006E64D7">
            <w:pPr>
              <w:jc w:val="right"/>
            </w:pPr>
          </w:p>
        </w:tc>
        <w:tc>
          <w:tcPr>
            <w:tcW w:w="1276" w:type="dxa"/>
            <w:tcBorders>
              <w:top w:val="nil"/>
              <w:left w:val="nil"/>
              <w:bottom w:val="nil"/>
              <w:right w:val="nil"/>
            </w:tcBorders>
          </w:tcPr>
          <w:p w14:paraId="10D1FB65" w14:textId="77777777" w:rsidR="006B74D3" w:rsidRPr="00563721" w:rsidRDefault="006B74D3" w:rsidP="006E64D7">
            <w:pPr>
              <w:jc w:val="right"/>
            </w:pPr>
          </w:p>
        </w:tc>
        <w:tc>
          <w:tcPr>
            <w:tcW w:w="1418" w:type="dxa"/>
            <w:tcBorders>
              <w:top w:val="nil"/>
              <w:left w:val="nil"/>
              <w:bottom w:val="nil"/>
              <w:right w:val="nil"/>
            </w:tcBorders>
          </w:tcPr>
          <w:p w14:paraId="62A61CFE" w14:textId="77777777" w:rsidR="006B74D3" w:rsidRPr="00563721" w:rsidRDefault="006B74D3" w:rsidP="006E64D7">
            <w:pPr>
              <w:jc w:val="right"/>
            </w:pPr>
          </w:p>
        </w:tc>
      </w:tr>
      <w:tr w:rsidR="006B74D3" w:rsidRPr="00C328EF" w14:paraId="512BA00C" w14:textId="77777777" w:rsidTr="006B74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nil"/>
              <w:right w:val="nil"/>
            </w:tcBorders>
          </w:tcPr>
          <w:p w14:paraId="098BE3DF" w14:textId="77777777" w:rsidR="006B74D3" w:rsidRPr="007C4847" w:rsidRDefault="006B74D3" w:rsidP="006E64D7">
            <w:pPr>
              <w:ind w:left="397"/>
              <w:rPr>
                <w:b/>
              </w:rPr>
            </w:pPr>
            <w:r w:rsidRPr="007C4847">
              <w:rPr>
                <w:b/>
              </w:rPr>
              <w:t xml:space="preserve">At </w:t>
            </w:r>
            <w:r>
              <w:rPr>
                <w:b/>
              </w:rPr>
              <w:t>28</w:t>
            </w:r>
            <w:r w:rsidRPr="007C4847">
              <w:rPr>
                <w:b/>
              </w:rPr>
              <w:t xml:space="preserve"> December 2024</w:t>
            </w:r>
          </w:p>
        </w:tc>
        <w:tc>
          <w:tcPr>
            <w:tcW w:w="1559" w:type="dxa"/>
            <w:tcBorders>
              <w:top w:val="nil"/>
              <w:left w:val="nil"/>
              <w:bottom w:val="nil"/>
              <w:right w:val="nil"/>
            </w:tcBorders>
            <w:vAlign w:val="center"/>
          </w:tcPr>
          <w:p w14:paraId="56B18DEB" w14:textId="77777777" w:rsidR="006B74D3" w:rsidRPr="006E64D7" w:rsidRDefault="006B74D3" w:rsidP="006E64D7">
            <w:pPr>
              <w:jc w:val="right"/>
              <w:rPr>
                <w:bCs/>
              </w:rPr>
            </w:pPr>
            <w:r w:rsidRPr="006E64D7">
              <w:rPr>
                <w:bCs/>
              </w:rPr>
              <w:t>77,404</w:t>
            </w:r>
          </w:p>
        </w:tc>
        <w:tc>
          <w:tcPr>
            <w:tcW w:w="1418" w:type="dxa"/>
            <w:tcBorders>
              <w:top w:val="nil"/>
              <w:left w:val="nil"/>
              <w:bottom w:val="nil"/>
              <w:right w:val="nil"/>
            </w:tcBorders>
            <w:vAlign w:val="center"/>
          </w:tcPr>
          <w:p w14:paraId="749E5B24" w14:textId="77777777" w:rsidR="006B74D3" w:rsidRPr="006E64D7" w:rsidRDefault="006B74D3" w:rsidP="006E64D7">
            <w:pPr>
              <w:jc w:val="right"/>
              <w:rPr>
                <w:bCs/>
              </w:rPr>
            </w:pPr>
            <w:r w:rsidRPr="006E64D7">
              <w:rPr>
                <w:bCs/>
              </w:rPr>
              <w:t>65,631</w:t>
            </w:r>
          </w:p>
        </w:tc>
        <w:tc>
          <w:tcPr>
            <w:tcW w:w="1275" w:type="dxa"/>
            <w:tcBorders>
              <w:top w:val="nil"/>
              <w:left w:val="nil"/>
              <w:bottom w:val="nil"/>
              <w:right w:val="nil"/>
            </w:tcBorders>
            <w:vAlign w:val="center"/>
          </w:tcPr>
          <w:p w14:paraId="7A1B6E0F" w14:textId="77777777" w:rsidR="006B74D3" w:rsidRPr="00563721" w:rsidRDefault="006B74D3" w:rsidP="006E64D7">
            <w:pPr>
              <w:jc w:val="right"/>
              <w:rPr>
                <w:bCs/>
              </w:rPr>
            </w:pPr>
            <w:r w:rsidRPr="00563721">
              <w:rPr>
                <w:bCs/>
              </w:rPr>
              <w:t>89</w:t>
            </w:r>
          </w:p>
        </w:tc>
        <w:tc>
          <w:tcPr>
            <w:tcW w:w="1276" w:type="dxa"/>
            <w:tcBorders>
              <w:top w:val="nil"/>
              <w:left w:val="nil"/>
              <w:bottom w:val="nil"/>
              <w:right w:val="nil"/>
            </w:tcBorders>
            <w:vAlign w:val="center"/>
          </w:tcPr>
          <w:p w14:paraId="095A2A91" w14:textId="77777777" w:rsidR="006B74D3" w:rsidRPr="00563721" w:rsidRDefault="006B74D3" w:rsidP="006E64D7">
            <w:pPr>
              <w:jc w:val="right"/>
              <w:rPr>
                <w:bCs/>
              </w:rPr>
            </w:pPr>
            <w:r w:rsidRPr="00563721">
              <w:rPr>
                <w:bCs/>
              </w:rPr>
              <w:t>15,703</w:t>
            </w:r>
          </w:p>
        </w:tc>
        <w:tc>
          <w:tcPr>
            <w:tcW w:w="1418" w:type="dxa"/>
            <w:tcBorders>
              <w:top w:val="nil"/>
              <w:left w:val="nil"/>
              <w:bottom w:val="nil"/>
              <w:right w:val="nil"/>
            </w:tcBorders>
            <w:vAlign w:val="center"/>
          </w:tcPr>
          <w:p w14:paraId="631FAC8E" w14:textId="77777777" w:rsidR="006B74D3" w:rsidRPr="00563721" w:rsidRDefault="006B74D3" w:rsidP="006E64D7">
            <w:pPr>
              <w:jc w:val="right"/>
              <w:rPr>
                <w:bCs/>
              </w:rPr>
            </w:pPr>
            <w:r w:rsidRPr="00563721">
              <w:rPr>
                <w:bCs/>
              </w:rPr>
              <w:t>15</w:t>
            </w:r>
            <w:r>
              <w:rPr>
                <w:bCs/>
              </w:rPr>
              <w:t>8</w:t>
            </w:r>
            <w:r w:rsidRPr="00563721">
              <w:rPr>
                <w:bCs/>
              </w:rPr>
              <w:t>,</w:t>
            </w:r>
            <w:r>
              <w:rPr>
                <w:bCs/>
              </w:rPr>
              <w:t>827</w:t>
            </w:r>
          </w:p>
        </w:tc>
      </w:tr>
      <w:tr w:rsidR="006B74D3" w:rsidRPr="00C328EF" w14:paraId="6A0F6E99" w14:textId="77777777" w:rsidTr="006B74D3">
        <w:tc>
          <w:tcPr>
            <w:tcW w:w="3119" w:type="dxa"/>
          </w:tcPr>
          <w:p w14:paraId="11A7CBBF" w14:textId="77777777" w:rsidR="006B74D3" w:rsidRPr="007C4847" w:rsidRDefault="006B74D3" w:rsidP="006E64D7">
            <w:pPr>
              <w:ind w:left="397"/>
            </w:pPr>
          </w:p>
        </w:tc>
        <w:tc>
          <w:tcPr>
            <w:tcW w:w="1559" w:type="dxa"/>
          </w:tcPr>
          <w:p w14:paraId="6D401AA0" w14:textId="77777777" w:rsidR="006B74D3" w:rsidRPr="006E64D7" w:rsidRDefault="006B74D3" w:rsidP="006E64D7">
            <w:pPr>
              <w:jc w:val="right"/>
            </w:pPr>
            <w:r w:rsidRPr="006E64D7">
              <w:t>═══════</w:t>
            </w:r>
          </w:p>
        </w:tc>
        <w:tc>
          <w:tcPr>
            <w:tcW w:w="1418" w:type="dxa"/>
          </w:tcPr>
          <w:p w14:paraId="4F4A6DD3" w14:textId="77777777" w:rsidR="006B74D3" w:rsidRPr="006E64D7" w:rsidRDefault="006B74D3" w:rsidP="006E64D7">
            <w:pPr>
              <w:jc w:val="right"/>
            </w:pPr>
            <w:r w:rsidRPr="006E64D7">
              <w:t>═══════</w:t>
            </w:r>
          </w:p>
        </w:tc>
        <w:tc>
          <w:tcPr>
            <w:tcW w:w="1275" w:type="dxa"/>
          </w:tcPr>
          <w:p w14:paraId="756421AC" w14:textId="77777777" w:rsidR="006B74D3" w:rsidRPr="00563721" w:rsidRDefault="006B74D3" w:rsidP="006E64D7">
            <w:pPr>
              <w:jc w:val="right"/>
            </w:pPr>
            <w:r w:rsidRPr="00563721">
              <w:t>═══════</w:t>
            </w:r>
          </w:p>
        </w:tc>
        <w:tc>
          <w:tcPr>
            <w:tcW w:w="1276" w:type="dxa"/>
          </w:tcPr>
          <w:p w14:paraId="1D6CC483" w14:textId="77777777" w:rsidR="006B74D3" w:rsidRPr="00563721" w:rsidRDefault="006B74D3" w:rsidP="006E64D7">
            <w:pPr>
              <w:jc w:val="right"/>
            </w:pPr>
            <w:r w:rsidRPr="00563721">
              <w:t>═══════</w:t>
            </w:r>
          </w:p>
        </w:tc>
        <w:tc>
          <w:tcPr>
            <w:tcW w:w="1418" w:type="dxa"/>
          </w:tcPr>
          <w:p w14:paraId="70BBA755" w14:textId="77777777" w:rsidR="006B74D3" w:rsidRPr="00563721" w:rsidRDefault="006B74D3" w:rsidP="006E64D7">
            <w:pPr>
              <w:jc w:val="right"/>
            </w:pPr>
            <w:r w:rsidRPr="00563721">
              <w:t>═══════</w:t>
            </w:r>
          </w:p>
        </w:tc>
      </w:tr>
      <w:tr w:rsidR="006B74D3" w:rsidRPr="00C328EF" w14:paraId="3B91257C" w14:textId="77777777" w:rsidTr="006B74D3">
        <w:tc>
          <w:tcPr>
            <w:tcW w:w="3119" w:type="dxa"/>
          </w:tcPr>
          <w:p w14:paraId="6D12D432" w14:textId="77777777" w:rsidR="006B74D3" w:rsidRPr="007C4847" w:rsidRDefault="006B74D3" w:rsidP="006E64D7">
            <w:pPr>
              <w:ind w:left="397"/>
              <w:rPr>
                <w:b/>
              </w:rPr>
            </w:pPr>
            <w:r w:rsidRPr="007C4847">
              <w:rPr>
                <w:b/>
              </w:rPr>
              <w:t>Net book value</w:t>
            </w:r>
          </w:p>
        </w:tc>
        <w:tc>
          <w:tcPr>
            <w:tcW w:w="1559" w:type="dxa"/>
          </w:tcPr>
          <w:p w14:paraId="06638298" w14:textId="77777777" w:rsidR="006B74D3" w:rsidRPr="007C4847" w:rsidRDefault="006B74D3" w:rsidP="006E64D7">
            <w:pPr>
              <w:jc w:val="right"/>
            </w:pPr>
          </w:p>
        </w:tc>
        <w:tc>
          <w:tcPr>
            <w:tcW w:w="1418" w:type="dxa"/>
          </w:tcPr>
          <w:p w14:paraId="3295C195" w14:textId="77777777" w:rsidR="006B74D3" w:rsidRPr="007C4847" w:rsidRDefault="006B74D3" w:rsidP="006E64D7">
            <w:pPr>
              <w:jc w:val="right"/>
            </w:pPr>
          </w:p>
        </w:tc>
        <w:tc>
          <w:tcPr>
            <w:tcW w:w="1275" w:type="dxa"/>
          </w:tcPr>
          <w:p w14:paraId="36304C18" w14:textId="77777777" w:rsidR="006B74D3" w:rsidRPr="007C4847" w:rsidRDefault="006B74D3" w:rsidP="006E64D7">
            <w:pPr>
              <w:jc w:val="right"/>
            </w:pPr>
          </w:p>
        </w:tc>
        <w:tc>
          <w:tcPr>
            <w:tcW w:w="1276" w:type="dxa"/>
          </w:tcPr>
          <w:p w14:paraId="75E3FBD3" w14:textId="77777777" w:rsidR="006B74D3" w:rsidRPr="007C4847" w:rsidRDefault="006B74D3" w:rsidP="006E64D7">
            <w:pPr>
              <w:jc w:val="right"/>
            </w:pPr>
          </w:p>
        </w:tc>
        <w:tc>
          <w:tcPr>
            <w:tcW w:w="1418" w:type="dxa"/>
          </w:tcPr>
          <w:p w14:paraId="4640B5F4" w14:textId="77777777" w:rsidR="006B74D3" w:rsidRPr="007C4847" w:rsidRDefault="006B74D3" w:rsidP="006E64D7">
            <w:pPr>
              <w:jc w:val="right"/>
            </w:pPr>
          </w:p>
        </w:tc>
      </w:tr>
      <w:tr w:rsidR="006B74D3" w:rsidRPr="00C328EF" w14:paraId="73241389" w14:textId="77777777" w:rsidTr="006B74D3">
        <w:trPr>
          <w:trHeight w:val="239"/>
        </w:trPr>
        <w:tc>
          <w:tcPr>
            <w:tcW w:w="3119" w:type="dxa"/>
            <w:tcBorders>
              <w:top w:val="nil"/>
              <w:left w:val="nil"/>
              <w:bottom w:val="nil"/>
              <w:right w:val="nil"/>
            </w:tcBorders>
          </w:tcPr>
          <w:p w14:paraId="4A57E9B4" w14:textId="77777777" w:rsidR="006B74D3" w:rsidRPr="007C4847" w:rsidRDefault="006B74D3" w:rsidP="006E64D7">
            <w:pPr>
              <w:ind w:left="397"/>
              <w:rPr>
                <w:b/>
              </w:rPr>
            </w:pPr>
            <w:r w:rsidRPr="007C4847">
              <w:rPr>
                <w:b/>
              </w:rPr>
              <w:t>At 3</w:t>
            </w:r>
            <w:r>
              <w:rPr>
                <w:b/>
              </w:rPr>
              <w:t>0</w:t>
            </w:r>
            <w:r w:rsidRPr="007C4847">
              <w:rPr>
                <w:b/>
              </w:rPr>
              <w:t xml:space="preserve"> December 2023</w:t>
            </w:r>
          </w:p>
        </w:tc>
        <w:tc>
          <w:tcPr>
            <w:tcW w:w="1559" w:type="dxa"/>
            <w:tcBorders>
              <w:top w:val="nil"/>
              <w:left w:val="nil"/>
              <w:bottom w:val="nil"/>
              <w:right w:val="nil"/>
            </w:tcBorders>
            <w:vAlign w:val="center"/>
          </w:tcPr>
          <w:p w14:paraId="29AD6832" w14:textId="77777777" w:rsidR="006B74D3" w:rsidRPr="007C4847" w:rsidRDefault="006B74D3" w:rsidP="006E64D7">
            <w:pPr>
              <w:jc w:val="right"/>
              <w:rPr>
                <w:bCs/>
              </w:rPr>
            </w:pPr>
            <w:r w:rsidRPr="007C4847">
              <w:rPr>
                <w:bCs/>
              </w:rPr>
              <w:t>83,968</w:t>
            </w:r>
          </w:p>
        </w:tc>
        <w:tc>
          <w:tcPr>
            <w:tcW w:w="1418" w:type="dxa"/>
            <w:tcBorders>
              <w:top w:val="nil"/>
              <w:left w:val="nil"/>
              <w:bottom w:val="nil"/>
              <w:right w:val="nil"/>
            </w:tcBorders>
            <w:vAlign w:val="center"/>
          </w:tcPr>
          <w:p w14:paraId="7C831CC7" w14:textId="77777777" w:rsidR="006B74D3" w:rsidRPr="007C4847" w:rsidRDefault="006B74D3" w:rsidP="006E64D7">
            <w:pPr>
              <w:jc w:val="right"/>
              <w:rPr>
                <w:bCs/>
              </w:rPr>
            </w:pPr>
            <w:r w:rsidRPr="007C4847">
              <w:rPr>
                <w:bCs/>
              </w:rPr>
              <w:t>64,322</w:t>
            </w:r>
          </w:p>
        </w:tc>
        <w:tc>
          <w:tcPr>
            <w:tcW w:w="1275" w:type="dxa"/>
            <w:tcBorders>
              <w:top w:val="nil"/>
              <w:left w:val="nil"/>
              <w:bottom w:val="nil"/>
              <w:right w:val="nil"/>
            </w:tcBorders>
            <w:vAlign w:val="center"/>
          </w:tcPr>
          <w:p w14:paraId="4CF3FD98" w14:textId="77777777" w:rsidR="006B74D3" w:rsidRPr="007C4847" w:rsidRDefault="006B74D3" w:rsidP="006E64D7">
            <w:pPr>
              <w:jc w:val="right"/>
              <w:rPr>
                <w:bCs/>
              </w:rPr>
            </w:pPr>
            <w:r w:rsidRPr="007C4847">
              <w:rPr>
                <w:bCs/>
              </w:rPr>
              <w:t>77</w:t>
            </w:r>
          </w:p>
        </w:tc>
        <w:tc>
          <w:tcPr>
            <w:tcW w:w="1276" w:type="dxa"/>
            <w:tcBorders>
              <w:top w:val="nil"/>
              <w:left w:val="nil"/>
              <w:bottom w:val="nil"/>
              <w:right w:val="nil"/>
            </w:tcBorders>
            <w:vAlign w:val="center"/>
          </w:tcPr>
          <w:p w14:paraId="4754A16F" w14:textId="77777777" w:rsidR="006B74D3" w:rsidRPr="007C4847" w:rsidRDefault="006B74D3" w:rsidP="006E64D7">
            <w:pPr>
              <w:jc w:val="right"/>
              <w:rPr>
                <w:bCs/>
              </w:rPr>
            </w:pPr>
            <w:r w:rsidRPr="007C4847">
              <w:rPr>
                <w:bCs/>
              </w:rPr>
              <w:t>11,008</w:t>
            </w:r>
          </w:p>
        </w:tc>
        <w:tc>
          <w:tcPr>
            <w:tcW w:w="1418" w:type="dxa"/>
            <w:tcBorders>
              <w:top w:val="nil"/>
              <w:left w:val="nil"/>
              <w:bottom w:val="nil"/>
              <w:right w:val="nil"/>
            </w:tcBorders>
            <w:vAlign w:val="center"/>
          </w:tcPr>
          <w:p w14:paraId="14C20AC6" w14:textId="77777777" w:rsidR="006B74D3" w:rsidRPr="007C4847" w:rsidRDefault="006B74D3" w:rsidP="006E64D7">
            <w:pPr>
              <w:jc w:val="right"/>
              <w:rPr>
                <w:bCs/>
              </w:rPr>
            </w:pPr>
            <w:r w:rsidRPr="007C4847">
              <w:rPr>
                <w:bCs/>
              </w:rPr>
              <w:t>159,375</w:t>
            </w:r>
          </w:p>
        </w:tc>
      </w:tr>
      <w:tr w:rsidR="006B74D3" w:rsidRPr="00C328EF" w14:paraId="3924F155" w14:textId="77777777" w:rsidTr="006B74D3">
        <w:tc>
          <w:tcPr>
            <w:tcW w:w="3119" w:type="dxa"/>
          </w:tcPr>
          <w:p w14:paraId="4A0E6528" w14:textId="77777777" w:rsidR="006B74D3" w:rsidRPr="007C4847" w:rsidRDefault="006B74D3" w:rsidP="006E64D7"/>
        </w:tc>
        <w:tc>
          <w:tcPr>
            <w:tcW w:w="1559" w:type="dxa"/>
          </w:tcPr>
          <w:p w14:paraId="254B8913" w14:textId="77777777" w:rsidR="006B74D3" w:rsidRPr="007C4847" w:rsidRDefault="006B74D3" w:rsidP="006E64D7">
            <w:pPr>
              <w:jc w:val="right"/>
            </w:pPr>
            <w:r w:rsidRPr="007C4847">
              <w:t>═══════</w:t>
            </w:r>
          </w:p>
        </w:tc>
        <w:tc>
          <w:tcPr>
            <w:tcW w:w="1418" w:type="dxa"/>
          </w:tcPr>
          <w:p w14:paraId="5DD653B3" w14:textId="77777777" w:rsidR="006B74D3" w:rsidRPr="007C4847" w:rsidRDefault="006B74D3" w:rsidP="006E64D7">
            <w:pPr>
              <w:jc w:val="right"/>
            </w:pPr>
            <w:r w:rsidRPr="007C4847">
              <w:t>═══════</w:t>
            </w:r>
          </w:p>
        </w:tc>
        <w:tc>
          <w:tcPr>
            <w:tcW w:w="1275" w:type="dxa"/>
          </w:tcPr>
          <w:p w14:paraId="0255E3E8" w14:textId="77777777" w:rsidR="006B74D3" w:rsidRPr="007C4847" w:rsidRDefault="006B74D3" w:rsidP="006E64D7">
            <w:pPr>
              <w:jc w:val="right"/>
            </w:pPr>
            <w:r w:rsidRPr="007C4847">
              <w:t>═══════</w:t>
            </w:r>
          </w:p>
        </w:tc>
        <w:tc>
          <w:tcPr>
            <w:tcW w:w="1276" w:type="dxa"/>
          </w:tcPr>
          <w:p w14:paraId="3414E1A5" w14:textId="77777777" w:rsidR="006B74D3" w:rsidRPr="007C4847" w:rsidRDefault="006B74D3" w:rsidP="006E64D7">
            <w:pPr>
              <w:jc w:val="right"/>
            </w:pPr>
            <w:r w:rsidRPr="007C4847">
              <w:t>═══════</w:t>
            </w:r>
          </w:p>
        </w:tc>
        <w:tc>
          <w:tcPr>
            <w:tcW w:w="1418" w:type="dxa"/>
          </w:tcPr>
          <w:p w14:paraId="202150C9" w14:textId="77777777" w:rsidR="006B74D3" w:rsidRPr="007C4847" w:rsidRDefault="006B74D3" w:rsidP="006E64D7">
            <w:pPr>
              <w:jc w:val="right"/>
            </w:pPr>
            <w:r w:rsidRPr="007C4847">
              <w:t>═══════</w:t>
            </w:r>
          </w:p>
        </w:tc>
      </w:tr>
    </w:tbl>
    <w:p w14:paraId="594B1A33" w14:textId="77777777" w:rsidR="002D6C57" w:rsidRDefault="002D6C57" w:rsidP="00A20711">
      <w:pPr>
        <w:ind w:left="78"/>
        <w:jc w:val="center"/>
        <w:rPr>
          <w:b/>
          <w:highlight w:val="yellow"/>
        </w:rPr>
      </w:pPr>
    </w:p>
    <w:p w14:paraId="31390BF1" w14:textId="77777777" w:rsidR="002D6C57" w:rsidRPr="00C328EF" w:rsidRDefault="002D6C57" w:rsidP="002D6C57">
      <w:pPr>
        <w:rPr>
          <w:highlight w:val="yellow"/>
        </w:rPr>
      </w:pPr>
    </w:p>
    <w:tbl>
      <w:tblPr>
        <w:tblW w:w="10065" w:type="dxa"/>
        <w:tblInd w:w="108" w:type="dxa"/>
        <w:tblLayout w:type="fixed"/>
        <w:tblLook w:val="01E0" w:firstRow="1" w:lastRow="1" w:firstColumn="1" w:lastColumn="1" w:noHBand="0" w:noVBand="0"/>
      </w:tblPr>
      <w:tblGrid>
        <w:gridCol w:w="3119"/>
        <w:gridCol w:w="1701"/>
        <w:gridCol w:w="1276"/>
        <w:gridCol w:w="1275"/>
        <w:gridCol w:w="1276"/>
        <w:gridCol w:w="1418"/>
      </w:tblGrid>
      <w:tr w:rsidR="002D6C57" w:rsidRPr="00C328EF" w14:paraId="71C7E554" w14:textId="77777777" w:rsidTr="003E2F38">
        <w:tc>
          <w:tcPr>
            <w:tcW w:w="3119" w:type="dxa"/>
            <w:vAlign w:val="bottom"/>
          </w:tcPr>
          <w:p w14:paraId="748BE83A" w14:textId="77777777" w:rsidR="002D6C57" w:rsidRPr="00C328EF" w:rsidRDefault="002D6C57" w:rsidP="003E2F38">
            <w:pPr>
              <w:jc w:val="center"/>
              <w:rPr>
                <w:highlight w:val="yellow"/>
              </w:rPr>
            </w:pPr>
          </w:p>
        </w:tc>
        <w:tc>
          <w:tcPr>
            <w:tcW w:w="1701" w:type="dxa"/>
            <w:vAlign w:val="bottom"/>
          </w:tcPr>
          <w:p w14:paraId="3658E472" w14:textId="77777777" w:rsidR="002D6C57" w:rsidRPr="007C4847" w:rsidRDefault="002D6C57" w:rsidP="003E2F38">
            <w:pPr>
              <w:ind w:right="168"/>
              <w:jc w:val="center"/>
              <w:rPr>
                <w:b/>
              </w:rPr>
            </w:pPr>
            <w:r w:rsidRPr="007C4847">
              <w:rPr>
                <w:b/>
              </w:rPr>
              <w:t>Heritable &amp; Right-of-use</w:t>
            </w:r>
          </w:p>
          <w:p w14:paraId="0B40A822" w14:textId="77777777" w:rsidR="002D6C57" w:rsidRPr="007C4847" w:rsidRDefault="002D6C57" w:rsidP="003E2F38">
            <w:pPr>
              <w:jc w:val="center"/>
              <w:rPr>
                <w:b/>
              </w:rPr>
            </w:pPr>
            <w:r w:rsidRPr="007C4847">
              <w:rPr>
                <w:b/>
              </w:rPr>
              <w:t>Properties</w:t>
            </w:r>
          </w:p>
        </w:tc>
        <w:tc>
          <w:tcPr>
            <w:tcW w:w="1276" w:type="dxa"/>
            <w:vAlign w:val="bottom"/>
          </w:tcPr>
          <w:p w14:paraId="4A7ED51A" w14:textId="77777777" w:rsidR="002D6C57" w:rsidRPr="007C4847" w:rsidRDefault="002D6C57" w:rsidP="003E2F38">
            <w:pPr>
              <w:jc w:val="center"/>
              <w:rPr>
                <w:b/>
              </w:rPr>
            </w:pPr>
            <w:r w:rsidRPr="007C4847">
              <w:rPr>
                <w:b/>
              </w:rPr>
              <w:t>Passenger Vehicles</w:t>
            </w:r>
          </w:p>
        </w:tc>
        <w:tc>
          <w:tcPr>
            <w:tcW w:w="1275" w:type="dxa"/>
            <w:vAlign w:val="bottom"/>
          </w:tcPr>
          <w:p w14:paraId="7EC21B7C" w14:textId="77777777" w:rsidR="002D6C57" w:rsidRPr="007C4847" w:rsidRDefault="002D6C57" w:rsidP="003E2F38">
            <w:pPr>
              <w:ind w:left="227"/>
              <w:jc w:val="center"/>
              <w:rPr>
                <w:b/>
              </w:rPr>
            </w:pPr>
            <w:r w:rsidRPr="007C4847">
              <w:rPr>
                <w:b/>
              </w:rPr>
              <w:t>Other</w:t>
            </w:r>
          </w:p>
          <w:p w14:paraId="77A56A77" w14:textId="77777777" w:rsidR="002D6C57" w:rsidRPr="007C4847" w:rsidRDefault="002D6C57" w:rsidP="003E2F38">
            <w:pPr>
              <w:jc w:val="center"/>
              <w:rPr>
                <w:b/>
              </w:rPr>
            </w:pPr>
            <w:r w:rsidRPr="007C4847">
              <w:rPr>
                <w:b/>
              </w:rPr>
              <w:t>Vehicles</w:t>
            </w:r>
          </w:p>
        </w:tc>
        <w:tc>
          <w:tcPr>
            <w:tcW w:w="1276" w:type="dxa"/>
            <w:vAlign w:val="bottom"/>
          </w:tcPr>
          <w:p w14:paraId="1FF25257" w14:textId="77777777" w:rsidR="002D6C57" w:rsidRPr="007C4847" w:rsidRDefault="002D6C57" w:rsidP="003E2F38">
            <w:pPr>
              <w:jc w:val="center"/>
              <w:rPr>
                <w:b/>
              </w:rPr>
            </w:pPr>
            <w:r w:rsidRPr="007C4847">
              <w:rPr>
                <w:b/>
              </w:rPr>
              <w:t>Plant &amp; Equipment</w:t>
            </w:r>
          </w:p>
        </w:tc>
        <w:tc>
          <w:tcPr>
            <w:tcW w:w="1418" w:type="dxa"/>
            <w:vAlign w:val="bottom"/>
          </w:tcPr>
          <w:p w14:paraId="2E4D97DE" w14:textId="77777777" w:rsidR="002D6C57" w:rsidRPr="007C4847" w:rsidRDefault="002D6C57" w:rsidP="003E2F38">
            <w:pPr>
              <w:ind w:left="227"/>
              <w:jc w:val="center"/>
              <w:rPr>
                <w:b/>
              </w:rPr>
            </w:pPr>
            <w:r w:rsidRPr="007C4847">
              <w:rPr>
                <w:b/>
              </w:rPr>
              <w:t>Total</w:t>
            </w:r>
          </w:p>
        </w:tc>
      </w:tr>
      <w:tr w:rsidR="002D6C57" w:rsidRPr="00C328EF" w14:paraId="11C2C641" w14:textId="77777777" w:rsidTr="003E2F38">
        <w:tc>
          <w:tcPr>
            <w:tcW w:w="3119" w:type="dxa"/>
          </w:tcPr>
          <w:p w14:paraId="1CB5C4E0" w14:textId="77777777" w:rsidR="002D6C57" w:rsidRPr="007C4847" w:rsidRDefault="002D6C57" w:rsidP="003E2F38">
            <w:pPr>
              <w:ind w:left="397"/>
            </w:pPr>
            <w:r w:rsidRPr="007C4847">
              <w:rPr>
                <w:b/>
              </w:rPr>
              <w:t>Group</w:t>
            </w:r>
          </w:p>
        </w:tc>
        <w:tc>
          <w:tcPr>
            <w:tcW w:w="1701" w:type="dxa"/>
          </w:tcPr>
          <w:p w14:paraId="044E7482" w14:textId="77777777" w:rsidR="002D6C57" w:rsidRPr="007C4847" w:rsidRDefault="002D6C57" w:rsidP="003E2F38">
            <w:pPr>
              <w:jc w:val="center"/>
              <w:rPr>
                <w:b/>
              </w:rPr>
            </w:pPr>
            <w:r w:rsidRPr="007C4847">
              <w:rPr>
                <w:b/>
              </w:rPr>
              <w:t>£’000</w:t>
            </w:r>
          </w:p>
        </w:tc>
        <w:tc>
          <w:tcPr>
            <w:tcW w:w="1276" w:type="dxa"/>
          </w:tcPr>
          <w:p w14:paraId="50D85C5E" w14:textId="77777777" w:rsidR="002D6C57" w:rsidRPr="007C4847" w:rsidRDefault="002D6C57" w:rsidP="003E2F38">
            <w:pPr>
              <w:jc w:val="center"/>
              <w:rPr>
                <w:b/>
              </w:rPr>
            </w:pPr>
            <w:r w:rsidRPr="007C4847">
              <w:rPr>
                <w:b/>
              </w:rPr>
              <w:t>£’000</w:t>
            </w:r>
          </w:p>
        </w:tc>
        <w:tc>
          <w:tcPr>
            <w:tcW w:w="1275" w:type="dxa"/>
          </w:tcPr>
          <w:p w14:paraId="175C6462" w14:textId="77777777" w:rsidR="002D6C57" w:rsidRPr="007C4847" w:rsidRDefault="002D6C57" w:rsidP="003E2F38">
            <w:pPr>
              <w:jc w:val="center"/>
              <w:rPr>
                <w:b/>
              </w:rPr>
            </w:pPr>
            <w:r w:rsidRPr="007C4847">
              <w:rPr>
                <w:b/>
              </w:rPr>
              <w:t>£’000</w:t>
            </w:r>
          </w:p>
        </w:tc>
        <w:tc>
          <w:tcPr>
            <w:tcW w:w="1276" w:type="dxa"/>
          </w:tcPr>
          <w:p w14:paraId="4E83BC19" w14:textId="77777777" w:rsidR="002D6C57" w:rsidRPr="007C4847" w:rsidRDefault="002D6C57" w:rsidP="003E2F38">
            <w:pPr>
              <w:jc w:val="center"/>
              <w:rPr>
                <w:b/>
              </w:rPr>
            </w:pPr>
            <w:r w:rsidRPr="007C4847">
              <w:rPr>
                <w:b/>
              </w:rPr>
              <w:t>£’000</w:t>
            </w:r>
          </w:p>
        </w:tc>
        <w:tc>
          <w:tcPr>
            <w:tcW w:w="1418" w:type="dxa"/>
          </w:tcPr>
          <w:p w14:paraId="2ED3E346" w14:textId="77777777" w:rsidR="002D6C57" w:rsidRPr="007C4847" w:rsidRDefault="002D6C57" w:rsidP="003E2F38">
            <w:pPr>
              <w:ind w:left="227"/>
              <w:jc w:val="center"/>
              <w:rPr>
                <w:b/>
              </w:rPr>
            </w:pPr>
            <w:r w:rsidRPr="007C4847">
              <w:rPr>
                <w:b/>
              </w:rPr>
              <w:t>£’000</w:t>
            </w:r>
          </w:p>
        </w:tc>
      </w:tr>
      <w:tr w:rsidR="002D6C57" w:rsidRPr="00C328EF" w14:paraId="49C6CC08" w14:textId="77777777" w:rsidTr="003E2F38">
        <w:tc>
          <w:tcPr>
            <w:tcW w:w="3119" w:type="dxa"/>
          </w:tcPr>
          <w:p w14:paraId="783C6C93" w14:textId="77777777" w:rsidR="002D6C57" w:rsidRPr="007C4847" w:rsidRDefault="002D6C57" w:rsidP="003E2F38">
            <w:pPr>
              <w:ind w:left="397"/>
              <w:rPr>
                <w:b/>
              </w:rPr>
            </w:pPr>
            <w:r w:rsidRPr="007C4847">
              <w:rPr>
                <w:b/>
              </w:rPr>
              <w:t>Cost or valuation</w:t>
            </w:r>
          </w:p>
        </w:tc>
        <w:tc>
          <w:tcPr>
            <w:tcW w:w="1701" w:type="dxa"/>
          </w:tcPr>
          <w:p w14:paraId="411E2FC0" w14:textId="77777777" w:rsidR="002D6C57" w:rsidRPr="007C4847" w:rsidRDefault="002D6C57" w:rsidP="003E2F38">
            <w:pPr>
              <w:jc w:val="right"/>
            </w:pPr>
          </w:p>
        </w:tc>
        <w:tc>
          <w:tcPr>
            <w:tcW w:w="1276" w:type="dxa"/>
          </w:tcPr>
          <w:p w14:paraId="3E1AA567" w14:textId="77777777" w:rsidR="002D6C57" w:rsidRPr="007C4847" w:rsidRDefault="002D6C57" w:rsidP="003E2F38">
            <w:pPr>
              <w:jc w:val="right"/>
            </w:pPr>
          </w:p>
        </w:tc>
        <w:tc>
          <w:tcPr>
            <w:tcW w:w="1275" w:type="dxa"/>
          </w:tcPr>
          <w:p w14:paraId="1F48334A" w14:textId="77777777" w:rsidR="002D6C57" w:rsidRPr="007C4847" w:rsidRDefault="002D6C57" w:rsidP="003E2F38">
            <w:pPr>
              <w:jc w:val="right"/>
            </w:pPr>
          </w:p>
        </w:tc>
        <w:tc>
          <w:tcPr>
            <w:tcW w:w="1276" w:type="dxa"/>
          </w:tcPr>
          <w:p w14:paraId="2FE473AD" w14:textId="77777777" w:rsidR="002D6C57" w:rsidRPr="007C4847" w:rsidRDefault="002D6C57" w:rsidP="003E2F38">
            <w:pPr>
              <w:jc w:val="right"/>
            </w:pPr>
          </w:p>
        </w:tc>
        <w:tc>
          <w:tcPr>
            <w:tcW w:w="1418" w:type="dxa"/>
          </w:tcPr>
          <w:p w14:paraId="6A368CDC" w14:textId="77777777" w:rsidR="002D6C57" w:rsidRPr="007C4847" w:rsidRDefault="002D6C57" w:rsidP="003E2F38">
            <w:pPr>
              <w:jc w:val="right"/>
            </w:pPr>
          </w:p>
        </w:tc>
      </w:tr>
      <w:tr w:rsidR="002D6C57" w:rsidRPr="00C328EF" w14:paraId="48188069" w14:textId="77777777" w:rsidTr="003E2F38">
        <w:tc>
          <w:tcPr>
            <w:tcW w:w="3119" w:type="dxa"/>
          </w:tcPr>
          <w:p w14:paraId="6A8E2F43" w14:textId="77777777" w:rsidR="002D6C57" w:rsidRPr="007C4847" w:rsidRDefault="002D6C57" w:rsidP="003E2F38">
            <w:pPr>
              <w:ind w:left="397"/>
            </w:pPr>
            <w:r w:rsidRPr="007C4847">
              <w:rPr>
                <w:b/>
              </w:rPr>
              <w:t>At 1 January 2023</w:t>
            </w:r>
          </w:p>
        </w:tc>
        <w:tc>
          <w:tcPr>
            <w:tcW w:w="1701" w:type="dxa"/>
            <w:vAlign w:val="center"/>
          </w:tcPr>
          <w:p w14:paraId="6BB80DCE" w14:textId="77777777" w:rsidR="002D6C57" w:rsidRPr="007C4847" w:rsidRDefault="002D6C57" w:rsidP="003E2F38">
            <w:pPr>
              <w:jc w:val="right"/>
              <w:rPr>
                <w:rFonts w:cs="Arial"/>
                <w:bCs/>
              </w:rPr>
            </w:pPr>
            <w:r w:rsidRPr="007C4847">
              <w:rPr>
                <w:rFonts w:cs="Arial"/>
                <w:bCs/>
              </w:rPr>
              <w:t>124,096</w:t>
            </w:r>
          </w:p>
        </w:tc>
        <w:tc>
          <w:tcPr>
            <w:tcW w:w="1276" w:type="dxa"/>
            <w:vAlign w:val="center"/>
          </w:tcPr>
          <w:p w14:paraId="0EF68A54" w14:textId="77777777" w:rsidR="002D6C57" w:rsidRPr="007C4847" w:rsidRDefault="002D6C57" w:rsidP="003E2F38">
            <w:pPr>
              <w:jc w:val="right"/>
              <w:rPr>
                <w:rFonts w:cs="Arial"/>
                <w:bCs/>
              </w:rPr>
            </w:pPr>
            <w:r w:rsidRPr="007C4847">
              <w:rPr>
                <w:rFonts w:cs="Arial"/>
                <w:bCs/>
              </w:rPr>
              <w:t>150,613</w:t>
            </w:r>
          </w:p>
        </w:tc>
        <w:tc>
          <w:tcPr>
            <w:tcW w:w="1275" w:type="dxa"/>
            <w:vAlign w:val="center"/>
          </w:tcPr>
          <w:p w14:paraId="232580F9" w14:textId="77777777" w:rsidR="002D6C57" w:rsidRPr="007C4847" w:rsidRDefault="002D6C57" w:rsidP="003E2F38">
            <w:pPr>
              <w:jc w:val="right"/>
              <w:rPr>
                <w:rFonts w:cs="Arial"/>
                <w:bCs/>
              </w:rPr>
            </w:pPr>
            <w:r w:rsidRPr="007C4847">
              <w:rPr>
                <w:rFonts w:cs="Arial"/>
                <w:bCs/>
              </w:rPr>
              <w:t>238</w:t>
            </w:r>
          </w:p>
        </w:tc>
        <w:tc>
          <w:tcPr>
            <w:tcW w:w="1276" w:type="dxa"/>
            <w:vAlign w:val="center"/>
          </w:tcPr>
          <w:p w14:paraId="70D19CBB" w14:textId="77777777" w:rsidR="002D6C57" w:rsidRPr="007C4847" w:rsidRDefault="002D6C57" w:rsidP="003E2F38">
            <w:pPr>
              <w:jc w:val="right"/>
              <w:rPr>
                <w:rFonts w:cs="Arial"/>
                <w:bCs/>
              </w:rPr>
            </w:pPr>
            <w:r w:rsidRPr="007C4847">
              <w:rPr>
                <w:rFonts w:cs="Arial"/>
                <w:bCs/>
              </w:rPr>
              <w:t>20,513</w:t>
            </w:r>
          </w:p>
        </w:tc>
        <w:tc>
          <w:tcPr>
            <w:tcW w:w="1418" w:type="dxa"/>
            <w:vAlign w:val="center"/>
          </w:tcPr>
          <w:p w14:paraId="3476AEB1" w14:textId="77777777" w:rsidR="002D6C57" w:rsidRPr="007C4847" w:rsidRDefault="002D6C57" w:rsidP="003E2F38">
            <w:pPr>
              <w:jc w:val="right"/>
              <w:rPr>
                <w:rFonts w:cs="Arial"/>
                <w:bCs/>
              </w:rPr>
            </w:pPr>
            <w:r w:rsidRPr="007C4847">
              <w:rPr>
                <w:rFonts w:cs="Arial"/>
                <w:bCs/>
              </w:rPr>
              <w:t>295,460</w:t>
            </w:r>
          </w:p>
        </w:tc>
      </w:tr>
      <w:tr w:rsidR="002D6C57" w:rsidRPr="00C328EF" w14:paraId="2F288E08" w14:textId="77777777" w:rsidTr="003E2F38">
        <w:tc>
          <w:tcPr>
            <w:tcW w:w="3119" w:type="dxa"/>
          </w:tcPr>
          <w:p w14:paraId="6F031A40" w14:textId="77777777" w:rsidR="002D6C57" w:rsidRPr="007C4847" w:rsidRDefault="002D6C57" w:rsidP="003E2F38">
            <w:pPr>
              <w:ind w:left="397"/>
            </w:pPr>
            <w:r w:rsidRPr="007C4847">
              <w:t>Additions</w:t>
            </w:r>
          </w:p>
        </w:tc>
        <w:tc>
          <w:tcPr>
            <w:tcW w:w="1701" w:type="dxa"/>
            <w:vAlign w:val="center"/>
          </w:tcPr>
          <w:p w14:paraId="65130ED8" w14:textId="77777777" w:rsidR="002D6C57" w:rsidRPr="007C4847" w:rsidRDefault="002D6C57" w:rsidP="003E2F38">
            <w:pPr>
              <w:jc w:val="right"/>
              <w:rPr>
                <w:rFonts w:cs="Arial"/>
              </w:rPr>
            </w:pPr>
            <w:r w:rsidRPr="007C4847">
              <w:rPr>
                <w:rFonts w:cs="Arial"/>
              </w:rPr>
              <w:t>246</w:t>
            </w:r>
          </w:p>
        </w:tc>
        <w:tc>
          <w:tcPr>
            <w:tcW w:w="1276" w:type="dxa"/>
            <w:vAlign w:val="center"/>
          </w:tcPr>
          <w:p w14:paraId="272D6F94" w14:textId="77777777" w:rsidR="002D6C57" w:rsidRPr="007C4847" w:rsidRDefault="002D6C57" w:rsidP="003E2F38">
            <w:pPr>
              <w:jc w:val="right"/>
              <w:rPr>
                <w:rFonts w:cs="Arial"/>
              </w:rPr>
            </w:pPr>
            <w:r w:rsidRPr="007C4847">
              <w:rPr>
                <w:rFonts w:cs="Arial"/>
              </w:rPr>
              <w:t>578</w:t>
            </w:r>
          </w:p>
        </w:tc>
        <w:tc>
          <w:tcPr>
            <w:tcW w:w="1275" w:type="dxa"/>
            <w:vAlign w:val="center"/>
          </w:tcPr>
          <w:p w14:paraId="151E44F4" w14:textId="77777777" w:rsidR="002D6C57" w:rsidRPr="007C4847" w:rsidRDefault="002D6C57" w:rsidP="003E2F38">
            <w:pPr>
              <w:jc w:val="right"/>
              <w:rPr>
                <w:rFonts w:cs="Arial"/>
              </w:rPr>
            </w:pPr>
            <w:r w:rsidRPr="007C4847">
              <w:rPr>
                <w:rFonts w:cs="Arial"/>
              </w:rPr>
              <w:t>55</w:t>
            </w:r>
          </w:p>
        </w:tc>
        <w:tc>
          <w:tcPr>
            <w:tcW w:w="1276" w:type="dxa"/>
            <w:vAlign w:val="center"/>
          </w:tcPr>
          <w:p w14:paraId="4548035B" w14:textId="77777777" w:rsidR="002D6C57" w:rsidRPr="007C4847" w:rsidRDefault="002D6C57" w:rsidP="003E2F38">
            <w:pPr>
              <w:jc w:val="right"/>
              <w:rPr>
                <w:rFonts w:cs="Arial"/>
              </w:rPr>
            </w:pPr>
            <w:r w:rsidRPr="007C4847">
              <w:rPr>
                <w:rFonts w:cs="Arial"/>
              </w:rPr>
              <w:t>6,262</w:t>
            </w:r>
          </w:p>
        </w:tc>
        <w:tc>
          <w:tcPr>
            <w:tcW w:w="1418" w:type="dxa"/>
            <w:vAlign w:val="center"/>
          </w:tcPr>
          <w:p w14:paraId="76B5952B" w14:textId="77777777" w:rsidR="002D6C57" w:rsidRPr="007C4847" w:rsidRDefault="002D6C57" w:rsidP="003E2F38">
            <w:pPr>
              <w:jc w:val="right"/>
              <w:rPr>
                <w:rFonts w:cs="Arial"/>
              </w:rPr>
            </w:pPr>
            <w:r w:rsidRPr="007C4847">
              <w:rPr>
                <w:rFonts w:cs="Arial"/>
              </w:rPr>
              <w:t>7,141</w:t>
            </w:r>
          </w:p>
        </w:tc>
      </w:tr>
      <w:tr w:rsidR="002D6C57" w:rsidRPr="00C328EF" w14:paraId="293CDACB" w14:textId="77777777" w:rsidTr="003E2F38">
        <w:tc>
          <w:tcPr>
            <w:tcW w:w="3119" w:type="dxa"/>
          </w:tcPr>
          <w:p w14:paraId="41DD82AD" w14:textId="77777777" w:rsidR="002D6C57" w:rsidRPr="007C4847" w:rsidRDefault="002D6C57" w:rsidP="003E2F38">
            <w:pPr>
              <w:ind w:left="397"/>
            </w:pPr>
            <w:r w:rsidRPr="007C4847">
              <w:t>Disposals</w:t>
            </w:r>
          </w:p>
        </w:tc>
        <w:tc>
          <w:tcPr>
            <w:tcW w:w="1701" w:type="dxa"/>
            <w:vAlign w:val="center"/>
          </w:tcPr>
          <w:p w14:paraId="69EB0268" w14:textId="77777777" w:rsidR="002D6C57" w:rsidRPr="007C4847" w:rsidRDefault="002D6C57" w:rsidP="003E2F38">
            <w:pPr>
              <w:jc w:val="right"/>
              <w:rPr>
                <w:rFonts w:cs="Arial"/>
              </w:rPr>
            </w:pPr>
            <w:r w:rsidRPr="007C4847">
              <w:rPr>
                <w:rFonts w:cs="Arial"/>
              </w:rPr>
              <w:t>-</w:t>
            </w:r>
          </w:p>
        </w:tc>
        <w:tc>
          <w:tcPr>
            <w:tcW w:w="1276" w:type="dxa"/>
            <w:vAlign w:val="center"/>
          </w:tcPr>
          <w:p w14:paraId="77C84EA2" w14:textId="77777777" w:rsidR="002D6C57" w:rsidRPr="007C4847" w:rsidRDefault="002D6C57" w:rsidP="003E2F38">
            <w:pPr>
              <w:jc w:val="right"/>
              <w:rPr>
                <w:rFonts w:cs="Arial"/>
              </w:rPr>
            </w:pPr>
            <w:r w:rsidRPr="007C4847">
              <w:rPr>
                <w:rFonts w:cs="Arial"/>
              </w:rPr>
              <w:t>(4,327)</w:t>
            </w:r>
          </w:p>
        </w:tc>
        <w:tc>
          <w:tcPr>
            <w:tcW w:w="1275" w:type="dxa"/>
            <w:vAlign w:val="center"/>
          </w:tcPr>
          <w:p w14:paraId="5A7D8A8C" w14:textId="77777777" w:rsidR="002D6C57" w:rsidRPr="007C4847" w:rsidRDefault="002D6C57" w:rsidP="003E2F38">
            <w:pPr>
              <w:jc w:val="right"/>
              <w:rPr>
                <w:rFonts w:cs="Arial"/>
              </w:rPr>
            </w:pPr>
            <w:r w:rsidRPr="007C4847">
              <w:rPr>
                <w:rFonts w:cs="Arial"/>
              </w:rPr>
              <w:t>(29)</w:t>
            </w:r>
          </w:p>
        </w:tc>
        <w:tc>
          <w:tcPr>
            <w:tcW w:w="1276" w:type="dxa"/>
            <w:vAlign w:val="center"/>
          </w:tcPr>
          <w:p w14:paraId="1D38F3B4" w14:textId="77777777" w:rsidR="002D6C57" w:rsidRPr="007C4847" w:rsidRDefault="002D6C57" w:rsidP="003E2F38">
            <w:pPr>
              <w:jc w:val="right"/>
              <w:rPr>
                <w:rFonts w:cs="Arial"/>
              </w:rPr>
            </w:pPr>
            <w:r w:rsidRPr="007C4847">
              <w:rPr>
                <w:rFonts w:cs="Arial"/>
              </w:rPr>
              <w:t>-</w:t>
            </w:r>
          </w:p>
        </w:tc>
        <w:tc>
          <w:tcPr>
            <w:tcW w:w="1418" w:type="dxa"/>
            <w:vAlign w:val="center"/>
          </w:tcPr>
          <w:p w14:paraId="2CEA07E0" w14:textId="77777777" w:rsidR="002D6C57" w:rsidRPr="007C4847" w:rsidRDefault="002D6C57" w:rsidP="003E2F38">
            <w:pPr>
              <w:jc w:val="right"/>
              <w:rPr>
                <w:rFonts w:cs="Arial"/>
              </w:rPr>
            </w:pPr>
            <w:r w:rsidRPr="007C4847">
              <w:rPr>
                <w:rFonts w:cs="Arial"/>
              </w:rPr>
              <w:t>(4,356)</w:t>
            </w:r>
          </w:p>
        </w:tc>
      </w:tr>
      <w:tr w:rsidR="002D6C57" w:rsidRPr="00C328EF" w14:paraId="26021F10" w14:textId="77777777" w:rsidTr="003E2F38">
        <w:tc>
          <w:tcPr>
            <w:tcW w:w="3119" w:type="dxa"/>
          </w:tcPr>
          <w:p w14:paraId="1EA25CFD" w14:textId="77777777" w:rsidR="002D6C57" w:rsidRPr="00C328EF" w:rsidRDefault="002D6C57" w:rsidP="003E2F38">
            <w:pPr>
              <w:ind w:left="397"/>
              <w:rPr>
                <w:highlight w:val="yellow"/>
              </w:rPr>
            </w:pPr>
          </w:p>
        </w:tc>
        <w:tc>
          <w:tcPr>
            <w:tcW w:w="1701" w:type="dxa"/>
          </w:tcPr>
          <w:p w14:paraId="55D61513" w14:textId="77777777" w:rsidR="002D6C57" w:rsidRPr="007C4847" w:rsidRDefault="002D6C57" w:rsidP="003E2F38">
            <w:pPr>
              <w:jc w:val="right"/>
              <w:rPr>
                <w:spacing w:val="-2"/>
              </w:rPr>
            </w:pPr>
            <w:r w:rsidRPr="007C4847">
              <w:rPr>
                <w:spacing w:val="-2"/>
              </w:rPr>
              <w:t>───────</w:t>
            </w:r>
          </w:p>
        </w:tc>
        <w:tc>
          <w:tcPr>
            <w:tcW w:w="1276" w:type="dxa"/>
          </w:tcPr>
          <w:p w14:paraId="10F35877" w14:textId="77777777" w:rsidR="002D6C57" w:rsidRPr="007C4847" w:rsidRDefault="002D6C57" w:rsidP="003E2F38">
            <w:pPr>
              <w:jc w:val="right"/>
            </w:pPr>
            <w:r w:rsidRPr="007C4847">
              <w:rPr>
                <w:spacing w:val="-2"/>
              </w:rPr>
              <w:t>───────</w:t>
            </w:r>
          </w:p>
        </w:tc>
        <w:tc>
          <w:tcPr>
            <w:tcW w:w="1275" w:type="dxa"/>
          </w:tcPr>
          <w:p w14:paraId="6295898C" w14:textId="77777777" w:rsidR="002D6C57" w:rsidRPr="007C4847" w:rsidRDefault="002D6C57" w:rsidP="003E2F38">
            <w:pPr>
              <w:jc w:val="right"/>
              <w:rPr>
                <w:spacing w:val="-2"/>
              </w:rPr>
            </w:pPr>
            <w:r w:rsidRPr="007C4847">
              <w:rPr>
                <w:spacing w:val="-2"/>
              </w:rPr>
              <w:t>───────</w:t>
            </w:r>
          </w:p>
        </w:tc>
        <w:tc>
          <w:tcPr>
            <w:tcW w:w="1276" w:type="dxa"/>
          </w:tcPr>
          <w:p w14:paraId="1DCAA22B" w14:textId="77777777" w:rsidR="002D6C57" w:rsidRPr="007C4847" w:rsidRDefault="002D6C57" w:rsidP="003E2F38">
            <w:pPr>
              <w:jc w:val="right"/>
            </w:pPr>
            <w:r w:rsidRPr="007C4847">
              <w:rPr>
                <w:spacing w:val="-2"/>
              </w:rPr>
              <w:t>───────</w:t>
            </w:r>
          </w:p>
        </w:tc>
        <w:tc>
          <w:tcPr>
            <w:tcW w:w="1418" w:type="dxa"/>
          </w:tcPr>
          <w:p w14:paraId="01BC0B17" w14:textId="77777777" w:rsidR="002D6C57" w:rsidRPr="007C4847" w:rsidRDefault="002D6C57" w:rsidP="003E2F38">
            <w:pPr>
              <w:jc w:val="right"/>
            </w:pPr>
            <w:r w:rsidRPr="007C4847">
              <w:rPr>
                <w:spacing w:val="-2"/>
              </w:rPr>
              <w:t>───────</w:t>
            </w:r>
          </w:p>
        </w:tc>
      </w:tr>
      <w:tr w:rsidR="002D6C57" w:rsidRPr="00C328EF" w14:paraId="67E62726" w14:textId="77777777" w:rsidTr="003E2F38">
        <w:tc>
          <w:tcPr>
            <w:tcW w:w="3119" w:type="dxa"/>
          </w:tcPr>
          <w:p w14:paraId="3A6E7B03" w14:textId="77777777" w:rsidR="002D6C57" w:rsidRPr="007C4847" w:rsidRDefault="002D6C57" w:rsidP="003E2F38">
            <w:pPr>
              <w:ind w:left="397"/>
              <w:rPr>
                <w:b/>
              </w:rPr>
            </w:pPr>
            <w:r w:rsidRPr="007C4847">
              <w:rPr>
                <w:b/>
              </w:rPr>
              <w:t>At 3</w:t>
            </w:r>
            <w:r>
              <w:rPr>
                <w:b/>
              </w:rPr>
              <w:t>0</w:t>
            </w:r>
            <w:r w:rsidRPr="007C4847">
              <w:rPr>
                <w:b/>
              </w:rPr>
              <w:t xml:space="preserve"> December 2023</w:t>
            </w:r>
          </w:p>
        </w:tc>
        <w:tc>
          <w:tcPr>
            <w:tcW w:w="1701" w:type="dxa"/>
            <w:vAlign w:val="center"/>
          </w:tcPr>
          <w:p w14:paraId="3B71F689" w14:textId="77777777" w:rsidR="002D6C57" w:rsidRPr="007C4847" w:rsidRDefault="002D6C57" w:rsidP="003E2F38">
            <w:pPr>
              <w:jc w:val="right"/>
              <w:rPr>
                <w:rFonts w:cs="Arial"/>
                <w:bCs/>
              </w:rPr>
            </w:pPr>
            <w:r w:rsidRPr="007C4847">
              <w:rPr>
                <w:rFonts w:cs="Arial"/>
                <w:bCs/>
              </w:rPr>
              <w:t>124,342</w:t>
            </w:r>
          </w:p>
        </w:tc>
        <w:tc>
          <w:tcPr>
            <w:tcW w:w="1276" w:type="dxa"/>
            <w:vAlign w:val="center"/>
          </w:tcPr>
          <w:p w14:paraId="1E0BB472" w14:textId="77777777" w:rsidR="002D6C57" w:rsidRPr="007C4847" w:rsidRDefault="002D6C57" w:rsidP="003E2F38">
            <w:pPr>
              <w:jc w:val="right"/>
              <w:rPr>
                <w:rFonts w:cs="Arial"/>
                <w:bCs/>
              </w:rPr>
            </w:pPr>
            <w:r w:rsidRPr="007C4847">
              <w:rPr>
                <w:rFonts w:cs="Arial"/>
                <w:bCs/>
              </w:rPr>
              <w:t>146,864</w:t>
            </w:r>
          </w:p>
        </w:tc>
        <w:tc>
          <w:tcPr>
            <w:tcW w:w="1275" w:type="dxa"/>
            <w:vAlign w:val="center"/>
          </w:tcPr>
          <w:p w14:paraId="4216489D" w14:textId="77777777" w:rsidR="002D6C57" w:rsidRPr="007C4847" w:rsidRDefault="002D6C57" w:rsidP="003E2F38">
            <w:pPr>
              <w:jc w:val="right"/>
              <w:rPr>
                <w:rFonts w:cs="Arial"/>
                <w:bCs/>
              </w:rPr>
            </w:pPr>
            <w:r w:rsidRPr="007C4847">
              <w:rPr>
                <w:rFonts w:cs="Arial"/>
                <w:bCs/>
              </w:rPr>
              <w:t>264</w:t>
            </w:r>
          </w:p>
        </w:tc>
        <w:tc>
          <w:tcPr>
            <w:tcW w:w="1276" w:type="dxa"/>
            <w:vAlign w:val="center"/>
          </w:tcPr>
          <w:p w14:paraId="6BEC88A6" w14:textId="77777777" w:rsidR="002D6C57" w:rsidRPr="007C4847" w:rsidRDefault="002D6C57" w:rsidP="003E2F38">
            <w:pPr>
              <w:jc w:val="right"/>
              <w:rPr>
                <w:rFonts w:cs="Arial"/>
                <w:bCs/>
              </w:rPr>
            </w:pPr>
            <w:r w:rsidRPr="007C4847">
              <w:rPr>
                <w:rFonts w:cs="Arial"/>
                <w:bCs/>
              </w:rPr>
              <w:t>26,775</w:t>
            </w:r>
          </w:p>
        </w:tc>
        <w:tc>
          <w:tcPr>
            <w:tcW w:w="1418" w:type="dxa"/>
            <w:vAlign w:val="center"/>
          </w:tcPr>
          <w:p w14:paraId="6C432B6F" w14:textId="77777777" w:rsidR="002D6C57" w:rsidRPr="007C4847" w:rsidRDefault="002D6C57" w:rsidP="003E2F38">
            <w:pPr>
              <w:jc w:val="right"/>
              <w:rPr>
                <w:rFonts w:cs="Arial"/>
                <w:bCs/>
              </w:rPr>
            </w:pPr>
            <w:r w:rsidRPr="007C4847">
              <w:rPr>
                <w:rFonts w:cs="Arial"/>
                <w:bCs/>
              </w:rPr>
              <w:t>298,245</w:t>
            </w:r>
          </w:p>
        </w:tc>
      </w:tr>
      <w:tr w:rsidR="002D6C57" w:rsidRPr="00C328EF" w14:paraId="161331DB" w14:textId="77777777" w:rsidTr="003E2F38">
        <w:tc>
          <w:tcPr>
            <w:tcW w:w="3119" w:type="dxa"/>
          </w:tcPr>
          <w:p w14:paraId="0378D751" w14:textId="77777777" w:rsidR="002D6C57" w:rsidRPr="00C328EF" w:rsidRDefault="002D6C57" w:rsidP="003E2F38">
            <w:pPr>
              <w:ind w:left="397"/>
              <w:rPr>
                <w:highlight w:val="yellow"/>
              </w:rPr>
            </w:pPr>
          </w:p>
        </w:tc>
        <w:tc>
          <w:tcPr>
            <w:tcW w:w="1701" w:type="dxa"/>
          </w:tcPr>
          <w:p w14:paraId="4DE8F13A" w14:textId="77777777" w:rsidR="002D6C57" w:rsidRPr="007C4847" w:rsidRDefault="002D6C57" w:rsidP="003E2F38">
            <w:pPr>
              <w:jc w:val="right"/>
            </w:pPr>
            <w:r w:rsidRPr="007C4847">
              <w:rPr>
                <w:spacing w:val="-2"/>
              </w:rPr>
              <w:t>───────</w:t>
            </w:r>
          </w:p>
        </w:tc>
        <w:tc>
          <w:tcPr>
            <w:tcW w:w="1276" w:type="dxa"/>
          </w:tcPr>
          <w:p w14:paraId="7C7B1DC0" w14:textId="77777777" w:rsidR="002D6C57" w:rsidRPr="007C4847" w:rsidRDefault="002D6C57" w:rsidP="003E2F38">
            <w:pPr>
              <w:jc w:val="right"/>
            </w:pPr>
            <w:r w:rsidRPr="007C4847">
              <w:rPr>
                <w:spacing w:val="-2"/>
              </w:rPr>
              <w:t>───────</w:t>
            </w:r>
          </w:p>
        </w:tc>
        <w:tc>
          <w:tcPr>
            <w:tcW w:w="1275" w:type="dxa"/>
          </w:tcPr>
          <w:p w14:paraId="1A314D3B" w14:textId="77777777" w:rsidR="002D6C57" w:rsidRPr="007C4847" w:rsidRDefault="002D6C57" w:rsidP="003E2F38">
            <w:pPr>
              <w:jc w:val="right"/>
            </w:pPr>
            <w:r w:rsidRPr="007C4847">
              <w:rPr>
                <w:spacing w:val="-2"/>
              </w:rPr>
              <w:t>───────</w:t>
            </w:r>
          </w:p>
        </w:tc>
        <w:tc>
          <w:tcPr>
            <w:tcW w:w="1276" w:type="dxa"/>
          </w:tcPr>
          <w:p w14:paraId="706C9B49" w14:textId="77777777" w:rsidR="002D6C57" w:rsidRPr="007C4847" w:rsidRDefault="002D6C57" w:rsidP="003E2F38">
            <w:pPr>
              <w:jc w:val="right"/>
            </w:pPr>
            <w:r w:rsidRPr="007C4847">
              <w:rPr>
                <w:spacing w:val="-2"/>
              </w:rPr>
              <w:t>───────</w:t>
            </w:r>
          </w:p>
        </w:tc>
        <w:tc>
          <w:tcPr>
            <w:tcW w:w="1418" w:type="dxa"/>
          </w:tcPr>
          <w:p w14:paraId="118E2AF8" w14:textId="77777777" w:rsidR="002D6C57" w:rsidRPr="007C4847" w:rsidRDefault="002D6C57" w:rsidP="003E2F38">
            <w:pPr>
              <w:jc w:val="right"/>
            </w:pPr>
            <w:r w:rsidRPr="007C4847">
              <w:rPr>
                <w:spacing w:val="-2"/>
              </w:rPr>
              <w:t>───────</w:t>
            </w:r>
          </w:p>
        </w:tc>
      </w:tr>
      <w:tr w:rsidR="002D6C57" w:rsidRPr="00C328EF" w14:paraId="4CD17AFD" w14:textId="77777777" w:rsidTr="003E2F38">
        <w:tc>
          <w:tcPr>
            <w:tcW w:w="3119" w:type="dxa"/>
          </w:tcPr>
          <w:p w14:paraId="796C5627" w14:textId="77777777" w:rsidR="002D6C57" w:rsidRPr="007C4847" w:rsidRDefault="002D6C57" w:rsidP="003E2F38">
            <w:pPr>
              <w:ind w:left="397"/>
              <w:rPr>
                <w:b/>
              </w:rPr>
            </w:pPr>
            <w:r w:rsidRPr="007C4847">
              <w:rPr>
                <w:b/>
              </w:rPr>
              <w:t>Accumulated depreciation</w:t>
            </w:r>
          </w:p>
        </w:tc>
        <w:tc>
          <w:tcPr>
            <w:tcW w:w="1701" w:type="dxa"/>
          </w:tcPr>
          <w:p w14:paraId="4C320DD4" w14:textId="77777777" w:rsidR="002D6C57" w:rsidRPr="007C4847" w:rsidRDefault="002D6C57" w:rsidP="003E2F38">
            <w:pPr>
              <w:jc w:val="right"/>
            </w:pPr>
          </w:p>
        </w:tc>
        <w:tc>
          <w:tcPr>
            <w:tcW w:w="1276" w:type="dxa"/>
          </w:tcPr>
          <w:p w14:paraId="37495B01" w14:textId="77777777" w:rsidR="002D6C57" w:rsidRPr="007C4847" w:rsidRDefault="002D6C57" w:rsidP="003E2F38">
            <w:pPr>
              <w:jc w:val="right"/>
            </w:pPr>
          </w:p>
        </w:tc>
        <w:tc>
          <w:tcPr>
            <w:tcW w:w="1275" w:type="dxa"/>
          </w:tcPr>
          <w:p w14:paraId="1434F8CD" w14:textId="77777777" w:rsidR="002D6C57" w:rsidRPr="007C4847" w:rsidRDefault="002D6C57" w:rsidP="003E2F38">
            <w:pPr>
              <w:jc w:val="right"/>
            </w:pPr>
          </w:p>
        </w:tc>
        <w:tc>
          <w:tcPr>
            <w:tcW w:w="1276" w:type="dxa"/>
          </w:tcPr>
          <w:p w14:paraId="4F39963B" w14:textId="77777777" w:rsidR="002D6C57" w:rsidRPr="007C4847" w:rsidRDefault="002D6C57" w:rsidP="003E2F38">
            <w:pPr>
              <w:jc w:val="right"/>
            </w:pPr>
          </w:p>
        </w:tc>
        <w:tc>
          <w:tcPr>
            <w:tcW w:w="1418" w:type="dxa"/>
          </w:tcPr>
          <w:p w14:paraId="6F453364" w14:textId="77777777" w:rsidR="002D6C57" w:rsidRPr="007C4847" w:rsidRDefault="002D6C57" w:rsidP="003E2F38">
            <w:pPr>
              <w:jc w:val="right"/>
            </w:pPr>
          </w:p>
        </w:tc>
      </w:tr>
      <w:tr w:rsidR="002D6C57" w:rsidRPr="00C328EF" w14:paraId="68D0AE7B" w14:textId="77777777" w:rsidTr="003E2F38">
        <w:tc>
          <w:tcPr>
            <w:tcW w:w="3119" w:type="dxa"/>
          </w:tcPr>
          <w:p w14:paraId="1B6818E6" w14:textId="77777777" w:rsidR="002D6C57" w:rsidRPr="007C4847" w:rsidRDefault="002D6C57" w:rsidP="003E2F38">
            <w:pPr>
              <w:ind w:left="397"/>
            </w:pPr>
            <w:r w:rsidRPr="007C4847">
              <w:rPr>
                <w:b/>
              </w:rPr>
              <w:t>At 1 January 2023</w:t>
            </w:r>
          </w:p>
        </w:tc>
        <w:tc>
          <w:tcPr>
            <w:tcW w:w="1701" w:type="dxa"/>
            <w:tcBorders>
              <w:top w:val="nil"/>
              <w:left w:val="nil"/>
              <w:bottom w:val="nil"/>
              <w:right w:val="nil"/>
            </w:tcBorders>
            <w:vAlign w:val="center"/>
          </w:tcPr>
          <w:p w14:paraId="038FF2FF" w14:textId="77777777" w:rsidR="002D6C57" w:rsidRPr="007C4847" w:rsidRDefault="002D6C57" w:rsidP="003E2F38">
            <w:pPr>
              <w:jc w:val="right"/>
              <w:rPr>
                <w:bCs/>
              </w:rPr>
            </w:pPr>
            <w:r w:rsidRPr="007C4847">
              <w:rPr>
                <w:bCs/>
              </w:rPr>
              <w:t>(32,540)</w:t>
            </w:r>
          </w:p>
        </w:tc>
        <w:tc>
          <w:tcPr>
            <w:tcW w:w="1276" w:type="dxa"/>
            <w:tcBorders>
              <w:top w:val="nil"/>
              <w:left w:val="nil"/>
              <w:bottom w:val="nil"/>
              <w:right w:val="nil"/>
            </w:tcBorders>
            <w:vAlign w:val="center"/>
          </w:tcPr>
          <w:p w14:paraId="4469C008" w14:textId="77777777" w:rsidR="002D6C57" w:rsidRPr="007C4847" w:rsidRDefault="002D6C57" w:rsidP="003E2F38">
            <w:pPr>
              <w:jc w:val="right"/>
              <w:rPr>
                <w:bCs/>
              </w:rPr>
            </w:pPr>
            <w:r w:rsidRPr="007C4847">
              <w:rPr>
                <w:bCs/>
              </w:rPr>
              <w:t>(76,352)</w:t>
            </w:r>
          </w:p>
        </w:tc>
        <w:tc>
          <w:tcPr>
            <w:tcW w:w="1275" w:type="dxa"/>
            <w:tcBorders>
              <w:top w:val="nil"/>
              <w:left w:val="nil"/>
              <w:bottom w:val="nil"/>
              <w:right w:val="nil"/>
            </w:tcBorders>
            <w:vAlign w:val="center"/>
          </w:tcPr>
          <w:p w14:paraId="27F8D0DE" w14:textId="77777777" w:rsidR="002D6C57" w:rsidRPr="007C4847" w:rsidRDefault="002D6C57" w:rsidP="003E2F38">
            <w:pPr>
              <w:jc w:val="right"/>
              <w:rPr>
                <w:bCs/>
              </w:rPr>
            </w:pPr>
            <w:r w:rsidRPr="007C4847">
              <w:rPr>
                <w:bCs/>
              </w:rPr>
              <w:t>(179)</w:t>
            </w:r>
          </w:p>
        </w:tc>
        <w:tc>
          <w:tcPr>
            <w:tcW w:w="1276" w:type="dxa"/>
            <w:tcBorders>
              <w:top w:val="nil"/>
              <w:left w:val="nil"/>
              <w:bottom w:val="nil"/>
              <w:right w:val="nil"/>
            </w:tcBorders>
            <w:vAlign w:val="center"/>
          </w:tcPr>
          <w:p w14:paraId="0F71A5F3" w14:textId="77777777" w:rsidR="002D6C57" w:rsidRPr="007C4847" w:rsidRDefault="002D6C57" w:rsidP="003E2F38">
            <w:pPr>
              <w:jc w:val="right"/>
              <w:rPr>
                <w:bCs/>
              </w:rPr>
            </w:pPr>
            <w:r w:rsidRPr="007C4847">
              <w:rPr>
                <w:bCs/>
              </w:rPr>
              <w:t>(14,202)</w:t>
            </w:r>
          </w:p>
        </w:tc>
        <w:tc>
          <w:tcPr>
            <w:tcW w:w="1418" w:type="dxa"/>
            <w:tcBorders>
              <w:top w:val="nil"/>
              <w:left w:val="nil"/>
              <w:bottom w:val="nil"/>
              <w:right w:val="nil"/>
            </w:tcBorders>
            <w:vAlign w:val="center"/>
          </w:tcPr>
          <w:p w14:paraId="15F811D4" w14:textId="77777777" w:rsidR="002D6C57" w:rsidRPr="007C4847" w:rsidRDefault="002D6C57" w:rsidP="003E2F38">
            <w:pPr>
              <w:jc w:val="right"/>
              <w:rPr>
                <w:bCs/>
              </w:rPr>
            </w:pPr>
            <w:r w:rsidRPr="007C4847">
              <w:rPr>
                <w:bCs/>
              </w:rPr>
              <w:t>(123,273)</w:t>
            </w:r>
          </w:p>
        </w:tc>
      </w:tr>
      <w:tr w:rsidR="002D6C57" w:rsidRPr="00C328EF" w14:paraId="727E7141" w14:textId="77777777" w:rsidTr="003E2F38">
        <w:tc>
          <w:tcPr>
            <w:tcW w:w="3119" w:type="dxa"/>
          </w:tcPr>
          <w:p w14:paraId="28C294EE" w14:textId="77777777" w:rsidR="002D6C57" w:rsidRPr="007C4847" w:rsidRDefault="002D6C57" w:rsidP="003E2F38">
            <w:pPr>
              <w:ind w:left="397"/>
            </w:pPr>
            <w:r w:rsidRPr="007C4847">
              <w:t xml:space="preserve">Charge for the </w:t>
            </w:r>
            <w:r>
              <w:t>period</w:t>
            </w:r>
          </w:p>
        </w:tc>
        <w:tc>
          <w:tcPr>
            <w:tcW w:w="1701" w:type="dxa"/>
          </w:tcPr>
          <w:p w14:paraId="4BD825AF" w14:textId="77777777" w:rsidR="002D6C57" w:rsidRPr="007C4847" w:rsidRDefault="002D6C57" w:rsidP="003E2F38">
            <w:pPr>
              <w:jc w:val="right"/>
            </w:pPr>
            <w:r w:rsidRPr="007C4847">
              <w:t>(7,834)</w:t>
            </w:r>
          </w:p>
        </w:tc>
        <w:tc>
          <w:tcPr>
            <w:tcW w:w="1276" w:type="dxa"/>
          </w:tcPr>
          <w:p w14:paraId="3E2A7F65" w14:textId="77777777" w:rsidR="002D6C57" w:rsidRPr="007C4847" w:rsidRDefault="002D6C57" w:rsidP="003E2F38">
            <w:pPr>
              <w:jc w:val="right"/>
            </w:pPr>
            <w:r w:rsidRPr="007C4847">
              <w:t>(10,125)</w:t>
            </w:r>
          </w:p>
        </w:tc>
        <w:tc>
          <w:tcPr>
            <w:tcW w:w="1275" w:type="dxa"/>
          </w:tcPr>
          <w:p w14:paraId="7F6610D7" w14:textId="77777777" w:rsidR="002D6C57" w:rsidRPr="007C4847" w:rsidRDefault="002D6C57" w:rsidP="003E2F38">
            <w:pPr>
              <w:jc w:val="right"/>
            </w:pPr>
            <w:r w:rsidRPr="007C4847">
              <w:t>(37)</w:t>
            </w:r>
          </w:p>
        </w:tc>
        <w:tc>
          <w:tcPr>
            <w:tcW w:w="1276" w:type="dxa"/>
          </w:tcPr>
          <w:p w14:paraId="09A10F6E" w14:textId="77777777" w:rsidR="002D6C57" w:rsidRPr="007C4847" w:rsidRDefault="002D6C57" w:rsidP="003E2F38">
            <w:pPr>
              <w:jc w:val="right"/>
            </w:pPr>
            <w:r w:rsidRPr="007C4847">
              <w:t>(1,565)</w:t>
            </w:r>
          </w:p>
        </w:tc>
        <w:tc>
          <w:tcPr>
            <w:tcW w:w="1418" w:type="dxa"/>
          </w:tcPr>
          <w:p w14:paraId="02D9A43D" w14:textId="77777777" w:rsidR="002D6C57" w:rsidRPr="007C4847" w:rsidRDefault="002D6C57" w:rsidP="003E2F38">
            <w:pPr>
              <w:jc w:val="right"/>
            </w:pPr>
            <w:r w:rsidRPr="007C4847">
              <w:t>(19,561)</w:t>
            </w:r>
          </w:p>
        </w:tc>
      </w:tr>
      <w:tr w:rsidR="002D6C57" w:rsidRPr="00C328EF" w14:paraId="04E10BA9" w14:textId="77777777" w:rsidTr="003E2F38">
        <w:tc>
          <w:tcPr>
            <w:tcW w:w="3119" w:type="dxa"/>
          </w:tcPr>
          <w:p w14:paraId="77CBB430" w14:textId="77777777" w:rsidR="002D6C57" w:rsidRPr="007C4847" w:rsidRDefault="002D6C57" w:rsidP="003E2F38">
            <w:pPr>
              <w:ind w:left="397"/>
            </w:pPr>
            <w:r w:rsidRPr="007C4847">
              <w:t>Eliminated on disposal</w:t>
            </w:r>
          </w:p>
        </w:tc>
        <w:tc>
          <w:tcPr>
            <w:tcW w:w="1701" w:type="dxa"/>
            <w:vAlign w:val="center"/>
          </w:tcPr>
          <w:p w14:paraId="5CCC83A8" w14:textId="77777777" w:rsidR="002D6C57" w:rsidRPr="007C4847" w:rsidRDefault="002D6C57" w:rsidP="003E2F38">
            <w:pPr>
              <w:jc w:val="right"/>
              <w:rPr>
                <w:bCs/>
              </w:rPr>
            </w:pPr>
            <w:r w:rsidRPr="007C4847">
              <w:rPr>
                <w:bCs/>
              </w:rPr>
              <w:t>-</w:t>
            </w:r>
          </w:p>
        </w:tc>
        <w:tc>
          <w:tcPr>
            <w:tcW w:w="1276" w:type="dxa"/>
            <w:vAlign w:val="center"/>
          </w:tcPr>
          <w:p w14:paraId="2CE3A55D" w14:textId="77777777" w:rsidR="002D6C57" w:rsidRPr="007C4847" w:rsidRDefault="002D6C57" w:rsidP="003E2F38">
            <w:pPr>
              <w:jc w:val="right"/>
              <w:rPr>
                <w:bCs/>
              </w:rPr>
            </w:pPr>
            <w:r w:rsidRPr="007C4847">
              <w:rPr>
                <w:bCs/>
              </w:rPr>
              <w:t>3,935</w:t>
            </w:r>
          </w:p>
        </w:tc>
        <w:tc>
          <w:tcPr>
            <w:tcW w:w="1275" w:type="dxa"/>
            <w:vAlign w:val="center"/>
          </w:tcPr>
          <w:p w14:paraId="344BB8C1" w14:textId="77777777" w:rsidR="002D6C57" w:rsidRPr="007C4847" w:rsidRDefault="002D6C57" w:rsidP="003E2F38">
            <w:pPr>
              <w:jc w:val="right"/>
              <w:rPr>
                <w:bCs/>
              </w:rPr>
            </w:pPr>
            <w:r w:rsidRPr="007C4847">
              <w:rPr>
                <w:bCs/>
              </w:rPr>
              <w:t>29</w:t>
            </w:r>
          </w:p>
        </w:tc>
        <w:tc>
          <w:tcPr>
            <w:tcW w:w="1276" w:type="dxa"/>
            <w:vAlign w:val="center"/>
          </w:tcPr>
          <w:p w14:paraId="57FB8107" w14:textId="77777777" w:rsidR="002D6C57" w:rsidRPr="007C4847" w:rsidRDefault="002D6C57" w:rsidP="003E2F38">
            <w:pPr>
              <w:jc w:val="right"/>
              <w:rPr>
                <w:bCs/>
              </w:rPr>
            </w:pPr>
            <w:r w:rsidRPr="007C4847">
              <w:rPr>
                <w:bCs/>
              </w:rPr>
              <w:t>-</w:t>
            </w:r>
          </w:p>
        </w:tc>
        <w:tc>
          <w:tcPr>
            <w:tcW w:w="1418" w:type="dxa"/>
            <w:vAlign w:val="center"/>
          </w:tcPr>
          <w:p w14:paraId="6691DD3B" w14:textId="77777777" w:rsidR="002D6C57" w:rsidRPr="007C4847" w:rsidRDefault="002D6C57" w:rsidP="003E2F38">
            <w:pPr>
              <w:jc w:val="right"/>
              <w:rPr>
                <w:bCs/>
              </w:rPr>
            </w:pPr>
            <w:r w:rsidRPr="007C4847">
              <w:rPr>
                <w:bCs/>
              </w:rPr>
              <w:t>3,964</w:t>
            </w:r>
          </w:p>
        </w:tc>
      </w:tr>
      <w:tr w:rsidR="002D6C57" w:rsidRPr="00C328EF" w14:paraId="0CD50550" w14:textId="77777777" w:rsidTr="003E2F38">
        <w:tc>
          <w:tcPr>
            <w:tcW w:w="3119" w:type="dxa"/>
          </w:tcPr>
          <w:p w14:paraId="48890319" w14:textId="77777777" w:rsidR="002D6C57" w:rsidRPr="007C4847" w:rsidRDefault="002D6C57" w:rsidP="003E2F38">
            <w:pPr>
              <w:ind w:left="397"/>
            </w:pPr>
          </w:p>
        </w:tc>
        <w:tc>
          <w:tcPr>
            <w:tcW w:w="1701" w:type="dxa"/>
          </w:tcPr>
          <w:p w14:paraId="4B48B278" w14:textId="77777777" w:rsidR="002D6C57" w:rsidRPr="007C4847" w:rsidRDefault="002D6C57" w:rsidP="003E2F38">
            <w:pPr>
              <w:jc w:val="right"/>
            </w:pPr>
            <w:r w:rsidRPr="007C4847">
              <w:rPr>
                <w:spacing w:val="-2"/>
              </w:rPr>
              <w:t>───────</w:t>
            </w:r>
          </w:p>
        </w:tc>
        <w:tc>
          <w:tcPr>
            <w:tcW w:w="1276" w:type="dxa"/>
          </w:tcPr>
          <w:p w14:paraId="3EF37E02" w14:textId="77777777" w:rsidR="002D6C57" w:rsidRPr="007C4847" w:rsidRDefault="002D6C57" w:rsidP="003E2F38">
            <w:pPr>
              <w:jc w:val="right"/>
            </w:pPr>
            <w:r w:rsidRPr="007C4847">
              <w:rPr>
                <w:spacing w:val="-2"/>
              </w:rPr>
              <w:t>───────</w:t>
            </w:r>
          </w:p>
        </w:tc>
        <w:tc>
          <w:tcPr>
            <w:tcW w:w="1275" w:type="dxa"/>
          </w:tcPr>
          <w:p w14:paraId="1E35F975" w14:textId="77777777" w:rsidR="002D6C57" w:rsidRPr="007C4847" w:rsidRDefault="002D6C57" w:rsidP="003E2F38">
            <w:pPr>
              <w:jc w:val="right"/>
            </w:pPr>
            <w:r w:rsidRPr="007C4847">
              <w:rPr>
                <w:spacing w:val="-2"/>
              </w:rPr>
              <w:t>───────</w:t>
            </w:r>
          </w:p>
        </w:tc>
        <w:tc>
          <w:tcPr>
            <w:tcW w:w="1276" w:type="dxa"/>
          </w:tcPr>
          <w:p w14:paraId="17AFB21B" w14:textId="77777777" w:rsidR="002D6C57" w:rsidRPr="007C4847" w:rsidRDefault="002D6C57" w:rsidP="003E2F38">
            <w:pPr>
              <w:jc w:val="right"/>
            </w:pPr>
            <w:r w:rsidRPr="007C4847">
              <w:rPr>
                <w:spacing w:val="-2"/>
              </w:rPr>
              <w:t>───────</w:t>
            </w:r>
          </w:p>
        </w:tc>
        <w:tc>
          <w:tcPr>
            <w:tcW w:w="1418" w:type="dxa"/>
          </w:tcPr>
          <w:p w14:paraId="4A507CEA" w14:textId="77777777" w:rsidR="002D6C57" w:rsidRPr="007C4847" w:rsidRDefault="002D6C57" w:rsidP="003E2F38">
            <w:pPr>
              <w:jc w:val="right"/>
            </w:pPr>
            <w:r w:rsidRPr="007C4847">
              <w:rPr>
                <w:spacing w:val="-2"/>
              </w:rPr>
              <w:t>───────</w:t>
            </w:r>
          </w:p>
        </w:tc>
      </w:tr>
      <w:tr w:rsidR="002D6C57" w:rsidRPr="00C328EF" w14:paraId="63E6C25D" w14:textId="77777777" w:rsidTr="003E2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nil"/>
              <w:right w:val="nil"/>
            </w:tcBorders>
          </w:tcPr>
          <w:p w14:paraId="63397B8B" w14:textId="77777777" w:rsidR="002D6C57" w:rsidRPr="007C4847" w:rsidRDefault="002D6C57" w:rsidP="003E2F38">
            <w:pPr>
              <w:ind w:left="397"/>
            </w:pPr>
            <w:r w:rsidRPr="007C4847">
              <w:rPr>
                <w:b/>
              </w:rPr>
              <w:t>At 3</w:t>
            </w:r>
            <w:r>
              <w:rPr>
                <w:b/>
              </w:rPr>
              <w:t>0</w:t>
            </w:r>
            <w:r w:rsidRPr="007C4847">
              <w:rPr>
                <w:b/>
              </w:rPr>
              <w:t xml:space="preserve"> December 2023</w:t>
            </w:r>
          </w:p>
        </w:tc>
        <w:tc>
          <w:tcPr>
            <w:tcW w:w="1701" w:type="dxa"/>
            <w:tcBorders>
              <w:top w:val="nil"/>
              <w:left w:val="nil"/>
              <w:bottom w:val="nil"/>
              <w:right w:val="nil"/>
            </w:tcBorders>
            <w:vAlign w:val="center"/>
          </w:tcPr>
          <w:p w14:paraId="2F456727" w14:textId="77777777" w:rsidR="002D6C57" w:rsidRPr="007C4847" w:rsidRDefault="002D6C57" w:rsidP="003E2F38">
            <w:pPr>
              <w:jc w:val="right"/>
              <w:rPr>
                <w:bCs/>
              </w:rPr>
            </w:pPr>
            <w:r w:rsidRPr="007C4847">
              <w:rPr>
                <w:bCs/>
              </w:rPr>
              <w:t>(40,374)</w:t>
            </w:r>
          </w:p>
        </w:tc>
        <w:tc>
          <w:tcPr>
            <w:tcW w:w="1276" w:type="dxa"/>
            <w:tcBorders>
              <w:top w:val="nil"/>
              <w:left w:val="nil"/>
              <w:bottom w:val="nil"/>
              <w:right w:val="nil"/>
            </w:tcBorders>
            <w:vAlign w:val="center"/>
          </w:tcPr>
          <w:p w14:paraId="14930CFA" w14:textId="77777777" w:rsidR="002D6C57" w:rsidRPr="007C4847" w:rsidRDefault="002D6C57" w:rsidP="003E2F38">
            <w:pPr>
              <w:jc w:val="right"/>
              <w:rPr>
                <w:bCs/>
              </w:rPr>
            </w:pPr>
            <w:r w:rsidRPr="007C4847">
              <w:rPr>
                <w:bCs/>
              </w:rPr>
              <w:t>(82,542)</w:t>
            </w:r>
          </w:p>
        </w:tc>
        <w:tc>
          <w:tcPr>
            <w:tcW w:w="1275" w:type="dxa"/>
            <w:tcBorders>
              <w:top w:val="nil"/>
              <w:left w:val="nil"/>
              <w:bottom w:val="nil"/>
              <w:right w:val="nil"/>
            </w:tcBorders>
            <w:vAlign w:val="center"/>
          </w:tcPr>
          <w:p w14:paraId="68658312" w14:textId="77777777" w:rsidR="002D6C57" w:rsidRPr="007C4847" w:rsidRDefault="002D6C57" w:rsidP="003E2F38">
            <w:pPr>
              <w:jc w:val="right"/>
              <w:rPr>
                <w:bCs/>
              </w:rPr>
            </w:pPr>
            <w:r w:rsidRPr="007C4847">
              <w:rPr>
                <w:bCs/>
              </w:rPr>
              <w:t>(187)</w:t>
            </w:r>
          </w:p>
        </w:tc>
        <w:tc>
          <w:tcPr>
            <w:tcW w:w="1276" w:type="dxa"/>
            <w:tcBorders>
              <w:top w:val="nil"/>
              <w:left w:val="nil"/>
              <w:bottom w:val="nil"/>
              <w:right w:val="nil"/>
            </w:tcBorders>
            <w:vAlign w:val="center"/>
          </w:tcPr>
          <w:p w14:paraId="196248D8" w14:textId="77777777" w:rsidR="002D6C57" w:rsidRPr="007C4847" w:rsidRDefault="002D6C57" w:rsidP="003E2F38">
            <w:pPr>
              <w:jc w:val="right"/>
              <w:rPr>
                <w:bCs/>
              </w:rPr>
            </w:pPr>
            <w:r w:rsidRPr="007C4847">
              <w:rPr>
                <w:bCs/>
              </w:rPr>
              <w:t>(15,767)</w:t>
            </w:r>
          </w:p>
        </w:tc>
        <w:tc>
          <w:tcPr>
            <w:tcW w:w="1418" w:type="dxa"/>
            <w:tcBorders>
              <w:top w:val="nil"/>
              <w:left w:val="nil"/>
              <w:bottom w:val="nil"/>
              <w:right w:val="nil"/>
            </w:tcBorders>
            <w:vAlign w:val="center"/>
          </w:tcPr>
          <w:p w14:paraId="6A91513F" w14:textId="77777777" w:rsidR="002D6C57" w:rsidRPr="007C4847" w:rsidRDefault="002D6C57" w:rsidP="003E2F38">
            <w:pPr>
              <w:jc w:val="right"/>
              <w:rPr>
                <w:bCs/>
              </w:rPr>
            </w:pPr>
            <w:r w:rsidRPr="007C4847">
              <w:rPr>
                <w:bCs/>
              </w:rPr>
              <w:t>(138,870)</w:t>
            </w:r>
          </w:p>
        </w:tc>
      </w:tr>
      <w:tr w:rsidR="002D6C57" w:rsidRPr="00C328EF" w14:paraId="0EDFF0E5" w14:textId="77777777" w:rsidTr="003E2F38">
        <w:tc>
          <w:tcPr>
            <w:tcW w:w="3119" w:type="dxa"/>
            <w:tcBorders>
              <w:top w:val="nil"/>
              <w:left w:val="nil"/>
              <w:bottom w:val="nil"/>
              <w:right w:val="nil"/>
            </w:tcBorders>
          </w:tcPr>
          <w:p w14:paraId="26BB59E1" w14:textId="77777777" w:rsidR="002D6C57" w:rsidRPr="007C4847" w:rsidRDefault="002D6C57" w:rsidP="003E2F38">
            <w:pPr>
              <w:ind w:left="397"/>
            </w:pPr>
          </w:p>
        </w:tc>
        <w:tc>
          <w:tcPr>
            <w:tcW w:w="1701" w:type="dxa"/>
            <w:tcBorders>
              <w:top w:val="nil"/>
              <w:left w:val="nil"/>
              <w:bottom w:val="nil"/>
              <w:right w:val="nil"/>
            </w:tcBorders>
          </w:tcPr>
          <w:p w14:paraId="7C73DC62" w14:textId="77777777" w:rsidR="002D6C57" w:rsidRPr="007C4847" w:rsidRDefault="002D6C57" w:rsidP="003E2F38">
            <w:pPr>
              <w:jc w:val="right"/>
            </w:pPr>
            <w:r w:rsidRPr="007C4847">
              <w:rPr>
                <w:spacing w:val="-2"/>
              </w:rPr>
              <w:t>───────</w:t>
            </w:r>
          </w:p>
        </w:tc>
        <w:tc>
          <w:tcPr>
            <w:tcW w:w="1276" w:type="dxa"/>
            <w:tcBorders>
              <w:top w:val="nil"/>
              <w:left w:val="nil"/>
              <w:bottom w:val="nil"/>
              <w:right w:val="nil"/>
            </w:tcBorders>
          </w:tcPr>
          <w:p w14:paraId="03DA9F08" w14:textId="77777777" w:rsidR="002D6C57" w:rsidRPr="007C4847" w:rsidRDefault="002D6C57" w:rsidP="003E2F38">
            <w:pPr>
              <w:jc w:val="right"/>
            </w:pPr>
            <w:r w:rsidRPr="007C4847">
              <w:rPr>
                <w:spacing w:val="-2"/>
              </w:rPr>
              <w:t>───────</w:t>
            </w:r>
          </w:p>
        </w:tc>
        <w:tc>
          <w:tcPr>
            <w:tcW w:w="1275" w:type="dxa"/>
            <w:tcBorders>
              <w:top w:val="nil"/>
              <w:left w:val="nil"/>
              <w:bottom w:val="nil"/>
              <w:right w:val="nil"/>
            </w:tcBorders>
          </w:tcPr>
          <w:p w14:paraId="75139A18" w14:textId="77777777" w:rsidR="002D6C57" w:rsidRPr="007C4847" w:rsidRDefault="002D6C57" w:rsidP="003E2F38">
            <w:pPr>
              <w:jc w:val="right"/>
            </w:pPr>
            <w:r w:rsidRPr="007C4847">
              <w:rPr>
                <w:spacing w:val="-2"/>
              </w:rPr>
              <w:t>───────</w:t>
            </w:r>
          </w:p>
        </w:tc>
        <w:tc>
          <w:tcPr>
            <w:tcW w:w="1276" w:type="dxa"/>
            <w:tcBorders>
              <w:top w:val="nil"/>
              <w:left w:val="nil"/>
              <w:bottom w:val="nil"/>
              <w:right w:val="nil"/>
            </w:tcBorders>
          </w:tcPr>
          <w:p w14:paraId="0C0B80A9" w14:textId="77777777" w:rsidR="002D6C57" w:rsidRPr="007C4847" w:rsidRDefault="002D6C57" w:rsidP="003E2F38">
            <w:pPr>
              <w:jc w:val="right"/>
            </w:pPr>
            <w:r w:rsidRPr="007C4847">
              <w:rPr>
                <w:spacing w:val="-2"/>
              </w:rPr>
              <w:t>───────</w:t>
            </w:r>
          </w:p>
        </w:tc>
        <w:tc>
          <w:tcPr>
            <w:tcW w:w="1418" w:type="dxa"/>
            <w:tcBorders>
              <w:top w:val="nil"/>
              <w:left w:val="nil"/>
              <w:bottom w:val="nil"/>
              <w:right w:val="nil"/>
            </w:tcBorders>
          </w:tcPr>
          <w:p w14:paraId="30538346" w14:textId="77777777" w:rsidR="002D6C57" w:rsidRPr="007C4847" w:rsidRDefault="002D6C57" w:rsidP="003E2F38">
            <w:pPr>
              <w:jc w:val="right"/>
            </w:pPr>
            <w:r w:rsidRPr="007C4847">
              <w:rPr>
                <w:spacing w:val="-2"/>
              </w:rPr>
              <w:t>───────</w:t>
            </w:r>
          </w:p>
        </w:tc>
      </w:tr>
      <w:tr w:rsidR="002D6C57" w:rsidRPr="00C328EF" w14:paraId="1F7AA860" w14:textId="77777777" w:rsidTr="003E2F38">
        <w:tc>
          <w:tcPr>
            <w:tcW w:w="3119" w:type="dxa"/>
            <w:tcBorders>
              <w:top w:val="nil"/>
              <w:left w:val="nil"/>
              <w:bottom w:val="nil"/>
              <w:right w:val="nil"/>
            </w:tcBorders>
          </w:tcPr>
          <w:p w14:paraId="40293A36" w14:textId="77777777" w:rsidR="002D6C57" w:rsidRPr="007C4847" w:rsidRDefault="002D6C57" w:rsidP="003E2F38">
            <w:pPr>
              <w:ind w:left="397"/>
              <w:rPr>
                <w:b/>
              </w:rPr>
            </w:pPr>
            <w:r w:rsidRPr="007C4847">
              <w:rPr>
                <w:b/>
              </w:rPr>
              <w:t>Net book value</w:t>
            </w:r>
          </w:p>
        </w:tc>
        <w:tc>
          <w:tcPr>
            <w:tcW w:w="1701" w:type="dxa"/>
            <w:tcBorders>
              <w:top w:val="nil"/>
              <w:left w:val="nil"/>
              <w:bottom w:val="nil"/>
              <w:right w:val="nil"/>
            </w:tcBorders>
          </w:tcPr>
          <w:p w14:paraId="08AB0C3A" w14:textId="77777777" w:rsidR="002D6C57" w:rsidRPr="007C4847" w:rsidRDefault="002D6C57" w:rsidP="003E2F38">
            <w:pPr>
              <w:jc w:val="right"/>
            </w:pPr>
          </w:p>
        </w:tc>
        <w:tc>
          <w:tcPr>
            <w:tcW w:w="1276" w:type="dxa"/>
            <w:tcBorders>
              <w:top w:val="nil"/>
              <w:left w:val="nil"/>
              <w:bottom w:val="nil"/>
              <w:right w:val="nil"/>
            </w:tcBorders>
          </w:tcPr>
          <w:p w14:paraId="2500C20C" w14:textId="77777777" w:rsidR="002D6C57" w:rsidRPr="007C4847" w:rsidRDefault="002D6C57" w:rsidP="003E2F38">
            <w:pPr>
              <w:jc w:val="right"/>
            </w:pPr>
          </w:p>
        </w:tc>
        <w:tc>
          <w:tcPr>
            <w:tcW w:w="1275" w:type="dxa"/>
            <w:tcBorders>
              <w:top w:val="nil"/>
              <w:left w:val="nil"/>
              <w:bottom w:val="nil"/>
              <w:right w:val="nil"/>
            </w:tcBorders>
          </w:tcPr>
          <w:p w14:paraId="292109F2" w14:textId="77777777" w:rsidR="002D6C57" w:rsidRPr="007C4847" w:rsidRDefault="002D6C57" w:rsidP="003E2F38">
            <w:pPr>
              <w:jc w:val="right"/>
            </w:pPr>
          </w:p>
        </w:tc>
        <w:tc>
          <w:tcPr>
            <w:tcW w:w="1276" w:type="dxa"/>
            <w:tcBorders>
              <w:top w:val="nil"/>
              <w:left w:val="nil"/>
              <w:bottom w:val="nil"/>
              <w:right w:val="nil"/>
            </w:tcBorders>
          </w:tcPr>
          <w:p w14:paraId="73875C9B" w14:textId="77777777" w:rsidR="002D6C57" w:rsidRPr="007C4847" w:rsidRDefault="002D6C57" w:rsidP="003E2F38">
            <w:pPr>
              <w:jc w:val="right"/>
            </w:pPr>
          </w:p>
        </w:tc>
        <w:tc>
          <w:tcPr>
            <w:tcW w:w="1418" w:type="dxa"/>
            <w:tcBorders>
              <w:top w:val="nil"/>
              <w:left w:val="nil"/>
              <w:bottom w:val="nil"/>
              <w:right w:val="nil"/>
            </w:tcBorders>
          </w:tcPr>
          <w:p w14:paraId="2AF8A264" w14:textId="77777777" w:rsidR="002D6C57" w:rsidRPr="007C4847" w:rsidRDefault="002D6C57" w:rsidP="003E2F38">
            <w:pPr>
              <w:jc w:val="right"/>
            </w:pPr>
          </w:p>
        </w:tc>
      </w:tr>
      <w:tr w:rsidR="002D6C57" w:rsidRPr="00C328EF" w14:paraId="457FA5EE" w14:textId="77777777" w:rsidTr="003E2F38">
        <w:tc>
          <w:tcPr>
            <w:tcW w:w="3119" w:type="dxa"/>
            <w:tcBorders>
              <w:top w:val="nil"/>
              <w:left w:val="nil"/>
              <w:bottom w:val="nil"/>
              <w:right w:val="nil"/>
            </w:tcBorders>
          </w:tcPr>
          <w:p w14:paraId="3F9A40BE" w14:textId="77777777" w:rsidR="002D6C57" w:rsidRPr="007C4847" w:rsidRDefault="002D6C57" w:rsidP="003E2F38">
            <w:pPr>
              <w:ind w:left="397"/>
              <w:rPr>
                <w:b/>
              </w:rPr>
            </w:pPr>
            <w:r w:rsidRPr="007C4847">
              <w:rPr>
                <w:b/>
              </w:rPr>
              <w:t>At 3</w:t>
            </w:r>
            <w:r>
              <w:rPr>
                <w:b/>
              </w:rPr>
              <w:t>0</w:t>
            </w:r>
            <w:r w:rsidRPr="007C4847">
              <w:rPr>
                <w:b/>
              </w:rPr>
              <w:t xml:space="preserve"> December 2023</w:t>
            </w:r>
          </w:p>
        </w:tc>
        <w:tc>
          <w:tcPr>
            <w:tcW w:w="1701" w:type="dxa"/>
            <w:tcBorders>
              <w:top w:val="nil"/>
              <w:left w:val="nil"/>
              <w:bottom w:val="nil"/>
              <w:right w:val="nil"/>
            </w:tcBorders>
            <w:vAlign w:val="center"/>
          </w:tcPr>
          <w:p w14:paraId="1BB29902" w14:textId="77777777" w:rsidR="002D6C57" w:rsidRPr="007C4847" w:rsidRDefault="002D6C57" w:rsidP="003E2F38">
            <w:pPr>
              <w:jc w:val="right"/>
              <w:rPr>
                <w:bCs/>
              </w:rPr>
            </w:pPr>
            <w:r w:rsidRPr="007C4847">
              <w:rPr>
                <w:bCs/>
              </w:rPr>
              <w:t>83,968</w:t>
            </w:r>
          </w:p>
        </w:tc>
        <w:tc>
          <w:tcPr>
            <w:tcW w:w="1276" w:type="dxa"/>
            <w:tcBorders>
              <w:top w:val="nil"/>
              <w:left w:val="nil"/>
              <w:bottom w:val="nil"/>
              <w:right w:val="nil"/>
            </w:tcBorders>
            <w:vAlign w:val="center"/>
          </w:tcPr>
          <w:p w14:paraId="2DA4AF5B" w14:textId="77777777" w:rsidR="002D6C57" w:rsidRPr="007C4847" w:rsidRDefault="002D6C57" w:rsidP="003E2F38">
            <w:pPr>
              <w:jc w:val="right"/>
              <w:rPr>
                <w:bCs/>
              </w:rPr>
            </w:pPr>
            <w:r w:rsidRPr="007C4847">
              <w:rPr>
                <w:bCs/>
              </w:rPr>
              <w:t>64,322</w:t>
            </w:r>
          </w:p>
        </w:tc>
        <w:tc>
          <w:tcPr>
            <w:tcW w:w="1275" w:type="dxa"/>
            <w:tcBorders>
              <w:top w:val="nil"/>
              <w:left w:val="nil"/>
              <w:bottom w:val="nil"/>
              <w:right w:val="nil"/>
            </w:tcBorders>
            <w:vAlign w:val="center"/>
          </w:tcPr>
          <w:p w14:paraId="21E7F06E" w14:textId="77777777" w:rsidR="002D6C57" w:rsidRPr="007C4847" w:rsidRDefault="002D6C57" w:rsidP="003E2F38">
            <w:pPr>
              <w:jc w:val="right"/>
              <w:rPr>
                <w:bCs/>
              </w:rPr>
            </w:pPr>
            <w:r w:rsidRPr="007C4847">
              <w:rPr>
                <w:bCs/>
              </w:rPr>
              <w:t>77</w:t>
            </w:r>
          </w:p>
        </w:tc>
        <w:tc>
          <w:tcPr>
            <w:tcW w:w="1276" w:type="dxa"/>
            <w:tcBorders>
              <w:top w:val="nil"/>
              <w:left w:val="nil"/>
              <w:bottom w:val="nil"/>
              <w:right w:val="nil"/>
            </w:tcBorders>
            <w:vAlign w:val="center"/>
          </w:tcPr>
          <w:p w14:paraId="59FF728B" w14:textId="77777777" w:rsidR="002D6C57" w:rsidRPr="007C4847" w:rsidRDefault="002D6C57" w:rsidP="003E2F38">
            <w:pPr>
              <w:jc w:val="right"/>
              <w:rPr>
                <w:bCs/>
              </w:rPr>
            </w:pPr>
            <w:r w:rsidRPr="007C4847">
              <w:rPr>
                <w:bCs/>
              </w:rPr>
              <w:t>11,008</w:t>
            </w:r>
          </w:p>
        </w:tc>
        <w:tc>
          <w:tcPr>
            <w:tcW w:w="1418" w:type="dxa"/>
            <w:tcBorders>
              <w:top w:val="nil"/>
              <w:left w:val="nil"/>
              <w:bottom w:val="nil"/>
              <w:right w:val="nil"/>
            </w:tcBorders>
            <w:vAlign w:val="center"/>
          </w:tcPr>
          <w:p w14:paraId="37DA1C62" w14:textId="77777777" w:rsidR="002D6C57" w:rsidRPr="007C4847" w:rsidRDefault="002D6C57" w:rsidP="003E2F38">
            <w:pPr>
              <w:jc w:val="right"/>
              <w:rPr>
                <w:bCs/>
              </w:rPr>
            </w:pPr>
            <w:r w:rsidRPr="007C4847">
              <w:rPr>
                <w:bCs/>
              </w:rPr>
              <w:t>159,375</w:t>
            </w:r>
          </w:p>
        </w:tc>
      </w:tr>
      <w:tr w:rsidR="002D6C57" w:rsidRPr="00C328EF" w14:paraId="163B1BBF" w14:textId="77777777" w:rsidTr="003E2F38">
        <w:tc>
          <w:tcPr>
            <w:tcW w:w="3119" w:type="dxa"/>
          </w:tcPr>
          <w:p w14:paraId="4D0D7C7E" w14:textId="77777777" w:rsidR="002D6C57" w:rsidRPr="007C4847" w:rsidRDefault="002D6C57" w:rsidP="003E2F38">
            <w:pPr>
              <w:ind w:left="397"/>
            </w:pPr>
          </w:p>
        </w:tc>
        <w:tc>
          <w:tcPr>
            <w:tcW w:w="1701" w:type="dxa"/>
          </w:tcPr>
          <w:p w14:paraId="196DD03B" w14:textId="77777777" w:rsidR="002D6C57" w:rsidRPr="007C4847" w:rsidRDefault="002D6C57" w:rsidP="003E2F38">
            <w:pPr>
              <w:jc w:val="right"/>
            </w:pPr>
            <w:r w:rsidRPr="007C4847">
              <w:t>═══════</w:t>
            </w:r>
          </w:p>
        </w:tc>
        <w:tc>
          <w:tcPr>
            <w:tcW w:w="1276" w:type="dxa"/>
          </w:tcPr>
          <w:p w14:paraId="24DA34D6" w14:textId="77777777" w:rsidR="002D6C57" w:rsidRPr="007C4847" w:rsidRDefault="002D6C57" w:rsidP="003E2F38">
            <w:pPr>
              <w:jc w:val="right"/>
            </w:pPr>
            <w:r w:rsidRPr="007C4847">
              <w:t>═══════</w:t>
            </w:r>
          </w:p>
        </w:tc>
        <w:tc>
          <w:tcPr>
            <w:tcW w:w="1275" w:type="dxa"/>
          </w:tcPr>
          <w:p w14:paraId="6229C191" w14:textId="77777777" w:rsidR="002D6C57" w:rsidRPr="007C4847" w:rsidRDefault="002D6C57" w:rsidP="003E2F38">
            <w:pPr>
              <w:jc w:val="right"/>
            </w:pPr>
            <w:r w:rsidRPr="007C4847">
              <w:t>═══════</w:t>
            </w:r>
          </w:p>
        </w:tc>
        <w:tc>
          <w:tcPr>
            <w:tcW w:w="1276" w:type="dxa"/>
          </w:tcPr>
          <w:p w14:paraId="76F3D0FB" w14:textId="77777777" w:rsidR="002D6C57" w:rsidRPr="007C4847" w:rsidRDefault="002D6C57" w:rsidP="003E2F38">
            <w:pPr>
              <w:jc w:val="right"/>
            </w:pPr>
            <w:r w:rsidRPr="007C4847">
              <w:t>═══════</w:t>
            </w:r>
          </w:p>
        </w:tc>
        <w:tc>
          <w:tcPr>
            <w:tcW w:w="1418" w:type="dxa"/>
          </w:tcPr>
          <w:p w14:paraId="02A53050" w14:textId="77777777" w:rsidR="002D6C57" w:rsidRPr="007C4847" w:rsidRDefault="002D6C57" w:rsidP="003E2F38">
            <w:pPr>
              <w:jc w:val="right"/>
            </w:pPr>
            <w:r w:rsidRPr="007C4847">
              <w:t>═══════</w:t>
            </w:r>
          </w:p>
        </w:tc>
      </w:tr>
      <w:tr w:rsidR="002D6C57" w:rsidRPr="00C328EF" w14:paraId="361B2394" w14:textId="77777777" w:rsidTr="003E2F38">
        <w:tc>
          <w:tcPr>
            <w:tcW w:w="3119" w:type="dxa"/>
          </w:tcPr>
          <w:p w14:paraId="74A42815" w14:textId="77777777" w:rsidR="002D6C57" w:rsidRPr="007C4847" w:rsidRDefault="002D6C57" w:rsidP="003E2F38">
            <w:pPr>
              <w:ind w:left="397"/>
              <w:rPr>
                <w:b/>
              </w:rPr>
            </w:pPr>
            <w:r w:rsidRPr="007C4847">
              <w:rPr>
                <w:b/>
              </w:rPr>
              <w:t>Net book value</w:t>
            </w:r>
          </w:p>
        </w:tc>
        <w:tc>
          <w:tcPr>
            <w:tcW w:w="1701" w:type="dxa"/>
          </w:tcPr>
          <w:p w14:paraId="58A2993A" w14:textId="77777777" w:rsidR="002D6C57" w:rsidRPr="007C4847" w:rsidRDefault="002D6C57" w:rsidP="003E2F38">
            <w:pPr>
              <w:jc w:val="right"/>
            </w:pPr>
          </w:p>
        </w:tc>
        <w:tc>
          <w:tcPr>
            <w:tcW w:w="1276" w:type="dxa"/>
          </w:tcPr>
          <w:p w14:paraId="70DD199D" w14:textId="77777777" w:rsidR="002D6C57" w:rsidRPr="007C4847" w:rsidRDefault="002D6C57" w:rsidP="003E2F38">
            <w:pPr>
              <w:jc w:val="right"/>
            </w:pPr>
          </w:p>
        </w:tc>
        <w:tc>
          <w:tcPr>
            <w:tcW w:w="1275" w:type="dxa"/>
          </w:tcPr>
          <w:p w14:paraId="6D2C8A2D" w14:textId="77777777" w:rsidR="002D6C57" w:rsidRPr="007C4847" w:rsidRDefault="002D6C57" w:rsidP="003E2F38">
            <w:pPr>
              <w:jc w:val="right"/>
            </w:pPr>
          </w:p>
        </w:tc>
        <w:tc>
          <w:tcPr>
            <w:tcW w:w="1276" w:type="dxa"/>
          </w:tcPr>
          <w:p w14:paraId="60BDE126" w14:textId="77777777" w:rsidR="002D6C57" w:rsidRPr="007C4847" w:rsidRDefault="002D6C57" w:rsidP="003E2F38">
            <w:pPr>
              <w:jc w:val="right"/>
            </w:pPr>
          </w:p>
        </w:tc>
        <w:tc>
          <w:tcPr>
            <w:tcW w:w="1418" w:type="dxa"/>
          </w:tcPr>
          <w:p w14:paraId="6F7351EF" w14:textId="77777777" w:rsidR="002D6C57" w:rsidRPr="007C4847" w:rsidRDefault="002D6C57" w:rsidP="003E2F38">
            <w:pPr>
              <w:jc w:val="right"/>
            </w:pPr>
          </w:p>
        </w:tc>
      </w:tr>
      <w:tr w:rsidR="002D6C57" w:rsidRPr="00C328EF" w14:paraId="4A5C7B6F" w14:textId="77777777" w:rsidTr="003E2F38">
        <w:tc>
          <w:tcPr>
            <w:tcW w:w="3119" w:type="dxa"/>
            <w:tcBorders>
              <w:top w:val="nil"/>
              <w:left w:val="nil"/>
              <w:bottom w:val="nil"/>
              <w:right w:val="nil"/>
            </w:tcBorders>
          </w:tcPr>
          <w:p w14:paraId="4A30B204" w14:textId="77777777" w:rsidR="002D6C57" w:rsidRPr="007C4847" w:rsidRDefault="002D6C57" w:rsidP="003E2F38">
            <w:pPr>
              <w:ind w:left="397"/>
              <w:rPr>
                <w:b/>
              </w:rPr>
            </w:pPr>
            <w:r w:rsidRPr="007C4847">
              <w:rPr>
                <w:b/>
              </w:rPr>
              <w:t>At 31 December 2022</w:t>
            </w:r>
          </w:p>
        </w:tc>
        <w:tc>
          <w:tcPr>
            <w:tcW w:w="1701" w:type="dxa"/>
            <w:tcBorders>
              <w:top w:val="nil"/>
              <w:left w:val="nil"/>
              <w:bottom w:val="nil"/>
              <w:right w:val="nil"/>
            </w:tcBorders>
            <w:vAlign w:val="center"/>
          </w:tcPr>
          <w:p w14:paraId="492A27B5" w14:textId="77777777" w:rsidR="002D6C57" w:rsidRPr="007C4847" w:rsidRDefault="002D6C57" w:rsidP="003E2F38">
            <w:pPr>
              <w:jc w:val="right"/>
              <w:rPr>
                <w:bCs/>
              </w:rPr>
            </w:pPr>
            <w:r w:rsidRPr="007C4847">
              <w:rPr>
                <w:bCs/>
              </w:rPr>
              <w:t>91,556</w:t>
            </w:r>
          </w:p>
        </w:tc>
        <w:tc>
          <w:tcPr>
            <w:tcW w:w="1276" w:type="dxa"/>
            <w:tcBorders>
              <w:top w:val="nil"/>
              <w:left w:val="nil"/>
              <w:bottom w:val="nil"/>
              <w:right w:val="nil"/>
            </w:tcBorders>
            <w:vAlign w:val="center"/>
          </w:tcPr>
          <w:p w14:paraId="714225F0" w14:textId="77777777" w:rsidR="002D6C57" w:rsidRPr="007C4847" w:rsidRDefault="002D6C57" w:rsidP="003E2F38">
            <w:pPr>
              <w:jc w:val="right"/>
              <w:rPr>
                <w:bCs/>
              </w:rPr>
            </w:pPr>
            <w:r w:rsidRPr="007C4847">
              <w:rPr>
                <w:bCs/>
              </w:rPr>
              <w:t>74,261</w:t>
            </w:r>
          </w:p>
        </w:tc>
        <w:tc>
          <w:tcPr>
            <w:tcW w:w="1275" w:type="dxa"/>
            <w:tcBorders>
              <w:top w:val="nil"/>
              <w:left w:val="nil"/>
              <w:bottom w:val="nil"/>
              <w:right w:val="nil"/>
            </w:tcBorders>
            <w:vAlign w:val="center"/>
          </w:tcPr>
          <w:p w14:paraId="11B66A91" w14:textId="77777777" w:rsidR="002D6C57" w:rsidRPr="007C4847" w:rsidRDefault="002D6C57" w:rsidP="003E2F38">
            <w:pPr>
              <w:jc w:val="right"/>
              <w:rPr>
                <w:bCs/>
              </w:rPr>
            </w:pPr>
            <w:r w:rsidRPr="007C4847">
              <w:rPr>
                <w:bCs/>
              </w:rPr>
              <w:t>59</w:t>
            </w:r>
          </w:p>
        </w:tc>
        <w:tc>
          <w:tcPr>
            <w:tcW w:w="1276" w:type="dxa"/>
            <w:tcBorders>
              <w:top w:val="nil"/>
              <w:left w:val="nil"/>
              <w:bottom w:val="nil"/>
              <w:right w:val="nil"/>
            </w:tcBorders>
            <w:vAlign w:val="center"/>
          </w:tcPr>
          <w:p w14:paraId="1E22F240" w14:textId="77777777" w:rsidR="002D6C57" w:rsidRPr="007C4847" w:rsidRDefault="002D6C57" w:rsidP="003E2F38">
            <w:pPr>
              <w:jc w:val="right"/>
              <w:rPr>
                <w:bCs/>
              </w:rPr>
            </w:pPr>
            <w:r w:rsidRPr="007C4847">
              <w:rPr>
                <w:bCs/>
              </w:rPr>
              <w:t>6,311</w:t>
            </w:r>
          </w:p>
        </w:tc>
        <w:tc>
          <w:tcPr>
            <w:tcW w:w="1418" w:type="dxa"/>
            <w:tcBorders>
              <w:top w:val="nil"/>
              <w:left w:val="nil"/>
              <w:bottom w:val="nil"/>
              <w:right w:val="nil"/>
            </w:tcBorders>
            <w:vAlign w:val="center"/>
          </w:tcPr>
          <w:p w14:paraId="3DB45638" w14:textId="77777777" w:rsidR="002D6C57" w:rsidRPr="007C4847" w:rsidRDefault="002D6C57" w:rsidP="003E2F38">
            <w:pPr>
              <w:jc w:val="right"/>
              <w:rPr>
                <w:bCs/>
              </w:rPr>
            </w:pPr>
            <w:r w:rsidRPr="007C4847">
              <w:rPr>
                <w:bCs/>
              </w:rPr>
              <w:t>172,187</w:t>
            </w:r>
          </w:p>
        </w:tc>
      </w:tr>
      <w:tr w:rsidR="002D6C57" w:rsidRPr="00C328EF" w14:paraId="1C0286EC" w14:textId="77777777" w:rsidTr="003E2F38">
        <w:tc>
          <w:tcPr>
            <w:tcW w:w="3119" w:type="dxa"/>
          </w:tcPr>
          <w:p w14:paraId="58F82A0A" w14:textId="77777777" w:rsidR="002D6C57" w:rsidRPr="007C4847" w:rsidRDefault="002D6C57" w:rsidP="003E2F38"/>
        </w:tc>
        <w:tc>
          <w:tcPr>
            <w:tcW w:w="1701" w:type="dxa"/>
          </w:tcPr>
          <w:p w14:paraId="43719DDF" w14:textId="77777777" w:rsidR="002D6C57" w:rsidRPr="007C4847" w:rsidRDefault="002D6C57" w:rsidP="003E2F38">
            <w:pPr>
              <w:jc w:val="right"/>
            </w:pPr>
            <w:r w:rsidRPr="007C4847">
              <w:t>═══════</w:t>
            </w:r>
          </w:p>
        </w:tc>
        <w:tc>
          <w:tcPr>
            <w:tcW w:w="1276" w:type="dxa"/>
          </w:tcPr>
          <w:p w14:paraId="78C23E7D" w14:textId="77777777" w:rsidR="002D6C57" w:rsidRPr="007C4847" w:rsidRDefault="002D6C57" w:rsidP="003E2F38">
            <w:pPr>
              <w:jc w:val="right"/>
            </w:pPr>
            <w:r w:rsidRPr="007C4847">
              <w:t>═══════</w:t>
            </w:r>
          </w:p>
        </w:tc>
        <w:tc>
          <w:tcPr>
            <w:tcW w:w="1275" w:type="dxa"/>
          </w:tcPr>
          <w:p w14:paraId="4EE43061" w14:textId="77777777" w:rsidR="002D6C57" w:rsidRPr="007C4847" w:rsidRDefault="002D6C57" w:rsidP="003E2F38">
            <w:pPr>
              <w:jc w:val="right"/>
            </w:pPr>
            <w:r w:rsidRPr="007C4847">
              <w:t>═══════</w:t>
            </w:r>
          </w:p>
        </w:tc>
        <w:tc>
          <w:tcPr>
            <w:tcW w:w="1276" w:type="dxa"/>
          </w:tcPr>
          <w:p w14:paraId="2320D387" w14:textId="77777777" w:rsidR="002D6C57" w:rsidRPr="007C4847" w:rsidRDefault="002D6C57" w:rsidP="003E2F38">
            <w:pPr>
              <w:jc w:val="right"/>
            </w:pPr>
            <w:r w:rsidRPr="007C4847">
              <w:t>═══════</w:t>
            </w:r>
          </w:p>
        </w:tc>
        <w:tc>
          <w:tcPr>
            <w:tcW w:w="1418" w:type="dxa"/>
          </w:tcPr>
          <w:p w14:paraId="3D5FB729" w14:textId="77777777" w:rsidR="002D6C57" w:rsidRPr="007C4847" w:rsidRDefault="002D6C57" w:rsidP="003E2F38">
            <w:pPr>
              <w:jc w:val="right"/>
            </w:pPr>
            <w:r w:rsidRPr="007C4847">
              <w:t>═══════</w:t>
            </w:r>
          </w:p>
        </w:tc>
      </w:tr>
    </w:tbl>
    <w:p w14:paraId="27FEDC36" w14:textId="77777777" w:rsidR="002D6C57" w:rsidRDefault="002D6C57" w:rsidP="002D6C57">
      <w:pPr>
        <w:tabs>
          <w:tab w:val="left" w:pos="465"/>
        </w:tabs>
        <w:ind w:left="78"/>
        <w:rPr>
          <w:b/>
          <w:highlight w:val="yellow"/>
        </w:rPr>
      </w:pPr>
    </w:p>
    <w:p w14:paraId="7752BA3D" w14:textId="77777777" w:rsidR="00A20711" w:rsidRPr="00F45179" w:rsidRDefault="007C3FD2" w:rsidP="00A20711">
      <w:pPr>
        <w:ind w:left="78"/>
        <w:jc w:val="center"/>
        <w:rPr>
          <w:b/>
        </w:rPr>
      </w:pPr>
      <w:r w:rsidRPr="002D6C57">
        <w:rPr>
          <w:highlight w:val="yellow"/>
        </w:rPr>
        <w:br w:type="page"/>
      </w:r>
      <w:r w:rsidR="005404A5" w:rsidRPr="00F45179">
        <w:rPr>
          <w:b/>
        </w:rPr>
        <w:lastRenderedPageBreak/>
        <w:t>TRANSPORT FOR EDINBURGH LIMITED</w:t>
      </w:r>
    </w:p>
    <w:p w14:paraId="3BBF9FF6" w14:textId="77777777" w:rsidR="00A20711" w:rsidRPr="00F45179" w:rsidRDefault="00A20711" w:rsidP="00A20711">
      <w:pPr>
        <w:jc w:val="center"/>
        <w:rPr>
          <w:b/>
        </w:rPr>
      </w:pPr>
    </w:p>
    <w:p w14:paraId="41686620" w14:textId="77777777" w:rsidR="00A20711" w:rsidRPr="00F45179" w:rsidRDefault="00A20711" w:rsidP="00A20711">
      <w:pPr>
        <w:jc w:val="center"/>
        <w:rPr>
          <w:b/>
        </w:rPr>
      </w:pPr>
      <w:r w:rsidRPr="00F45179">
        <w:rPr>
          <w:b/>
        </w:rPr>
        <w:t>Notes to the Financial Statements (continued)</w:t>
      </w:r>
    </w:p>
    <w:p w14:paraId="5D22B795" w14:textId="77777777" w:rsidR="00A20711" w:rsidRPr="00F45179" w:rsidRDefault="00A20711" w:rsidP="00A20711">
      <w:pPr>
        <w:jc w:val="center"/>
        <w:rPr>
          <w:b/>
        </w:rPr>
      </w:pPr>
    </w:p>
    <w:p w14:paraId="17E9C6CB" w14:textId="77777777" w:rsidR="00A20711" w:rsidRPr="00F45179" w:rsidRDefault="00D90B89" w:rsidP="00A20711">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7E7C104A" w14:textId="77777777" w:rsidR="00A20711" w:rsidRPr="009A7722" w:rsidRDefault="00A20711" w:rsidP="00C87660">
      <w:pPr>
        <w:jc w:val="both"/>
      </w:pPr>
    </w:p>
    <w:p w14:paraId="7889F013" w14:textId="77777777" w:rsidR="00712A2B" w:rsidRDefault="00712A2B" w:rsidP="00C87660">
      <w:pPr>
        <w:jc w:val="both"/>
      </w:pPr>
    </w:p>
    <w:p w14:paraId="5ECBF938" w14:textId="77777777" w:rsidR="002D6C57" w:rsidRPr="00D40104" w:rsidRDefault="002D6C57" w:rsidP="002D6C57">
      <w:pPr>
        <w:ind w:left="-142"/>
      </w:pPr>
    </w:p>
    <w:p w14:paraId="5224BDF9" w14:textId="77777777" w:rsidR="002D6C57" w:rsidRPr="00D40104" w:rsidRDefault="002D6C57" w:rsidP="001E357F">
      <w:pPr>
        <w:ind w:left="567" w:hanging="425"/>
        <w:rPr>
          <w:b/>
        </w:rPr>
      </w:pPr>
      <w:r>
        <w:rPr>
          <w:b/>
        </w:rPr>
        <w:t xml:space="preserve">   </w:t>
      </w:r>
      <w:r w:rsidR="001E357F">
        <w:rPr>
          <w:b/>
        </w:rPr>
        <w:t>8.</w:t>
      </w:r>
      <w:r>
        <w:rPr>
          <w:b/>
        </w:rPr>
        <w:t xml:space="preserve">  </w:t>
      </w:r>
      <w:r w:rsidR="001E357F">
        <w:rPr>
          <w:b/>
        </w:rPr>
        <w:t xml:space="preserve">  </w:t>
      </w:r>
      <w:r w:rsidRPr="00D40104">
        <w:rPr>
          <w:b/>
        </w:rPr>
        <w:t>Property, plant and equipment</w:t>
      </w:r>
      <w:r>
        <w:rPr>
          <w:b/>
        </w:rPr>
        <w:t xml:space="preserve"> (continued)</w:t>
      </w:r>
    </w:p>
    <w:p w14:paraId="6698D11F" w14:textId="77777777" w:rsidR="002D6C57" w:rsidRPr="00E36665" w:rsidRDefault="002D6C57" w:rsidP="00C87660">
      <w:pPr>
        <w:jc w:val="both"/>
      </w:pPr>
    </w:p>
    <w:p w14:paraId="0F9B8009" w14:textId="77777777" w:rsidR="00C61856" w:rsidRPr="00E36665" w:rsidRDefault="00C61856" w:rsidP="006B74D3">
      <w:pPr>
        <w:ind w:left="284"/>
        <w:jc w:val="both"/>
      </w:pPr>
      <w:r w:rsidRPr="00E36665">
        <w:t xml:space="preserve">The net book value of the revalued assets, had they not been revalued and remained to be carried under the </w:t>
      </w:r>
      <w:r w:rsidRPr="009F0A6C">
        <w:t>cost model, would be £1</w:t>
      </w:r>
      <w:r w:rsidR="009F0A6C" w:rsidRPr="009F0A6C">
        <w:t>6</w:t>
      </w:r>
      <w:r w:rsidRPr="009F0A6C">
        <w:t>,</w:t>
      </w:r>
      <w:r w:rsidR="00006DBF" w:rsidRPr="009F0A6C">
        <w:t>4</w:t>
      </w:r>
      <w:r w:rsidR="009F0A6C" w:rsidRPr="009F0A6C">
        <w:t>19</w:t>
      </w:r>
      <w:r w:rsidRPr="009F0A6C">
        <w:t>,</w:t>
      </w:r>
      <w:r w:rsidR="009F0A6C" w:rsidRPr="009F0A6C">
        <w:t>686</w:t>
      </w:r>
      <w:r w:rsidRPr="009F0A6C">
        <w:t xml:space="preserve"> at the </w:t>
      </w:r>
      <w:r w:rsidR="0011148E">
        <w:t>period</w:t>
      </w:r>
      <w:r w:rsidRPr="009F0A6C">
        <w:t xml:space="preserve"> end. The </w:t>
      </w:r>
      <w:r w:rsidR="00FC637A" w:rsidRPr="009F0A6C">
        <w:t>G</w:t>
      </w:r>
      <w:r w:rsidRPr="009F0A6C">
        <w:t>roup’s heritable properties were last valued on 31 December 20</w:t>
      </w:r>
      <w:r w:rsidR="002018FB" w:rsidRPr="009F0A6C">
        <w:t>22</w:t>
      </w:r>
      <w:r w:rsidRPr="009F0A6C">
        <w:t xml:space="preserve"> by an independent valuer, Graham an</w:t>
      </w:r>
      <w:r w:rsidR="0082771B" w:rsidRPr="009F0A6C">
        <w:t xml:space="preserve">d Sibbald Chartered Surveyors. </w:t>
      </w:r>
      <w:r w:rsidRPr="009F0A6C">
        <w:t>Valuations were made on the basis</w:t>
      </w:r>
      <w:r w:rsidRPr="00E36665">
        <w:t xml:space="preserve"> of recent market transactions on an arms</w:t>
      </w:r>
      <w:r w:rsidR="003A0DA5" w:rsidRPr="00E36665">
        <w:t>’</w:t>
      </w:r>
      <w:r w:rsidR="0082771B" w:rsidRPr="00E36665">
        <w:t xml:space="preserve"> length basis. </w:t>
      </w:r>
      <w:r w:rsidRPr="00E36665">
        <w:t>The revaluation surplus net of applicable deferred income taxes was credited to other comprehensive income and is shown in ‘revaluation reserve’ in shareholder’s equity.</w:t>
      </w:r>
    </w:p>
    <w:p w14:paraId="5B8B90B7" w14:textId="77777777" w:rsidR="00D61F0E" w:rsidRPr="007C4847" w:rsidRDefault="00D61F0E" w:rsidP="006B74D3">
      <w:pPr>
        <w:ind w:left="284"/>
        <w:jc w:val="both"/>
      </w:pPr>
    </w:p>
    <w:p w14:paraId="143BA635" w14:textId="77777777" w:rsidR="00D61F0E" w:rsidRPr="007C4847" w:rsidRDefault="00D61F0E" w:rsidP="006B74D3">
      <w:pPr>
        <w:ind w:left="284"/>
        <w:jc w:val="both"/>
      </w:pPr>
      <w:r w:rsidRPr="007C4847">
        <w:t xml:space="preserve">The Directors are satisfied that the fair value of heritable properties does not differ materially from the book value as at </w:t>
      </w:r>
      <w:r w:rsidR="009F0A6C">
        <w:t>28</w:t>
      </w:r>
      <w:r w:rsidRPr="007C4847">
        <w:t xml:space="preserve"> December 20</w:t>
      </w:r>
      <w:r w:rsidR="00432BEF" w:rsidRPr="007C4847">
        <w:t>2</w:t>
      </w:r>
      <w:r w:rsidR="007C4847" w:rsidRPr="007C4847">
        <w:t>4</w:t>
      </w:r>
      <w:r w:rsidR="00AF1FE4" w:rsidRPr="007C4847">
        <w:t xml:space="preserve"> and therefore no depreciation has been charged for the </w:t>
      </w:r>
      <w:r w:rsidR="009F0A6C">
        <w:t>period</w:t>
      </w:r>
      <w:r w:rsidR="00AF1FE4" w:rsidRPr="007C4847">
        <w:t xml:space="preserve">. </w:t>
      </w:r>
    </w:p>
    <w:p w14:paraId="4F63FE0B" w14:textId="77777777" w:rsidR="00B852E3" w:rsidRPr="007C4847" w:rsidRDefault="00B852E3" w:rsidP="006B74D3">
      <w:pPr>
        <w:ind w:left="284"/>
        <w:jc w:val="both"/>
        <w:rPr>
          <w:b/>
        </w:rPr>
      </w:pPr>
    </w:p>
    <w:p w14:paraId="4A15CE14" w14:textId="77777777" w:rsidR="00B57F72" w:rsidRPr="007C4847" w:rsidRDefault="00B852E3" w:rsidP="006B74D3">
      <w:pPr>
        <w:ind w:left="284"/>
        <w:jc w:val="both"/>
        <w:rPr>
          <w:b/>
        </w:rPr>
      </w:pPr>
      <w:r w:rsidRPr="007C4847">
        <w:rPr>
          <w:b/>
        </w:rPr>
        <w:t>Right-of-use assets</w:t>
      </w:r>
    </w:p>
    <w:p w14:paraId="418FA630" w14:textId="77777777" w:rsidR="00B57F72" w:rsidRPr="007C4847" w:rsidRDefault="00B57F72" w:rsidP="0067345F">
      <w:pPr>
        <w:ind w:left="397"/>
        <w:jc w:val="both"/>
        <w:rPr>
          <w:b/>
        </w:rPr>
      </w:pPr>
      <w:r w:rsidRPr="007C4847">
        <w:rPr>
          <w:b/>
        </w:rPr>
        <w:tab/>
      </w:r>
      <w:r w:rsidRPr="007C4847">
        <w:rPr>
          <w:b/>
        </w:rPr>
        <w:tab/>
      </w:r>
      <w:r w:rsidRPr="007C4847">
        <w:rPr>
          <w:b/>
        </w:rPr>
        <w:tab/>
      </w:r>
      <w:r w:rsidRPr="007C4847">
        <w:rPr>
          <w:b/>
        </w:rPr>
        <w:tab/>
      </w:r>
      <w:r w:rsidRPr="007C4847">
        <w:rPr>
          <w:b/>
        </w:rPr>
        <w:tab/>
      </w:r>
      <w:r w:rsidRPr="007C4847">
        <w:rPr>
          <w:b/>
        </w:rPr>
        <w:tab/>
      </w:r>
      <w:r w:rsidRPr="007C4847">
        <w:rPr>
          <w:b/>
        </w:rPr>
        <w:tab/>
      </w:r>
      <w:r w:rsidRPr="007C4847">
        <w:rPr>
          <w:b/>
        </w:rPr>
        <w:tab/>
      </w:r>
      <w:r w:rsidRPr="007C4847">
        <w:rPr>
          <w:b/>
        </w:rPr>
        <w:tab/>
        <w:t>Consolidated Group</w:t>
      </w:r>
    </w:p>
    <w:p w14:paraId="3EE75FDF" w14:textId="77777777" w:rsidR="005C799B" w:rsidRPr="007C4847" w:rsidRDefault="00DE3C54" w:rsidP="0067345F">
      <w:pPr>
        <w:ind w:left="397"/>
        <w:jc w:val="both"/>
      </w:pPr>
      <w:r w:rsidRPr="007C4847">
        <w:rPr>
          <w:b/>
        </w:rPr>
        <w:tab/>
      </w:r>
      <w:r w:rsidRPr="007C4847">
        <w:rPr>
          <w:b/>
        </w:rPr>
        <w:tab/>
      </w:r>
      <w:r w:rsidRPr="007C4847">
        <w:rPr>
          <w:b/>
        </w:rPr>
        <w:tab/>
      </w:r>
      <w:r w:rsidRPr="007C4847">
        <w:rPr>
          <w:b/>
        </w:rPr>
        <w:tab/>
      </w:r>
      <w:r w:rsidR="00B57F72" w:rsidRPr="007C4847">
        <w:rPr>
          <w:b/>
        </w:rPr>
        <w:tab/>
      </w:r>
      <w:r w:rsidR="00B57F72" w:rsidRPr="007C4847">
        <w:rPr>
          <w:b/>
        </w:rPr>
        <w:tab/>
        <w:t xml:space="preserve">        </w:t>
      </w:r>
      <w:r w:rsidR="001344CE">
        <w:rPr>
          <w:b/>
        </w:rPr>
        <w:t>28/12/</w:t>
      </w:r>
      <w:r w:rsidR="00B57F72" w:rsidRPr="007C4847">
        <w:rPr>
          <w:rFonts w:cs="Arial"/>
          <w:b/>
          <w:spacing w:val="-2"/>
        </w:rPr>
        <w:t>202</w:t>
      </w:r>
      <w:r w:rsidR="007C4847" w:rsidRPr="007C4847">
        <w:rPr>
          <w:rFonts w:cs="Arial"/>
          <w:b/>
          <w:spacing w:val="-2"/>
        </w:rPr>
        <w:t>4</w:t>
      </w:r>
      <w:r w:rsidR="001344CE">
        <w:rPr>
          <w:rFonts w:cs="Arial"/>
          <w:b/>
          <w:spacing w:val="-2"/>
        </w:rPr>
        <w:tab/>
      </w:r>
      <w:r w:rsidR="009A2E20">
        <w:rPr>
          <w:rFonts w:cs="Arial"/>
          <w:b/>
          <w:spacing w:val="-2"/>
        </w:rPr>
        <w:t>30</w:t>
      </w:r>
      <w:r w:rsidR="001344CE">
        <w:rPr>
          <w:rFonts w:cs="Arial"/>
          <w:b/>
          <w:spacing w:val="-2"/>
        </w:rPr>
        <w:t>/12/</w:t>
      </w:r>
      <w:r w:rsidR="00B57F72" w:rsidRPr="007C4847">
        <w:rPr>
          <w:rFonts w:cs="Arial"/>
          <w:b/>
          <w:spacing w:val="-2"/>
        </w:rPr>
        <w:t>202</w:t>
      </w:r>
      <w:r w:rsidR="001344CE">
        <w:rPr>
          <w:rFonts w:cs="Arial"/>
          <w:b/>
          <w:spacing w:val="-2"/>
        </w:rPr>
        <w:t>3</w:t>
      </w:r>
      <w:r w:rsidR="001344CE">
        <w:rPr>
          <w:rFonts w:cs="Arial"/>
          <w:b/>
          <w:spacing w:val="-2"/>
        </w:rPr>
        <w:tab/>
        <w:t xml:space="preserve">   28/12/</w:t>
      </w:r>
      <w:r w:rsidR="00B57F72" w:rsidRPr="007C4847">
        <w:rPr>
          <w:rFonts w:cs="Arial"/>
          <w:b/>
          <w:spacing w:val="-2"/>
        </w:rPr>
        <w:t>202</w:t>
      </w:r>
      <w:r w:rsidR="001344CE">
        <w:rPr>
          <w:rFonts w:cs="Arial"/>
          <w:b/>
          <w:spacing w:val="-2"/>
        </w:rPr>
        <w:t xml:space="preserve">4       </w:t>
      </w:r>
      <w:r w:rsidR="009A2E20">
        <w:rPr>
          <w:rFonts w:cs="Arial"/>
          <w:b/>
          <w:spacing w:val="-2"/>
        </w:rPr>
        <w:t>30</w:t>
      </w:r>
      <w:r w:rsidR="001344CE">
        <w:rPr>
          <w:rFonts w:cs="Arial"/>
          <w:b/>
          <w:spacing w:val="-2"/>
        </w:rPr>
        <w:t>/12/</w:t>
      </w:r>
      <w:r w:rsidR="00B57F72" w:rsidRPr="007C4847">
        <w:rPr>
          <w:rFonts w:cs="Arial"/>
          <w:b/>
          <w:spacing w:val="-2"/>
        </w:rPr>
        <w:t>202</w:t>
      </w:r>
      <w:r w:rsidR="007C4847" w:rsidRPr="007C4847">
        <w:rPr>
          <w:rFonts w:cs="Arial"/>
          <w:b/>
          <w:spacing w:val="-2"/>
        </w:rPr>
        <w:t>3</w:t>
      </w:r>
    </w:p>
    <w:tbl>
      <w:tblPr>
        <w:tblW w:w="10065" w:type="dxa"/>
        <w:tblInd w:w="108" w:type="dxa"/>
        <w:tblLayout w:type="fixed"/>
        <w:tblLook w:val="01E0" w:firstRow="1" w:lastRow="1" w:firstColumn="1" w:lastColumn="1" w:noHBand="0" w:noVBand="0"/>
      </w:tblPr>
      <w:tblGrid>
        <w:gridCol w:w="3544"/>
        <w:gridCol w:w="1418"/>
        <w:gridCol w:w="1275"/>
        <w:gridCol w:w="1276"/>
        <w:gridCol w:w="1418"/>
        <w:gridCol w:w="1134"/>
      </w:tblGrid>
      <w:tr w:rsidR="00B57F72" w:rsidRPr="007C4847" w14:paraId="375ADA77" w14:textId="77777777" w:rsidTr="0078412F">
        <w:tc>
          <w:tcPr>
            <w:tcW w:w="3544" w:type="dxa"/>
            <w:vAlign w:val="bottom"/>
          </w:tcPr>
          <w:p w14:paraId="4D55BF15" w14:textId="77777777" w:rsidR="00B57F72" w:rsidRPr="007C4847" w:rsidRDefault="00B57F72" w:rsidP="00B57F72">
            <w:pPr>
              <w:jc w:val="center"/>
            </w:pPr>
          </w:p>
        </w:tc>
        <w:tc>
          <w:tcPr>
            <w:tcW w:w="1418" w:type="dxa"/>
            <w:vAlign w:val="bottom"/>
          </w:tcPr>
          <w:p w14:paraId="6D9076FF" w14:textId="77777777" w:rsidR="00B57F72" w:rsidRPr="007C4847" w:rsidRDefault="00B57F72" w:rsidP="00B57F72">
            <w:pPr>
              <w:ind w:right="168"/>
              <w:jc w:val="center"/>
              <w:rPr>
                <w:b/>
              </w:rPr>
            </w:pPr>
            <w:r w:rsidRPr="007C4847">
              <w:rPr>
                <w:b/>
              </w:rPr>
              <w:t>Heritable Properties</w:t>
            </w:r>
          </w:p>
        </w:tc>
        <w:tc>
          <w:tcPr>
            <w:tcW w:w="1275" w:type="dxa"/>
            <w:vAlign w:val="bottom"/>
          </w:tcPr>
          <w:p w14:paraId="5A3203D4" w14:textId="77777777" w:rsidR="00B57F72" w:rsidRPr="007C4847" w:rsidRDefault="00B57F72" w:rsidP="00B57F72">
            <w:pPr>
              <w:jc w:val="center"/>
              <w:rPr>
                <w:b/>
              </w:rPr>
            </w:pPr>
            <w:r w:rsidRPr="007C4847">
              <w:rPr>
                <w:b/>
              </w:rPr>
              <w:t>Heritable Properties</w:t>
            </w:r>
          </w:p>
        </w:tc>
        <w:tc>
          <w:tcPr>
            <w:tcW w:w="1276" w:type="dxa"/>
            <w:vAlign w:val="bottom"/>
          </w:tcPr>
          <w:p w14:paraId="4BC9CB22" w14:textId="77777777" w:rsidR="00B57F72" w:rsidRPr="007C4847" w:rsidRDefault="00B57F72" w:rsidP="00B57F72">
            <w:pPr>
              <w:jc w:val="center"/>
              <w:rPr>
                <w:b/>
              </w:rPr>
            </w:pPr>
            <w:r w:rsidRPr="007C4847">
              <w:rPr>
                <w:b/>
              </w:rPr>
              <w:t>Passenger Vehicles</w:t>
            </w:r>
          </w:p>
        </w:tc>
        <w:tc>
          <w:tcPr>
            <w:tcW w:w="1418" w:type="dxa"/>
            <w:vAlign w:val="bottom"/>
          </w:tcPr>
          <w:p w14:paraId="1782BF81" w14:textId="77777777" w:rsidR="00B57F72" w:rsidRPr="007C4847" w:rsidRDefault="00B57F72" w:rsidP="00B57F72">
            <w:pPr>
              <w:jc w:val="center"/>
              <w:rPr>
                <w:b/>
              </w:rPr>
            </w:pPr>
            <w:r w:rsidRPr="007C4847">
              <w:rPr>
                <w:b/>
              </w:rPr>
              <w:t>Passenger Vehicles</w:t>
            </w:r>
          </w:p>
        </w:tc>
        <w:tc>
          <w:tcPr>
            <w:tcW w:w="1134" w:type="dxa"/>
            <w:vAlign w:val="bottom"/>
          </w:tcPr>
          <w:p w14:paraId="0DF97DC6" w14:textId="77777777" w:rsidR="00B57F72" w:rsidRPr="007C4847" w:rsidRDefault="00B57F72" w:rsidP="00B57F72">
            <w:pPr>
              <w:ind w:left="227"/>
              <w:jc w:val="center"/>
              <w:rPr>
                <w:b/>
              </w:rPr>
            </w:pPr>
          </w:p>
        </w:tc>
      </w:tr>
      <w:tr w:rsidR="00B852E3" w:rsidRPr="007C4847" w14:paraId="700860D5" w14:textId="77777777" w:rsidTr="0078412F">
        <w:tc>
          <w:tcPr>
            <w:tcW w:w="3544" w:type="dxa"/>
          </w:tcPr>
          <w:p w14:paraId="337BD049" w14:textId="77777777" w:rsidR="00B852E3" w:rsidRPr="007C4847" w:rsidRDefault="00B852E3" w:rsidP="00502453">
            <w:pPr>
              <w:ind w:left="397"/>
            </w:pPr>
          </w:p>
        </w:tc>
        <w:tc>
          <w:tcPr>
            <w:tcW w:w="1418" w:type="dxa"/>
          </w:tcPr>
          <w:p w14:paraId="2FF25E2E" w14:textId="77777777" w:rsidR="00B852E3" w:rsidRPr="007C4847" w:rsidRDefault="00B852E3" w:rsidP="0078412F">
            <w:pPr>
              <w:jc w:val="center"/>
              <w:rPr>
                <w:b/>
              </w:rPr>
            </w:pPr>
            <w:r w:rsidRPr="007C4847">
              <w:rPr>
                <w:b/>
              </w:rPr>
              <w:t>£’000</w:t>
            </w:r>
          </w:p>
        </w:tc>
        <w:tc>
          <w:tcPr>
            <w:tcW w:w="1275" w:type="dxa"/>
          </w:tcPr>
          <w:p w14:paraId="0013E681" w14:textId="77777777" w:rsidR="00B852E3" w:rsidRPr="007C4847" w:rsidRDefault="00B852E3" w:rsidP="0078412F">
            <w:pPr>
              <w:jc w:val="center"/>
              <w:rPr>
                <w:b/>
              </w:rPr>
            </w:pPr>
            <w:r w:rsidRPr="007C4847">
              <w:rPr>
                <w:b/>
              </w:rPr>
              <w:t>£’000</w:t>
            </w:r>
          </w:p>
        </w:tc>
        <w:tc>
          <w:tcPr>
            <w:tcW w:w="1276" w:type="dxa"/>
          </w:tcPr>
          <w:p w14:paraId="167E8389" w14:textId="77777777" w:rsidR="00B852E3" w:rsidRPr="007C4847" w:rsidRDefault="00B852E3" w:rsidP="0078412F">
            <w:pPr>
              <w:jc w:val="center"/>
              <w:rPr>
                <w:b/>
              </w:rPr>
            </w:pPr>
            <w:r w:rsidRPr="007C4847">
              <w:rPr>
                <w:b/>
              </w:rPr>
              <w:t>£’000</w:t>
            </w:r>
          </w:p>
        </w:tc>
        <w:tc>
          <w:tcPr>
            <w:tcW w:w="1418" w:type="dxa"/>
          </w:tcPr>
          <w:p w14:paraId="0E88D9BE" w14:textId="77777777" w:rsidR="00B852E3" w:rsidRPr="007C4847" w:rsidRDefault="00B852E3" w:rsidP="0078412F">
            <w:pPr>
              <w:jc w:val="center"/>
              <w:rPr>
                <w:b/>
              </w:rPr>
            </w:pPr>
            <w:r w:rsidRPr="007C4847">
              <w:rPr>
                <w:b/>
              </w:rPr>
              <w:t>£’000</w:t>
            </w:r>
          </w:p>
        </w:tc>
        <w:tc>
          <w:tcPr>
            <w:tcW w:w="1134" w:type="dxa"/>
          </w:tcPr>
          <w:p w14:paraId="33160D48" w14:textId="77777777" w:rsidR="00B852E3" w:rsidRPr="007C4847" w:rsidRDefault="00B852E3" w:rsidP="00502453">
            <w:pPr>
              <w:ind w:left="227"/>
              <w:jc w:val="center"/>
              <w:rPr>
                <w:b/>
              </w:rPr>
            </w:pPr>
          </w:p>
        </w:tc>
      </w:tr>
      <w:tr w:rsidR="00B852E3" w:rsidRPr="00C328EF" w14:paraId="3DF0AD98" w14:textId="77777777" w:rsidTr="0078412F">
        <w:tc>
          <w:tcPr>
            <w:tcW w:w="3544" w:type="dxa"/>
          </w:tcPr>
          <w:p w14:paraId="0C77C5AA" w14:textId="77777777" w:rsidR="00B852E3" w:rsidRPr="007C4847" w:rsidRDefault="000150A4" w:rsidP="007E6406">
            <w:pPr>
              <w:ind w:left="283"/>
              <w:rPr>
                <w:b/>
              </w:rPr>
            </w:pPr>
            <w:r w:rsidRPr="007C4847">
              <w:rPr>
                <w:b/>
              </w:rPr>
              <w:t>Group</w:t>
            </w:r>
          </w:p>
        </w:tc>
        <w:tc>
          <w:tcPr>
            <w:tcW w:w="1418" w:type="dxa"/>
          </w:tcPr>
          <w:p w14:paraId="69E6CF04" w14:textId="77777777" w:rsidR="00B852E3" w:rsidRPr="007C4847" w:rsidRDefault="00B852E3" w:rsidP="007E6406">
            <w:pPr>
              <w:ind w:left="283"/>
              <w:jc w:val="right"/>
            </w:pPr>
          </w:p>
        </w:tc>
        <w:tc>
          <w:tcPr>
            <w:tcW w:w="1275" w:type="dxa"/>
          </w:tcPr>
          <w:p w14:paraId="56A0B880" w14:textId="77777777" w:rsidR="00B852E3" w:rsidRPr="00C328EF" w:rsidRDefault="00B852E3" w:rsidP="00502453">
            <w:pPr>
              <w:jc w:val="right"/>
              <w:rPr>
                <w:highlight w:val="yellow"/>
              </w:rPr>
            </w:pPr>
          </w:p>
        </w:tc>
        <w:tc>
          <w:tcPr>
            <w:tcW w:w="1276" w:type="dxa"/>
          </w:tcPr>
          <w:p w14:paraId="6ED2DD7D" w14:textId="77777777" w:rsidR="00B852E3" w:rsidRPr="00C328EF" w:rsidRDefault="00B852E3" w:rsidP="00502453">
            <w:pPr>
              <w:jc w:val="right"/>
              <w:rPr>
                <w:highlight w:val="yellow"/>
              </w:rPr>
            </w:pPr>
          </w:p>
        </w:tc>
        <w:tc>
          <w:tcPr>
            <w:tcW w:w="1418" w:type="dxa"/>
          </w:tcPr>
          <w:p w14:paraId="2A880031" w14:textId="77777777" w:rsidR="00B852E3" w:rsidRPr="00C328EF" w:rsidRDefault="00B852E3" w:rsidP="00502453">
            <w:pPr>
              <w:jc w:val="right"/>
              <w:rPr>
                <w:highlight w:val="yellow"/>
              </w:rPr>
            </w:pPr>
          </w:p>
        </w:tc>
        <w:tc>
          <w:tcPr>
            <w:tcW w:w="1134" w:type="dxa"/>
          </w:tcPr>
          <w:p w14:paraId="3E7C3456" w14:textId="77777777" w:rsidR="00B852E3" w:rsidRPr="00C328EF" w:rsidRDefault="00B852E3" w:rsidP="00502453">
            <w:pPr>
              <w:jc w:val="right"/>
              <w:rPr>
                <w:highlight w:val="yellow"/>
              </w:rPr>
            </w:pPr>
          </w:p>
        </w:tc>
      </w:tr>
      <w:tr w:rsidR="00E36665" w:rsidRPr="00C328EF" w14:paraId="6BAC6103" w14:textId="77777777" w:rsidTr="0078412F">
        <w:tc>
          <w:tcPr>
            <w:tcW w:w="3544" w:type="dxa"/>
          </w:tcPr>
          <w:p w14:paraId="55407EB4" w14:textId="77777777" w:rsidR="00E36665" w:rsidRPr="007C4847" w:rsidRDefault="00E36665" w:rsidP="00E36665">
            <w:pPr>
              <w:ind w:left="283"/>
            </w:pPr>
            <w:r w:rsidRPr="007C4847">
              <w:rPr>
                <w:b/>
              </w:rPr>
              <w:t xml:space="preserve">Net book value at </w:t>
            </w:r>
            <w:r w:rsidR="007E1A40">
              <w:rPr>
                <w:b/>
              </w:rPr>
              <w:t>start of period</w:t>
            </w:r>
          </w:p>
        </w:tc>
        <w:tc>
          <w:tcPr>
            <w:tcW w:w="1418" w:type="dxa"/>
            <w:vAlign w:val="center"/>
          </w:tcPr>
          <w:p w14:paraId="26499B1B" w14:textId="77777777" w:rsidR="00E36665" w:rsidRPr="00E36665" w:rsidRDefault="00E36665" w:rsidP="00E36665">
            <w:pPr>
              <w:jc w:val="right"/>
              <w:rPr>
                <w:rFonts w:cs="Arial"/>
                <w:bCs/>
              </w:rPr>
            </w:pPr>
            <w:r w:rsidRPr="00E36665">
              <w:rPr>
                <w:rFonts w:cs="Arial"/>
                <w:bCs/>
              </w:rPr>
              <w:t>6,981</w:t>
            </w:r>
          </w:p>
        </w:tc>
        <w:tc>
          <w:tcPr>
            <w:tcW w:w="1275" w:type="dxa"/>
            <w:vAlign w:val="center"/>
          </w:tcPr>
          <w:p w14:paraId="70D01ADF" w14:textId="77777777" w:rsidR="00E36665" w:rsidRPr="00E36665" w:rsidRDefault="00E36665" w:rsidP="00E36665">
            <w:pPr>
              <w:jc w:val="right"/>
              <w:rPr>
                <w:rFonts w:cs="Arial"/>
                <w:bCs/>
              </w:rPr>
            </w:pPr>
            <w:r w:rsidRPr="00E36665">
              <w:rPr>
                <w:rFonts w:cs="Arial"/>
                <w:bCs/>
              </w:rPr>
              <w:t>7,165</w:t>
            </w:r>
          </w:p>
        </w:tc>
        <w:tc>
          <w:tcPr>
            <w:tcW w:w="1276" w:type="dxa"/>
            <w:vAlign w:val="center"/>
          </w:tcPr>
          <w:p w14:paraId="7AA3C276" w14:textId="77777777" w:rsidR="00E36665" w:rsidRPr="00C328EF" w:rsidRDefault="00E36665" w:rsidP="00E36665">
            <w:pPr>
              <w:jc w:val="right"/>
              <w:rPr>
                <w:rFonts w:cs="Arial"/>
                <w:bCs/>
                <w:highlight w:val="yellow"/>
              </w:rPr>
            </w:pPr>
            <w:r w:rsidRPr="00E36665">
              <w:rPr>
                <w:rFonts w:cs="Arial"/>
                <w:bCs/>
              </w:rPr>
              <w:t>60,295</w:t>
            </w:r>
          </w:p>
        </w:tc>
        <w:tc>
          <w:tcPr>
            <w:tcW w:w="1418" w:type="dxa"/>
            <w:vAlign w:val="center"/>
          </w:tcPr>
          <w:p w14:paraId="776826F8" w14:textId="77777777" w:rsidR="00E36665" w:rsidRPr="00E36665" w:rsidRDefault="00E36665" w:rsidP="00E36665">
            <w:pPr>
              <w:jc w:val="right"/>
              <w:rPr>
                <w:rFonts w:cs="Arial"/>
                <w:bCs/>
              </w:rPr>
            </w:pPr>
            <w:r w:rsidRPr="00E36665">
              <w:rPr>
                <w:rFonts w:cs="Arial"/>
                <w:bCs/>
              </w:rPr>
              <w:t>90,419</w:t>
            </w:r>
          </w:p>
        </w:tc>
        <w:tc>
          <w:tcPr>
            <w:tcW w:w="1134" w:type="dxa"/>
            <w:vAlign w:val="center"/>
          </w:tcPr>
          <w:p w14:paraId="71ABECE7" w14:textId="77777777" w:rsidR="00E36665" w:rsidRPr="00C328EF" w:rsidRDefault="00E36665" w:rsidP="00E36665">
            <w:pPr>
              <w:jc w:val="right"/>
              <w:rPr>
                <w:rFonts w:cs="Arial"/>
                <w:bCs/>
                <w:highlight w:val="yellow"/>
              </w:rPr>
            </w:pPr>
          </w:p>
        </w:tc>
      </w:tr>
      <w:tr w:rsidR="00E36665" w:rsidRPr="00C328EF" w14:paraId="10C994B3" w14:textId="77777777" w:rsidTr="0078412F">
        <w:tc>
          <w:tcPr>
            <w:tcW w:w="3544" w:type="dxa"/>
          </w:tcPr>
          <w:p w14:paraId="4F129D1C" w14:textId="77777777" w:rsidR="00E36665" w:rsidRPr="007C4847" w:rsidRDefault="00E36665" w:rsidP="00E36665">
            <w:pPr>
              <w:ind w:left="283"/>
            </w:pPr>
            <w:r w:rsidRPr="007C4847">
              <w:t>Additions</w:t>
            </w:r>
          </w:p>
        </w:tc>
        <w:tc>
          <w:tcPr>
            <w:tcW w:w="1418" w:type="dxa"/>
            <w:vAlign w:val="center"/>
          </w:tcPr>
          <w:p w14:paraId="1822201A" w14:textId="77777777" w:rsidR="00E36665" w:rsidRPr="009F0A6C" w:rsidRDefault="009F0A6C" w:rsidP="00E36665">
            <w:pPr>
              <w:jc w:val="right"/>
              <w:rPr>
                <w:rFonts w:cs="Arial"/>
              </w:rPr>
            </w:pPr>
            <w:r w:rsidRPr="009F0A6C">
              <w:rPr>
                <w:rFonts w:cs="Arial"/>
              </w:rPr>
              <w:t>863</w:t>
            </w:r>
          </w:p>
        </w:tc>
        <w:tc>
          <w:tcPr>
            <w:tcW w:w="1275" w:type="dxa"/>
            <w:vAlign w:val="center"/>
          </w:tcPr>
          <w:p w14:paraId="7036529E" w14:textId="77777777" w:rsidR="00E36665" w:rsidRPr="00E36665" w:rsidRDefault="00E36665" w:rsidP="00E36665">
            <w:pPr>
              <w:jc w:val="right"/>
              <w:rPr>
                <w:rFonts w:cs="Arial"/>
              </w:rPr>
            </w:pPr>
            <w:r w:rsidRPr="00E36665">
              <w:rPr>
                <w:rFonts w:cs="Arial"/>
              </w:rPr>
              <w:t>246</w:t>
            </w:r>
          </w:p>
        </w:tc>
        <w:tc>
          <w:tcPr>
            <w:tcW w:w="1276" w:type="dxa"/>
            <w:vAlign w:val="center"/>
          </w:tcPr>
          <w:p w14:paraId="6F0C7B0B" w14:textId="77777777" w:rsidR="00E36665" w:rsidRPr="009F0A6C" w:rsidRDefault="00E36665" w:rsidP="00E36665">
            <w:pPr>
              <w:jc w:val="right"/>
              <w:rPr>
                <w:rFonts w:cs="Arial"/>
              </w:rPr>
            </w:pPr>
            <w:r w:rsidRPr="009F0A6C">
              <w:rPr>
                <w:rFonts w:cs="Arial"/>
              </w:rPr>
              <w:t>-</w:t>
            </w:r>
          </w:p>
        </w:tc>
        <w:tc>
          <w:tcPr>
            <w:tcW w:w="1418" w:type="dxa"/>
            <w:vAlign w:val="center"/>
          </w:tcPr>
          <w:p w14:paraId="4CD95ABE" w14:textId="77777777" w:rsidR="00E36665" w:rsidRPr="00E36665" w:rsidRDefault="00E36665" w:rsidP="00E36665">
            <w:pPr>
              <w:jc w:val="right"/>
              <w:rPr>
                <w:rFonts w:cs="Arial"/>
              </w:rPr>
            </w:pPr>
            <w:r w:rsidRPr="00E36665">
              <w:rPr>
                <w:rFonts w:cs="Arial"/>
              </w:rPr>
              <w:t>-</w:t>
            </w:r>
          </w:p>
        </w:tc>
        <w:tc>
          <w:tcPr>
            <w:tcW w:w="1134" w:type="dxa"/>
            <w:vAlign w:val="center"/>
          </w:tcPr>
          <w:p w14:paraId="497B0DB4" w14:textId="77777777" w:rsidR="00E36665" w:rsidRPr="00C328EF" w:rsidRDefault="00E36665" w:rsidP="00E36665">
            <w:pPr>
              <w:jc w:val="right"/>
              <w:rPr>
                <w:rFonts w:cs="Arial"/>
                <w:highlight w:val="yellow"/>
              </w:rPr>
            </w:pPr>
          </w:p>
        </w:tc>
      </w:tr>
      <w:tr w:rsidR="00E36665" w:rsidRPr="00C328EF" w14:paraId="1F2A378F" w14:textId="77777777" w:rsidTr="0078412F">
        <w:tc>
          <w:tcPr>
            <w:tcW w:w="3544" w:type="dxa"/>
          </w:tcPr>
          <w:p w14:paraId="205A567E" w14:textId="77777777" w:rsidR="00E36665" w:rsidRPr="007C4847" w:rsidRDefault="00E36665" w:rsidP="00E36665">
            <w:pPr>
              <w:ind w:left="283"/>
            </w:pPr>
            <w:r w:rsidRPr="007C4847">
              <w:t>Remove - hire purchase repaid</w:t>
            </w:r>
          </w:p>
        </w:tc>
        <w:tc>
          <w:tcPr>
            <w:tcW w:w="1418" w:type="dxa"/>
            <w:vAlign w:val="center"/>
          </w:tcPr>
          <w:p w14:paraId="44B4F3D8" w14:textId="77777777" w:rsidR="00E36665" w:rsidRPr="009F0A6C" w:rsidRDefault="00E36665" w:rsidP="00E36665">
            <w:pPr>
              <w:jc w:val="right"/>
              <w:rPr>
                <w:rFonts w:cs="Arial"/>
              </w:rPr>
            </w:pPr>
            <w:r w:rsidRPr="009F0A6C">
              <w:rPr>
                <w:rFonts w:cs="Arial"/>
              </w:rPr>
              <w:t>-</w:t>
            </w:r>
          </w:p>
        </w:tc>
        <w:tc>
          <w:tcPr>
            <w:tcW w:w="1275" w:type="dxa"/>
            <w:vAlign w:val="center"/>
          </w:tcPr>
          <w:p w14:paraId="6CFB77AA" w14:textId="77777777" w:rsidR="00E36665" w:rsidRPr="00E36665" w:rsidRDefault="00E36665" w:rsidP="00E36665">
            <w:pPr>
              <w:jc w:val="right"/>
              <w:rPr>
                <w:rFonts w:cs="Arial"/>
              </w:rPr>
            </w:pPr>
            <w:r w:rsidRPr="00E36665">
              <w:rPr>
                <w:rFonts w:cs="Arial"/>
              </w:rPr>
              <w:t>-</w:t>
            </w:r>
          </w:p>
        </w:tc>
        <w:tc>
          <w:tcPr>
            <w:tcW w:w="1276" w:type="dxa"/>
            <w:vAlign w:val="center"/>
          </w:tcPr>
          <w:p w14:paraId="062A9891" w14:textId="77777777" w:rsidR="00E36665" w:rsidRPr="009F0A6C" w:rsidRDefault="009F0A6C" w:rsidP="00E36665">
            <w:pPr>
              <w:jc w:val="right"/>
              <w:rPr>
                <w:rFonts w:cs="Arial"/>
              </w:rPr>
            </w:pPr>
            <w:r w:rsidRPr="009F0A6C">
              <w:rPr>
                <w:rFonts w:cs="Arial"/>
              </w:rPr>
              <w:t>-</w:t>
            </w:r>
          </w:p>
        </w:tc>
        <w:tc>
          <w:tcPr>
            <w:tcW w:w="1418" w:type="dxa"/>
            <w:vAlign w:val="center"/>
          </w:tcPr>
          <w:p w14:paraId="2B2BA40E" w14:textId="77777777" w:rsidR="00E36665" w:rsidRPr="00E36665" w:rsidRDefault="00E36665" w:rsidP="00E36665">
            <w:pPr>
              <w:jc w:val="right"/>
              <w:rPr>
                <w:rFonts w:cs="Arial"/>
              </w:rPr>
            </w:pPr>
            <w:r w:rsidRPr="00E36665">
              <w:rPr>
                <w:rFonts w:cs="Arial"/>
              </w:rPr>
              <w:t>(20,485)</w:t>
            </w:r>
          </w:p>
        </w:tc>
        <w:tc>
          <w:tcPr>
            <w:tcW w:w="1134" w:type="dxa"/>
            <w:vAlign w:val="center"/>
          </w:tcPr>
          <w:p w14:paraId="44417B76" w14:textId="77777777" w:rsidR="00E36665" w:rsidRPr="00C328EF" w:rsidRDefault="00E36665" w:rsidP="00E36665">
            <w:pPr>
              <w:jc w:val="right"/>
              <w:rPr>
                <w:rFonts w:cs="Arial"/>
                <w:highlight w:val="yellow"/>
              </w:rPr>
            </w:pPr>
          </w:p>
        </w:tc>
      </w:tr>
      <w:tr w:rsidR="00E36665" w:rsidRPr="00C328EF" w14:paraId="30F8407C" w14:textId="77777777" w:rsidTr="0078412F">
        <w:tc>
          <w:tcPr>
            <w:tcW w:w="3544" w:type="dxa"/>
          </w:tcPr>
          <w:p w14:paraId="31A22CB0" w14:textId="77777777" w:rsidR="00E36665" w:rsidRPr="007C4847" w:rsidRDefault="00E36665" w:rsidP="00E36665">
            <w:pPr>
              <w:ind w:left="283"/>
            </w:pPr>
            <w:r w:rsidRPr="007C4847">
              <w:t xml:space="preserve">Depreciation charge for </w:t>
            </w:r>
            <w:r w:rsidR="00662F40">
              <w:t>period</w:t>
            </w:r>
          </w:p>
        </w:tc>
        <w:tc>
          <w:tcPr>
            <w:tcW w:w="1418" w:type="dxa"/>
            <w:vAlign w:val="center"/>
          </w:tcPr>
          <w:p w14:paraId="35991735" w14:textId="77777777" w:rsidR="00E36665" w:rsidRPr="009F0A6C" w:rsidRDefault="00E36665" w:rsidP="00E36665">
            <w:pPr>
              <w:jc w:val="right"/>
              <w:rPr>
                <w:rFonts w:cs="Arial"/>
              </w:rPr>
            </w:pPr>
            <w:r w:rsidRPr="009F0A6C">
              <w:rPr>
                <w:rFonts w:cs="Arial"/>
              </w:rPr>
              <w:t>(4</w:t>
            </w:r>
            <w:r w:rsidR="009F0A6C" w:rsidRPr="009F0A6C">
              <w:rPr>
                <w:rFonts w:cs="Arial"/>
              </w:rPr>
              <w:t>99</w:t>
            </w:r>
            <w:r w:rsidRPr="009F0A6C">
              <w:rPr>
                <w:rFonts w:cs="Arial"/>
              </w:rPr>
              <w:t>)</w:t>
            </w:r>
          </w:p>
        </w:tc>
        <w:tc>
          <w:tcPr>
            <w:tcW w:w="1275" w:type="dxa"/>
            <w:vAlign w:val="center"/>
          </w:tcPr>
          <w:p w14:paraId="4D1C19BB" w14:textId="77777777" w:rsidR="00E36665" w:rsidRPr="00E36665" w:rsidRDefault="00E36665" w:rsidP="00E36665">
            <w:pPr>
              <w:jc w:val="right"/>
              <w:rPr>
                <w:rFonts w:cs="Arial"/>
              </w:rPr>
            </w:pPr>
            <w:r w:rsidRPr="00E36665">
              <w:rPr>
                <w:rFonts w:cs="Arial"/>
              </w:rPr>
              <w:t>(430)</w:t>
            </w:r>
          </w:p>
        </w:tc>
        <w:tc>
          <w:tcPr>
            <w:tcW w:w="1276" w:type="dxa"/>
            <w:vAlign w:val="center"/>
          </w:tcPr>
          <w:p w14:paraId="4A13EDBB" w14:textId="77777777" w:rsidR="00E36665" w:rsidRPr="009F0A6C" w:rsidRDefault="00E36665" w:rsidP="00E36665">
            <w:pPr>
              <w:jc w:val="right"/>
              <w:rPr>
                <w:rFonts w:cs="Arial"/>
              </w:rPr>
            </w:pPr>
            <w:r w:rsidRPr="009F0A6C">
              <w:rPr>
                <w:rFonts w:cs="Arial"/>
              </w:rPr>
              <w:t>(9,</w:t>
            </w:r>
            <w:r w:rsidR="009F0A6C" w:rsidRPr="009F0A6C">
              <w:rPr>
                <w:rFonts w:cs="Arial"/>
              </w:rPr>
              <w:t>389</w:t>
            </w:r>
            <w:r w:rsidRPr="009F0A6C">
              <w:rPr>
                <w:rFonts w:cs="Arial"/>
              </w:rPr>
              <w:t>)</w:t>
            </w:r>
          </w:p>
        </w:tc>
        <w:tc>
          <w:tcPr>
            <w:tcW w:w="1418" w:type="dxa"/>
            <w:vAlign w:val="center"/>
          </w:tcPr>
          <w:p w14:paraId="7993EDC1" w14:textId="77777777" w:rsidR="00E36665" w:rsidRPr="00E36665" w:rsidRDefault="00E36665" w:rsidP="00E36665">
            <w:pPr>
              <w:jc w:val="right"/>
              <w:rPr>
                <w:rFonts w:cs="Arial"/>
              </w:rPr>
            </w:pPr>
            <w:r w:rsidRPr="00E36665">
              <w:rPr>
                <w:rFonts w:cs="Arial"/>
              </w:rPr>
              <w:t>(9,639)</w:t>
            </w:r>
          </w:p>
        </w:tc>
        <w:tc>
          <w:tcPr>
            <w:tcW w:w="1134" w:type="dxa"/>
            <w:vAlign w:val="center"/>
          </w:tcPr>
          <w:p w14:paraId="3B15089D" w14:textId="77777777" w:rsidR="00E36665" w:rsidRPr="00C328EF" w:rsidRDefault="00E36665" w:rsidP="00E36665">
            <w:pPr>
              <w:jc w:val="right"/>
              <w:rPr>
                <w:rFonts w:cs="Arial"/>
                <w:highlight w:val="yellow"/>
              </w:rPr>
            </w:pPr>
          </w:p>
        </w:tc>
      </w:tr>
      <w:tr w:rsidR="00E36665" w:rsidRPr="00C328EF" w14:paraId="75EFA064" w14:textId="77777777" w:rsidTr="0078412F">
        <w:tc>
          <w:tcPr>
            <w:tcW w:w="3544" w:type="dxa"/>
          </w:tcPr>
          <w:p w14:paraId="3ECE9988" w14:textId="77777777" w:rsidR="00E36665" w:rsidRPr="007C4847" w:rsidRDefault="00E36665" w:rsidP="00E36665">
            <w:pPr>
              <w:ind w:left="283"/>
            </w:pPr>
          </w:p>
        </w:tc>
        <w:tc>
          <w:tcPr>
            <w:tcW w:w="1418" w:type="dxa"/>
          </w:tcPr>
          <w:p w14:paraId="16E4D0FF" w14:textId="77777777" w:rsidR="00E36665" w:rsidRPr="009F0A6C" w:rsidRDefault="00E36665" w:rsidP="00E36665">
            <w:pPr>
              <w:jc w:val="right"/>
              <w:rPr>
                <w:spacing w:val="-2"/>
              </w:rPr>
            </w:pPr>
            <w:r w:rsidRPr="009F0A6C">
              <w:rPr>
                <w:spacing w:val="-2"/>
              </w:rPr>
              <w:t>─────</w:t>
            </w:r>
          </w:p>
        </w:tc>
        <w:tc>
          <w:tcPr>
            <w:tcW w:w="1275" w:type="dxa"/>
          </w:tcPr>
          <w:p w14:paraId="63329143" w14:textId="77777777" w:rsidR="00E36665" w:rsidRPr="00E36665" w:rsidRDefault="00E36665" w:rsidP="00E36665">
            <w:pPr>
              <w:jc w:val="right"/>
            </w:pPr>
            <w:r w:rsidRPr="00E36665">
              <w:rPr>
                <w:spacing w:val="-2"/>
              </w:rPr>
              <w:t>─────</w:t>
            </w:r>
          </w:p>
        </w:tc>
        <w:tc>
          <w:tcPr>
            <w:tcW w:w="1276" w:type="dxa"/>
          </w:tcPr>
          <w:p w14:paraId="25FBB43F" w14:textId="77777777" w:rsidR="00E36665" w:rsidRPr="009F0A6C" w:rsidRDefault="00E36665" w:rsidP="00E36665">
            <w:pPr>
              <w:jc w:val="right"/>
              <w:rPr>
                <w:spacing w:val="-2"/>
              </w:rPr>
            </w:pPr>
            <w:r w:rsidRPr="009F0A6C">
              <w:rPr>
                <w:spacing w:val="-2"/>
              </w:rPr>
              <w:t>──────</w:t>
            </w:r>
          </w:p>
        </w:tc>
        <w:tc>
          <w:tcPr>
            <w:tcW w:w="1418" w:type="dxa"/>
          </w:tcPr>
          <w:p w14:paraId="443EA6DC" w14:textId="77777777" w:rsidR="00E36665" w:rsidRPr="00E36665" w:rsidRDefault="00E36665" w:rsidP="00E36665">
            <w:pPr>
              <w:jc w:val="right"/>
            </w:pPr>
            <w:r w:rsidRPr="00E36665">
              <w:rPr>
                <w:spacing w:val="-2"/>
              </w:rPr>
              <w:t>──────</w:t>
            </w:r>
          </w:p>
        </w:tc>
        <w:tc>
          <w:tcPr>
            <w:tcW w:w="1134" w:type="dxa"/>
          </w:tcPr>
          <w:p w14:paraId="329414D3" w14:textId="77777777" w:rsidR="00E36665" w:rsidRPr="00C328EF" w:rsidRDefault="00E36665" w:rsidP="00E36665">
            <w:pPr>
              <w:jc w:val="right"/>
              <w:rPr>
                <w:highlight w:val="yellow"/>
              </w:rPr>
            </w:pPr>
          </w:p>
        </w:tc>
      </w:tr>
      <w:tr w:rsidR="00E36665" w:rsidRPr="00C328EF" w14:paraId="49CE1AE4" w14:textId="77777777" w:rsidTr="0078412F">
        <w:tc>
          <w:tcPr>
            <w:tcW w:w="3544" w:type="dxa"/>
          </w:tcPr>
          <w:p w14:paraId="04E90FF2" w14:textId="77777777" w:rsidR="00E36665" w:rsidRPr="007C4847" w:rsidRDefault="00E36665" w:rsidP="00E36665">
            <w:pPr>
              <w:ind w:left="283"/>
              <w:rPr>
                <w:b/>
              </w:rPr>
            </w:pPr>
            <w:r w:rsidRPr="007C4847">
              <w:rPr>
                <w:b/>
              </w:rPr>
              <w:t xml:space="preserve">Net book value at </w:t>
            </w:r>
            <w:r w:rsidR="007E1A40">
              <w:rPr>
                <w:b/>
              </w:rPr>
              <w:t>end of period</w:t>
            </w:r>
          </w:p>
        </w:tc>
        <w:tc>
          <w:tcPr>
            <w:tcW w:w="1418" w:type="dxa"/>
            <w:vAlign w:val="center"/>
          </w:tcPr>
          <w:p w14:paraId="7C1574E0" w14:textId="77777777" w:rsidR="00E36665" w:rsidRPr="009F0A6C" w:rsidRDefault="009F0A6C" w:rsidP="00E36665">
            <w:pPr>
              <w:jc w:val="right"/>
              <w:rPr>
                <w:rFonts w:cs="Arial"/>
                <w:bCs/>
              </w:rPr>
            </w:pPr>
            <w:r w:rsidRPr="009F0A6C">
              <w:rPr>
                <w:rFonts w:cs="Arial"/>
                <w:bCs/>
              </w:rPr>
              <w:t>7,345</w:t>
            </w:r>
          </w:p>
        </w:tc>
        <w:tc>
          <w:tcPr>
            <w:tcW w:w="1275" w:type="dxa"/>
            <w:vAlign w:val="center"/>
          </w:tcPr>
          <w:p w14:paraId="5E31BDE5" w14:textId="77777777" w:rsidR="00E36665" w:rsidRPr="00E36665" w:rsidRDefault="00E36665" w:rsidP="00E36665">
            <w:pPr>
              <w:jc w:val="right"/>
              <w:rPr>
                <w:rFonts w:cs="Arial"/>
                <w:bCs/>
              </w:rPr>
            </w:pPr>
            <w:r w:rsidRPr="00E36665">
              <w:rPr>
                <w:rFonts w:cs="Arial"/>
                <w:bCs/>
              </w:rPr>
              <w:t>6,981</w:t>
            </w:r>
          </w:p>
        </w:tc>
        <w:tc>
          <w:tcPr>
            <w:tcW w:w="1276" w:type="dxa"/>
            <w:vAlign w:val="center"/>
          </w:tcPr>
          <w:p w14:paraId="354ED23C" w14:textId="77777777" w:rsidR="00E36665" w:rsidRPr="009F0A6C" w:rsidRDefault="009F0A6C" w:rsidP="00E36665">
            <w:pPr>
              <w:jc w:val="right"/>
              <w:rPr>
                <w:rFonts w:cs="Arial"/>
                <w:bCs/>
              </w:rPr>
            </w:pPr>
            <w:r w:rsidRPr="009F0A6C">
              <w:rPr>
                <w:rFonts w:cs="Arial"/>
                <w:bCs/>
              </w:rPr>
              <w:t>5</w:t>
            </w:r>
            <w:r w:rsidR="00E36665" w:rsidRPr="009F0A6C">
              <w:rPr>
                <w:rFonts w:cs="Arial"/>
                <w:bCs/>
              </w:rPr>
              <w:t>0,</w:t>
            </w:r>
            <w:r w:rsidRPr="009F0A6C">
              <w:rPr>
                <w:rFonts w:cs="Arial"/>
                <w:bCs/>
              </w:rPr>
              <w:t>906</w:t>
            </w:r>
          </w:p>
        </w:tc>
        <w:tc>
          <w:tcPr>
            <w:tcW w:w="1418" w:type="dxa"/>
            <w:vAlign w:val="center"/>
          </w:tcPr>
          <w:p w14:paraId="2BE40BAF" w14:textId="77777777" w:rsidR="00E36665" w:rsidRPr="00E36665" w:rsidRDefault="00E36665" w:rsidP="00E36665">
            <w:pPr>
              <w:jc w:val="right"/>
              <w:rPr>
                <w:rFonts w:cs="Arial"/>
                <w:bCs/>
              </w:rPr>
            </w:pPr>
            <w:r w:rsidRPr="00E36665">
              <w:rPr>
                <w:rFonts w:cs="Arial"/>
                <w:bCs/>
              </w:rPr>
              <w:t>60,295</w:t>
            </w:r>
          </w:p>
        </w:tc>
        <w:tc>
          <w:tcPr>
            <w:tcW w:w="1134" w:type="dxa"/>
            <w:vAlign w:val="center"/>
          </w:tcPr>
          <w:p w14:paraId="66A101C7" w14:textId="77777777" w:rsidR="00E36665" w:rsidRPr="00C328EF" w:rsidRDefault="00E36665" w:rsidP="00E36665">
            <w:pPr>
              <w:jc w:val="right"/>
              <w:rPr>
                <w:rFonts w:cs="Arial"/>
                <w:bCs/>
                <w:highlight w:val="yellow"/>
              </w:rPr>
            </w:pPr>
          </w:p>
        </w:tc>
      </w:tr>
      <w:tr w:rsidR="00E36665" w:rsidRPr="00C328EF" w14:paraId="5FF61A1C" w14:textId="77777777" w:rsidTr="0078412F">
        <w:tc>
          <w:tcPr>
            <w:tcW w:w="3544" w:type="dxa"/>
          </w:tcPr>
          <w:p w14:paraId="02EA7061" w14:textId="77777777" w:rsidR="00E36665" w:rsidRPr="00C328EF" w:rsidRDefault="00E36665" w:rsidP="00E36665">
            <w:pPr>
              <w:ind w:left="283"/>
              <w:rPr>
                <w:highlight w:val="yellow"/>
              </w:rPr>
            </w:pPr>
          </w:p>
        </w:tc>
        <w:tc>
          <w:tcPr>
            <w:tcW w:w="1418" w:type="dxa"/>
          </w:tcPr>
          <w:p w14:paraId="76E5DAA7" w14:textId="77777777" w:rsidR="00E36665" w:rsidRPr="009F0A6C" w:rsidRDefault="00E36665" w:rsidP="00E36665">
            <w:pPr>
              <w:jc w:val="right"/>
            </w:pPr>
            <w:r w:rsidRPr="009F0A6C">
              <w:rPr>
                <w:spacing w:val="-2"/>
              </w:rPr>
              <w:t>──────</w:t>
            </w:r>
          </w:p>
        </w:tc>
        <w:tc>
          <w:tcPr>
            <w:tcW w:w="1275" w:type="dxa"/>
          </w:tcPr>
          <w:p w14:paraId="6B023952" w14:textId="77777777" w:rsidR="00E36665" w:rsidRPr="00E36665" w:rsidRDefault="00E36665" w:rsidP="00E36665">
            <w:pPr>
              <w:jc w:val="right"/>
            </w:pPr>
            <w:r w:rsidRPr="00E36665">
              <w:rPr>
                <w:spacing w:val="-2"/>
              </w:rPr>
              <w:t>──────</w:t>
            </w:r>
          </w:p>
        </w:tc>
        <w:tc>
          <w:tcPr>
            <w:tcW w:w="1276" w:type="dxa"/>
          </w:tcPr>
          <w:p w14:paraId="4F5DEAE9" w14:textId="77777777" w:rsidR="00E36665" w:rsidRPr="009F0A6C" w:rsidRDefault="00E36665" w:rsidP="00E36665">
            <w:pPr>
              <w:jc w:val="right"/>
            </w:pPr>
            <w:r w:rsidRPr="009F0A6C">
              <w:rPr>
                <w:spacing w:val="-2"/>
              </w:rPr>
              <w:t>──────</w:t>
            </w:r>
          </w:p>
        </w:tc>
        <w:tc>
          <w:tcPr>
            <w:tcW w:w="1418" w:type="dxa"/>
          </w:tcPr>
          <w:p w14:paraId="6109CAAE" w14:textId="77777777" w:rsidR="00E36665" w:rsidRPr="00E36665" w:rsidRDefault="00E36665" w:rsidP="00E36665">
            <w:pPr>
              <w:jc w:val="right"/>
            </w:pPr>
            <w:r w:rsidRPr="00E36665">
              <w:rPr>
                <w:spacing w:val="-2"/>
              </w:rPr>
              <w:t>──────</w:t>
            </w:r>
          </w:p>
        </w:tc>
        <w:tc>
          <w:tcPr>
            <w:tcW w:w="1134" w:type="dxa"/>
          </w:tcPr>
          <w:p w14:paraId="4FB14D7A" w14:textId="77777777" w:rsidR="00E36665" w:rsidRPr="00C328EF" w:rsidRDefault="00E36665" w:rsidP="00E36665">
            <w:pPr>
              <w:jc w:val="right"/>
              <w:rPr>
                <w:highlight w:val="yellow"/>
              </w:rPr>
            </w:pPr>
          </w:p>
        </w:tc>
      </w:tr>
    </w:tbl>
    <w:p w14:paraId="7F548760" w14:textId="77777777" w:rsidR="00B852E3" w:rsidRPr="00C328EF" w:rsidRDefault="00B852E3" w:rsidP="00B852E3">
      <w:pPr>
        <w:ind w:left="397"/>
        <w:jc w:val="both"/>
        <w:rPr>
          <w:highlight w:val="yellow"/>
        </w:rPr>
      </w:pPr>
    </w:p>
    <w:p w14:paraId="68DA5A98" w14:textId="77777777" w:rsidR="00B852E3" w:rsidRPr="00977682" w:rsidRDefault="00B852E3" w:rsidP="006B74D3">
      <w:pPr>
        <w:ind w:left="284"/>
        <w:jc w:val="both"/>
      </w:pPr>
      <w:r w:rsidRPr="00E36665">
        <w:t xml:space="preserve">Further information regarding right-of-use assets included with heritable properties and passenger vehicles above can be found </w:t>
      </w:r>
      <w:r w:rsidRPr="00977682">
        <w:t>in note 1</w:t>
      </w:r>
      <w:r w:rsidR="00977682" w:rsidRPr="00977682">
        <w:t>6</w:t>
      </w:r>
      <w:r w:rsidRPr="00977682">
        <w:t>.</w:t>
      </w:r>
    </w:p>
    <w:p w14:paraId="1BD268A4" w14:textId="77777777" w:rsidR="00B852E3" w:rsidRPr="00E36665" w:rsidRDefault="00B852E3" w:rsidP="006B74D3">
      <w:pPr>
        <w:ind w:left="284"/>
        <w:jc w:val="both"/>
      </w:pPr>
    </w:p>
    <w:p w14:paraId="720512DF" w14:textId="77777777" w:rsidR="00D61F0E" w:rsidRPr="00E36665" w:rsidRDefault="005C799B" w:rsidP="006B74D3">
      <w:pPr>
        <w:ind w:left="284"/>
        <w:jc w:val="both"/>
        <w:rPr>
          <w:b/>
        </w:rPr>
      </w:pPr>
      <w:r w:rsidRPr="00E36665">
        <w:t>The</w:t>
      </w:r>
      <w:r w:rsidR="008E0FA6" w:rsidRPr="00E36665">
        <w:t xml:space="preserve"> parent </w:t>
      </w:r>
      <w:r w:rsidRPr="00E36665">
        <w:t xml:space="preserve">Company </w:t>
      </w:r>
      <w:r w:rsidR="008E0FA6" w:rsidRPr="00E36665">
        <w:t xml:space="preserve">does not hold any </w:t>
      </w:r>
      <w:r w:rsidRPr="00E36665">
        <w:t xml:space="preserve">property, </w:t>
      </w:r>
      <w:r w:rsidR="006A3B37" w:rsidRPr="00E36665">
        <w:t xml:space="preserve">vehicles, </w:t>
      </w:r>
      <w:r w:rsidRPr="00E36665">
        <w:t xml:space="preserve">plant </w:t>
      </w:r>
      <w:r w:rsidR="006A3B37" w:rsidRPr="00E36665">
        <w:t>or</w:t>
      </w:r>
      <w:r w:rsidRPr="00E36665">
        <w:t xml:space="preserve"> equipment.</w:t>
      </w:r>
    </w:p>
    <w:p w14:paraId="47B1F729" w14:textId="77777777" w:rsidR="005404A5" w:rsidRPr="00F45179" w:rsidRDefault="00627F6E" w:rsidP="005404A5">
      <w:pPr>
        <w:jc w:val="center"/>
        <w:rPr>
          <w:b/>
        </w:rPr>
      </w:pPr>
      <w:r w:rsidRPr="00E36665">
        <w:rPr>
          <w:b/>
        </w:rPr>
        <w:br w:type="page"/>
      </w:r>
      <w:bookmarkStart w:id="34" w:name="_Hlk193560656"/>
      <w:r w:rsidR="005404A5" w:rsidRPr="00F45179">
        <w:rPr>
          <w:b/>
        </w:rPr>
        <w:lastRenderedPageBreak/>
        <w:t>TRANSPORT FOR EDINBURGH LIMITED</w:t>
      </w:r>
    </w:p>
    <w:p w14:paraId="1163CD5E" w14:textId="77777777" w:rsidR="005404A5" w:rsidRPr="00F45179" w:rsidRDefault="005404A5" w:rsidP="005404A5">
      <w:pPr>
        <w:jc w:val="center"/>
        <w:rPr>
          <w:b/>
        </w:rPr>
      </w:pPr>
    </w:p>
    <w:p w14:paraId="3CCA5116" w14:textId="77777777" w:rsidR="005404A5" w:rsidRPr="00F45179" w:rsidRDefault="005404A5" w:rsidP="005404A5">
      <w:pPr>
        <w:jc w:val="center"/>
        <w:rPr>
          <w:b/>
        </w:rPr>
      </w:pPr>
      <w:r w:rsidRPr="00F45179">
        <w:rPr>
          <w:b/>
        </w:rPr>
        <w:t>Notes to the Financial Statements (continued)</w:t>
      </w:r>
    </w:p>
    <w:p w14:paraId="38958CD6" w14:textId="77777777" w:rsidR="005404A5" w:rsidRPr="00F45179" w:rsidRDefault="005404A5" w:rsidP="005404A5">
      <w:pPr>
        <w:jc w:val="center"/>
        <w:rPr>
          <w:b/>
        </w:rPr>
      </w:pPr>
    </w:p>
    <w:p w14:paraId="5C48D165" w14:textId="77777777" w:rsidR="005404A5" w:rsidRDefault="00D90B89" w:rsidP="005404A5">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7095FFDB" w14:textId="77777777" w:rsidR="008F4946" w:rsidRPr="00F45179" w:rsidRDefault="008F4946" w:rsidP="005404A5">
      <w:pPr>
        <w:jc w:val="center"/>
      </w:pPr>
    </w:p>
    <w:bookmarkEnd w:id="34"/>
    <w:p w14:paraId="4585718A" w14:textId="77777777" w:rsidR="008F4946" w:rsidRPr="0008397D" w:rsidRDefault="008F4946" w:rsidP="008F4946">
      <w:pPr>
        <w:jc w:val="both"/>
      </w:pPr>
      <w:r w:rsidRPr="0008397D">
        <w:rPr>
          <w:b/>
        </w:rPr>
        <w:t>9.</w:t>
      </w:r>
      <w:r w:rsidRPr="0008397D">
        <w:rPr>
          <w:b/>
        </w:rPr>
        <w:tab/>
        <w:t>Intangible assets</w:t>
      </w:r>
    </w:p>
    <w:tbl>
      <w:tblPr>
        <w:tblW w:w="10206" w:type="dxa"/>
        <w:tblInd w:w="108" w:type="dxa"/>
        <w:tblLayout w:type="fixed"/>
        <w:tblLook w:val="01E0" w:firstRow="1" w:lastRow="1" w:firstColumn="1" w:lastColumn="1" w:noHBand="0" w:noVBand="0"/>
      </w:tblPr>
      <w:tblGrid>
        <w:gridCol w:w="3401"/>
        <w:gridCol w:w="1418"/>
        <w:gridCol w:w="1417"/>
        <w:gridCol w:w="1276"/>
        <w:gridCol w:w="1418"/>
        <w:gridCol w:w="1276"/>
      </w:tblGrid>
      <w:tr w:rsidR="008F4946" w:rsidRPr="0008397D" w14:paraId="3DC8E2DC" w14:textId="77777777" w:rsidTr="004E3083">
        <w:tc>
          <w:tcPr>
            <w:tcW w:w="3402" w:type="dxa"/>
            <w:vAlign w:val="bottom"/>
          </w:tcPr>
          <w:p w14:paraId="2B619413" w14:textId="77777777" w:rsidR="008F4946" w:rsidRPr="0008397D" w:rsidRDefault="008F4946" w:rsidP="00872B96">
            <w:pPr>
              <w:jc w:val="center"/>
            </w:pPr>
          </w:p>
        </w:tc>
        <w:tc>
          <w:tcPr>
            <w:tcW w:w="1418" w:type="dxa"/>
            <w:vAlign w:val="bottom"/>
          </w:tcPr>
          <w:p w14:paraId="597A67AE" w14:textId="77777777" w:rsidR="008F4946" w:rsidRPr="0008397D" w:rsidRDefault="008F4946" w:rsidP="00872B96">
            <w:pPr>
              <w:ind w:right="168"/>
              <w:jc w:val="center"/>
              <w:rPr>
                <w:b/>
              </w:rPr>
            </w:pPr>
          </w:p>
        </w:tc>
        <w:tc>
          <w:tcPr>
            <w:tcW w:w="1417" w:type="dxa"/>
            <w:vAlign w:val="bottom"/>
          </w:tcPr>
          <w:p w14:paraId="47E862B1" w14:textId="77777777" w:rsidR="008F4946" w:rsidRPr="0008397D" w:rsidRDefault="008F4946" w:rsidP="00872B96">
            <w:pPr>
              <w:ind w:right="33"/>
              <w:jc w:val="center"/>
              <w:rPr>
                <w:b/>
              </w:rPr>
            </w:pPr>
          </w:p>
        </w:tc>
        <w:tc>
          <w:tcPr>
            <w:tcW w:w="1276" w:type="dxa"/>
            <w:vAlign w:val="bottom"/>
          </w:tcPr>
          <w:p w14:paraId="391EEA08" w14:textId="77777777" w:rsidR="008F4946" w:rsidRPr="0008397D" w:rsidRDefault="008F4946" w:rsidP="00872B96">
            <w:pPr>
              <w:ind w:right="34"/>
              <w:jc w:val="center"/>
              <w:rPr>
                <w:b/>
              </w:rPr>
            </w:pPr>
            <w:r w:rsidRPr="0008397D">
              <w:rPr>
                <w:b/>
              </w:rPr>
              <w:t>Goodwill</w:t>
            </w:r>
          </w:p>
        </w:tc>
        <w:tc>
          <w:tcPr>
            <w:tcW w:w="1418" w:type="dxa"/>
            <w:vAlign w:val="bottom"/>
          </w:tcPr>
          <w:p w14:paraId="7205048D" w14:textId="77777777" w:rsidR="008F4946" w:rsidRPr="0008397D" w:rsidRDefault="008F4946" w:rsidP="00872B96">
            <w:pPr>
              <w:ind w:right="33"/>
              <w:jc w:val="center"/>
              <w:rPr>
                <w:b/>
              </w:rPr>
            </w:pPr>
            <w:r w:rsidRPr="0008397D">
              <w:rPr>
                <w:b/>
              </w:rPr>
              <w:t>Customer Contracts</w:t>
            </w:r>
          </w:p>
        </w:tc>
        <w:tc>
          <w:tcPr>
            <w:tcW w:w="1275" w:type="dxa"/>
            <w:vAlign w:val="bottom"/>
          </w:tcPr>
          <w:p w14:paraId="458C98A6" w14:textId="77777777" w:rsidR="008F4946" w:rsidRPr="0008397D" w:rsidRDefault="008F4946" w:rsidP="00872B96">
            <w:pPr>
              <w:ind w:right="33"/>
              <w:jc w:val="center"/>
              <w:rPr>
                <w:b/>
              </w:rPr>
            </w:pPr>
            <w:r w:rsidRPr="0008397D">
              <w:rPr>
                <w:b/>
              </w:rPr>
              <w:t>Total</w:t>
            </w:r>
          </w:p>
        </w:tc>
      </w:tr>
      <w:tr w:rsidR="008F4946" w:rsidRPr="0008397D" w14:paraId="1D2D68F2" w14:textId="77777777" w:rsidTr="004E3083">
        <w:tc>
          <w:tcPr>
            <w:tcW w:w="3402" w:type="dxa"/>
          </w:tcPr>
          <w:p w14:paraId="5EB3E17F" w14:textId="77777777" w:rsidR="008F4946" w:rsidRPr="0008397D" w:rsidRDefault="008F4946" w:rsidP="00872B96"/>
        </w:tc>
        <w:tc>
          <w:tcPr>
            <w:tcW w:w="1418" w:type="dxa"/>
          </w:tcPr>
          <w:p w14:paraId="35DE9B3B" w14:textId="77777777" w:rsidR="008F4946" w:rsidRPr="0008397D" w:rsidRDefault="008F4946" w:rsidP="00872B96">
            <w:pPr>
              <w:ind w:right="34"/>
              <w:jc w:val="center"/>
              <w:rPr>
                <w:b/>
              </w:rPr>
            </w:pPr>
          </w:p>
        </w:tc>
        <w:tc>
          <w:tcPr>
            <w:tcW w:w="1417" w:type="dxa"/>
          </w:tcPr>
          <w:p w14:paraId="37F5F4F6" w14:textId="77777777" w:rsidR="008F4946" w:rsidRPr="0008397D" w:rsidRDefault="008F4946" w:rsidP="00872B96">
            <w:pPr>
              <w:ind w:right="33"/>
              <w:jc w:val="center"/>
              <w:rPr>
                <w:b/>
              </w:rPr>
            </w:pPr>
          </w:p>
        </w:tc>
        <w:tc>
          <w:tcPr>
            <w:tcW w:w="1276" w:type="dxa"/>
          </w:tcPr>
          <w:p w14:paraId="71C342A1" w14:textId="77777777" w:rsidR="008F4946" w:rsidRPr="0008397D" w:rsidRDefault="008F4946" w:rsidP="00872B96">
            <w:pPr>
              <w:ind w:right="34"/>
              <w:jc w:val="center"/>
              <w:rPr>
                <w:b/>
              </w:rPr>
            </w:pPr>
            <w:r w:rsidRPr="0008397D">
              <w:rPr>
                <w:b/>
              </w:rPr>
              <w:t>£’000</w:t>
            </w:r>
          </w:p>
        </w:tc>
        <w:tc>
          <w:tcPr>
            <w:tcW w:w="1418" w:type="dxa"/>
          </w:tcPr>
          <w:p w14:paraId="6ADFFC58" w14:textId="77777777" w:rsidR="008F4946" w:rsidRPr="0008397D" w:rsidRDefault="008F4946" w:rsidP="00872B96">
            <w:pPr>
              <w:ind w:right="33"/>
              <w:jc w:val="center"/>
              <w:rPr>
                <w:b/>
              </w:rPr>
            </w:pPr>
            <w:r w:rsidRPr="0008397D">
              <w:rPr>
                <w:b/>
              </w:rPr>
              <w:t>£’000</w:t>
            </w:r>
          </w:p>
        </w:tc>
        <w:tc>
          <w:tcPr>
            <w:tcW w:w="1275" w:type="dxa"/>
          </w:tcPr>
          <w:p w14:paraId="2DE09E80" w14:textId="77777777" w:rsidR="008F4946" w:rsidRPr="0008397D" w:rsidRDefault="008F4946" w:rsidP="00872B96">
            <w:pPr>
              <w:ind w:right="33"/>
              <w:jc w:val="center"/>
              <w:rPr>
                <w:b/>
              </w:rPr>
            </w:pPr>
            <w:r w:rsidRPr="0008397D">
              <w:rPr>
                <w:b/>
              </w:rPr>
              <w:t>£’000</w:t>
            </w:r>
          </w:p>
        </w:tc>
      </w:tr>
      <w:tr w:rsidR="008F4946" w:rsidRPr="0008397D" w14:paraId="48722852" w14:textId="77777777" w:rsidTr="004E3083">
        <w:tc>
          <w:tcPr>
            <w:tcW w:w="3402" w:type="dxa"/>
          </w:tcPr>
          <w:p w14:paraId="721FDA96" w14:textId="77777777" w:rsidR="008F4946" w:rsidRPr="0008397D" w:rsidRDefault="008F4946" w:rsidP="00872B96">
            <w:pPr>
              <w:rPr>
                <w:b/>
              </w:rPr>
            </w:pPr>
            <w:r w:rsidRPr="0008397D">
              <w:rPr>
                <w:b/>
              </w:rPr>
              <w:t>Group</w:t>
            </w:r>
          </w:p>
        </w:tc>
        <w:tc>
          <w:tcPr>
            <w:tcW w:w="1418" w:type="dxa"/>
          </w:tcPr>
          <w:p w14:paraId="4B11A20E" w14:textId="77777777" w:rsidR="008F4946" w:rsidRPr="0008397D" w:rsidRDefault="008F4946" w:rsidP="00872B96">
            <w:pPr>
              <w:ind w:right="34"/>
              <w:jc w:val="right"/>
            </w:pPr>
          </w:p>
        </w:tc>
        <w:tc>
          <w:tcPr>
            <w:tcW w:w="1417" w:type="dxa"/>
          </w:tcPr>
          <w:p w14:paraId="7E82CCC6" w14:textId="77777777" w:rsidR="008F4946" w:rsidRPr="0008397D" w:rsidRDefault="008F4946" w:rsidP="00872B96">
            <w:pPr>
              <w:ind w:right="33"/>
              <w:jc w:val="right"/>
            </w:pPr>
          </w:p>
        </w:tc>
        <w:tc>
          <w:tcPr>
            <w:tcW w:w="1276" w:type="dxa"/>
          </w:tcPr>
          <w:p w14:paraId="7AF6B206" w14:textId="77777777" w:rsidR="008F4946" w:rsidRPr="0008397D" w:rsidRDefault="008F4946" w:rsidP="00872B96">
            <w:pPr>
              <w:ind w:right="34"/>
              <w:jc w:val="right"/>
            </w:pPr>
          </w:p>
        </w:tc>
        <w:tc>
          <w:tcPr>
            <w:tcW w:w="1418" w:type="dxa"/>
          </w:tcPr>
          <w:p w14:paraId="6518982C" w14:textId="77777777" w:rsidR="008F4946" w:rsidRPr="0008397D" w:rsidRDefault="008F4946" w:rsidP="00872B96">
            <w:pPr>
              <w:ind w:right="33"/>
              <w:jc w:val="right"/>
            </w:pPr>
          </w:p>
        </w:tc>
        <w:tc>
          <w:tcPr>
            <w:tcW w:w="1275" w:type="dxa"/>
          </w:tcPr>
          <w:p w14:paraId="7B92C3E5" w14:textId="77777777" w:rsidR="008F4946" w:rsidRPr="0008397D" w:rsidRDefault="008F4946" w:rsidP="00872B96">
            <w:pPr>
              <w:ind w:right="33"/>
              <w:jc w:val="right"/>
            </w:pPr>
          </w:p>
        </w:tc>
      </w:tr>
      <w:tr w:rsidR="008F4946" w:rsidRPr="0008397D" w14:paraId="10615BF3" w14:textId="77777777" w:rsidTr="00872B96">
        <w:tc>
          <w:tcPr>
            <w:tcW w:w="3402" w:type="dxa"/>
          </w:tcPr>
          <w:p w14:paraId="5E819CA4" w14:textId="77777777" w:rsidR="008F4946" w:rsidRPr="0008397D" w:rsidRDefault="008F4946" w:rsidP="00872B96">
            <w:pPr>
              <w:rPr>
                <w:b/>
              </w:rPr>
            </w:pPr>
            <w:r w:rsidRPr="0008397D">
              <w:rPr>
                <w:b/>
              </w:rPr>
              <w:t>Cost</w:t>
            </w:r>
          </w:p>
        </w:tc>
        <w:tc>
          <w:tcPr>
            <w:tcW w:w="1418" w:type="dxa"/>
          </w:tcPr>
          <w:p w14:paraId="2D632B07" w14:textId="77777777" w:rsidR="008F4946" w:rsidRPr="0008397D" w:rsidRDefault="008F4946" w:rsidP="00872B96">
            <w:pPr>
              <w:ind w:right="34"/>
              <w:jc w:val="right"/>
            </w:pPr>
          </w:p>
        </w:tc>
        <w:tc>
          <w:tcPr>
            <w:tcW w:w="1417" w:type="dxa"/>
          </w:tcPr>
          <w:p w14:paraId="50767127" w14:textId="77777777" w:rsidR="008F4946" w:rsidRPr="0008397D" w:rsidRDefault="008F4946" w:rsidP="00872B96">
            <w:pPr>
              <w:ind w:right="33"/>
              <w:jc w:val="right"/>
            </w:pPr>
          </w:p>
        </w:tc>
        <w:tc>
          <w:tcPr>
            <w:tcW w:w="1276" w:type="dxa"/>
          </w:tcPr>
          <w:p w14:paraId="6ADFB530" w14:textId="77777777" w:rsidR="008F4946" w:rsidRPr="0008397D" w:rsidRDefault="008F4946" w:rsidP="00872B96">
            <w:pPr>
              <w:ind w:right="34"/>
              <w:jc w:val="right"/>
            </w:pPr>
          </w:p>
        </w:tc>
        <w:tc>
          <w:tcPr>
            <w:tcW w:w="1417" w:type="dxa"/>
          </w:tcPr>
          <w:p w14:paraId="2336F258" w14:textId="77777777" w:rsidR="008F4946" w:rsidRPr="0008397D" w:rsidRDefault="008F4946" w:rsidP="00872B96">
            <w:pPr>
              <w:ind w:right="33"/>
              <w:jc w:val="right"/>
            </w:pPr>
          </w:p>
        </w:tc>
        <w:tc>
          <w:tcPr>
            <w:tcW w:w="1276" w:type="dxa"/>
          </w:tcPr>
          <w:p w14:paraId="0DFBCFD8" w14:textId="77777777" w:rsidR="008F4946" w:rsidRPr="0008397D" w:rsidRDefault="008F4946" w:rsidP="00872B96">
            <w:pPr>
              <w:ind w:right="33"/>
              <w:jc w:val="right"/>
            </w:pPr>
          </w:p>
        </w:tc>
      </w:tr>
      <w:tr w:rsidR="008F4946" w:rsidRPr="0008397D" w14:paraId="698210E6" w14:textId="77777777" w:rsidTr="00872B96">
        <w:tc>
          <w:tcPr>
            <w:tcW w:w="3402" w:type="dxa"/>
          </w:tcPr>
          <w:p w14:paraId="021141E3" w14:textId="77777777" w:rsidR="008F4946" w:rsidRPr="0008397D" w:rsidRDefault="008F4946" w:rsidP="00872B96">
            <w:r w:rsidRPr="0008397D">
              <w:rPr>
                <w:b/>
              </w:rPr>
              <w:t>At 3</w:t>
            </w:r>
            <w:r w:rsidR="001344CE">
              <w:rPr>
                <w:b/>
              </w:rPr>
              <w:t>0</w:t>
            </w:r>
            <w:r w:rsidRPr="0008397D">
              <w:rPr>
                <w:b/>
              </w:rPr>
              <w:t xml:space="preserve"> December 2023</w:t>
            </w:r>
          </w:p>
        </w:tc>
        <w:tc>
          <w:tcPr>
            <w:tcW w:w="1418" w:type="dxa"/>
          </w:tcPr>
          <w:p w14:paraId="6B195550" w14:textId="77777777" w:rsidR="008F4946" w:rsidRPr="0008397D" w:rsidRDefault="008F4946" w:rsidP="00872B96">
            <w:pPr>
              <w:ind w:right="34"/>
              <w:jc w:val="right"/>
            </w:pPr>
          </w:p>
        </w:tc>
        <w:tc>
          <w:tcPr>
            <w:tcW w:w="1417" w:type="dxa"/>
          </w:tcPr>
          <w:p w14:paraId="45EAD294" w14:textId="77777777" w:rsidR="008F4946" w:rsidRPr="0008397D" w:rsidRDefault="008F4946" w:rsidP="00872B96">
            <w:pPr>
              <w:ind w:right="4"/>
              <w:jc w:val="right"/>
            </w:pPr>
          </w:p>
        </w:tc>
        <w:tc>
          <w:tcPr>
            <w:tcW w:w="1276" w:type="dxa"/>
          </w:tcPr>
          <w:p w14:paraId="5C9D538D" w14:textId="77777777" w:rsidR="008F4946" w:rsidRPr="0008397D" w:rsidRDefault="008F4946" w:rsidP="00872B96">
            <w:pPr>
              <w:ind w:right="34"/>
              <w:jc w:val="right"/>
            </w:pPr>
            <w:r w:rsidRPr="0008397D">
              <w:t>-</w:t>
            </w:r>
          </w:p>
        </w:tc>
        <w:tc>
          <w:tcPr>
            <w:tcW w:w="1417" w:type="dxa"/>
          </w:tcPr>
          <w:p w14:paraId="1A9B359F" w14:textId="77777777" w:rsidR="008F4946" w:rsidRPr="0008397D" w:rsidRDefault="008F4946" w:rsidP="00872B96">
            <w:pPr>
              <w:ind w:right="34"/>
              <w:jc w:val="right"/>
            </w:pPr>
            <w:r w:rsidRPr="0008397D">
              <w:t>-</w:t>
            </w:r>
          </w:p>
        </w:tc>
        <w:tc>
          <w:tcPr>
            <w:tcW w:w="1276" w:type="dxa"/>
          </w:tcPr>
          <w:p w14:paraId="4F64CFBB" w14:textId="77777777" w:rsidR="008F4946" w:rsidRPr="0008397D" w:rsidRDefault="008F4946" w:rsidP="00872B96">
            <w:pPr>
              <w:ind w:right="33"/>
              <w:jc w:val="right"/>
            </w:pPr>
            <w:r w:rsidRPr="0008397D">
              <w:t>-</w:t>
            </w:r>
          </w:p>
        </w:tc>
      </w:tr>
      <w:tr w:rsidR="008F4946" w:rsidRPr="0008397D" w14:paraId="466BC25A" w14:textId="77777777" w:rsidTr="00872B96">
        <w:tc>
          <w:tcPr>
            <w:tcW w:w="3402" w:type="dxa"/>
          </w:tcPr>
          <w:p w14:paraId="3DCF2AD6" w14:textId="77777777" w:rsidR="008F4946" w:rsidRPr="0008397D" w:rsidRDefault="008F4946" w:rsidP="00872B96">
            <w:r w:rsidRPr="0008397D">
              <w:t>Additions</w:t>
            </w:r>
            <w:r w:rsidR="00CE5628">
              <w:t xml:space="preserve"> (note 10)</w:t>
            </w:r>
          </w:p>
        </w:tc>
        <w:tc>
          <w:tcPr>
            <w:tcW w:w="1418" w:type="dxa"/>
          </w:tcPr>
          <w:p w14:paraId="4FAB2111" w14:textId="77777777" w:rsidR="008F4946" w:rsidRPr="0008397D" w:rsidRDefault="008F4946" w:rsidP="00872B96">
            <w:pPr>
              <w:ind w:right="34"/>
              <w:jc w:val="right"/>
            </w:pPr>
          </w:p>
        </w:tc>
        <w:tc>
          <w:tcPr>
            <w:tcW w:w="1417" w:type="dxa"/>
          </w:tcPr>
          <w:p w14:paraId="73207465" w14:textId="77777777" w:rsidR="008F4946" w:rsidRPr="0008397D" w:rsidRDefault="008F4946" w:rsidP="00872B96">
            <w:pPr>
              <w:ind w:right="4"/>
              <w:jc w:val="right"/>
            </w:pPr>
          </w:p>
        </w:tc>
        <w:tc>
          <w:tcPr>
            <w:tcW w:w="1276" w:type="dxa"/>
          </w:tcPr>
          <w:p w14:paraId="3F1E441F" w14:textId="77777777" w:rsidR="008F4946" w:rsidRPr="0008397D" w:rsidRDefault="008F4946" w:rsidP="00872B96">
            <w:pPr>
              <w:ind w:right="34"/>
              <w:jc w:val="right"/>
            </w:pPr>
            <w:r w:rsidRPr="0008397D">
              <w:t>(126)</w:t>
            </w:r>
          </w:p>
        </w:tc>
        <w:tc>
          <w:tcPr>
            <w:tcW w:w="1417" w:type="dxa"/>
          </w:tcPr>
          <w:p w14:paraId="072835CD" w14:textId="77777777" w:rsidR="008F4946" w:rsidRPr="0008397D" w:rsidRDefault="008F4946" w:rsidP="00872B96">
            <w:pPr>
              <w:ind w:right="34"/>
              <w:jc w:val="right"/>
            </w:pPr>
            <w:r w:rsidRPr="0008397D">
              <w:t>1,875</w:t>
            </w:r>
          </w:p>
        </w:tc>
        <w:tc>
          <w:tcPr>
            <w:tcW w:w="1276" w:type="dxa"/>
          </w:tcPr>
          <w:p w14:paraId="2CA4B977" w14:textId="77777777" w:rsidR="008F4946" w:rsidRPr="0008397D" w:rsidRDefault="008F4946" w:rsidP="00872B96">
            <w:pPr>
              <w:ind w:right="33"/>
              <w:jc w:val="right"/>
            </w:pPr>
            <w:r w:rsidRPr="0008397D">
              <w:t>1,749</w:t>
            </w:r>
          </w:p>
        </w:tc>
      </w:tr>
      <w:tr w:rsidR="008F4946" w:rsidRPr="0008397D" w14:paraId="6C3619E4" w14:textId="77777777" w:rsidTr="00872B96">
        <w:tc>
          <w:tcPr>
            <w:tcW w:w="3402" w:type="dxa"/>
          </w:tcPr>
          <w:p w14:paraId="2F0BD269" w14:textId="77777777" w:rsidR="008F4946" w:rsidRPr="0008397D" w:rsidRDefault="008F4946" w:rsidP="00872B96"/>
        </w:tc>
        <w:tc>
          <w:tcPr>
            <w:tcW w:w="1418" w:type="dxa"/>
          </w:tcPr>
          <w:p w14:paraId="7393C635" w14:textId="77777777" w:rsidR="008F4946" w:rsidRPr="0008397D" w:rsidRDefault="008F4946" w:rsidP="00872B96">
            <w:pPr>
              <w:ind w:right="34"/>
              <w:jc w:val="right"/>
              <w:rPr>
                <w:spacing w:val="-2"/>
              </w:rPr>
            </w:pPr>
          </w:p>
        </w:tc>
        <w:tc>
          <w:tcPr>
            <w:tcW w:w="1417" w:type="dxa"/>
          </w:tcPr>
          <w:p w14:paraId="0727C4B6" w14:textId="77777777" w:rsidR="008F4946" w:rsidRPr="0008397D" w:rsidRDefault="008F4946" w:rsidP="00872B96">
            <w:pPr>
              <w:ind w:right="33"/>
              <w:jc w:val="right"/>
            </w:pPr>
          </w:p>
        </w:tc>
        <w:tc>
          <w:tcPr>
            <w:tcW w:w="1276" w:type="dxa"/>
          </w:tcPr>
          <w:p w14:paraId="1BB22B7F" w14:textId="77777777" w:rsidR="008F4946" w:rsidRPr="0008397D" w:rsidRDefault="008F4946" w:rsidP="00872B96">
            <w:pPr>
              <w:ind w:right="34"/>
              <w:jc w:val="right"/>
            </w:pPr>
            <w:r w:rsidRPr="0008397D">
              <w:rPr>
                <w:spacing w:val="-2"/>
              </w:rPr>
              <w:t>───────</w:t>
            </w:r>
          </w:p>
        </w:tc>
        <w:tc>
          <w:tcPr>
            <w:tcW w:w="1417" w:type="dxa"/>
          </w:tcPr>
          <w:p w14:paraId="1D3B7584" w14:textId="77777777" w:rsidR="008F4946" w:rsidRPr="0008397D" w:rsidRDefault="008F4946" w:rsidP="00872B96">
            <w:pPr>
              <w:ind w:right="33"/>
              <w:jc w:val="right"/>
            </w:pPr>
            <w:r w:rsidRPr="0008397D">
              <w:rPr>
                <w:spacing w:val="-2"/>
              </w:rPr>
              <w:t>───────</w:t>
            </w:r>
          </w:p>
        </w:tc>
        <w:tc>
          <w:tcPr>
            <w:tcW w:w="1276" w:type="dxa"/>
          </w:tcPr>
          <w:p w14:paraId="0D17FC48" w14:textId="77777777" w:rsidR="008F4946" w:rsidRPr="0008397D" w:rsidRDefault="008F4946" w:rsidP="00872B96">
            <w:pPr>
              <w:ind w:right="33"/>
              <w:jc w:val="right"/>
            </w:pPr>
            <w:r w:rsidRPr="0008397D">
              <w:rPr>
                <w:spacing w:val="-2"/>
              </w:rPr>
              <w:t>───────</w:t>
            </w:r>
          </w:p>
        </w:tc>
      </w:tr>
      <w:tr w:rsidR="008F4946" w:rsidRPr="0008397D" w14:paraId="763857EF" w14:textId="77777777" w:rsidTr="00872B96">
        <w:tc>
          <w:tcPr>
            <w:tcW w:w="3402" w:type="dxa"/>
          </w:tcPr>
          <w:p w14:paraId="728C2175" w14:textId="77777777" w:rsidR="008F4946" w:rsidRPr="0008397D" w:rsidRDefault="008F4946" w:rsidP="00872B96">
            <w:r w:rsidRPr="0008397D">
              <w:rPr>
                <w:b/>
              </w:rPr>
              <w:t>At 28 December 2024</w:t>
            </w:r>
          </w:p>
        </w:tc>
        <w:tc>
          <w:tcPr>
            <w:tcW w:w="1418" w:type="dxa"/>
          </w:tcPr>
          <w:p w14:paraId="04EC796C" w14:textId="77777777" w:rsidR="008F4946" w:rsidRPr="0008397D" w:rsidRDefault="008F4946" w:rsidP="00872B96">
            <w:pPr>
              <w:ind w:right="34"/>
              <w:jc w:val="right"/>
            </w:pPr>
          </w:p>
        </w:tc>
        <w:tc>
          <w:tcPr>
            <w:tcW w:w="1417" w:type="dxa"/>
          </w:tcPr>
          <w:p w14:paraId="7EFAD7B5" w14:textId="77777777" w:rsidR="008F4946" w:rsidRPr="0008397D" w:rsidRDefault="008F4946" w:rsidP="00872B96">
            <w:pPr>
              <w:ind w:right="4"/>
              <w:jc w:val="right"/>
            </w:pPr>
          </w:p>
        </w:tc>
        <w:tc>
          <w:tcPr>
            <w:tcW w:w="1276" w:type="dxa"/>
          </w:tcPr>
          <w:p w14:paraId="783232C9" w14:textId="77777777" w:rsidR="008F4946" w:rsidRPr="0008397D" w:rsidRDefault="008F4946" w:rsidP="00872B96">
            <w:pPr>
              <w:ind w:right="34"/>
              <w:jc w:val="right"/>
            </w:pPr>
            <w:r w:rsidRPr="0008397D">
              <w:t>(126)</w:t>
            </w:r>
          </w:p>
        </w:tc>
        <w:tc>
          <w:tcPr>
            <w:tcW w:w="1417" w:type="dxa"/>
          </w:tcPr>
          <w:p w14:paraId="38D348EC" w14:textId="77777777" w:rsidR="008F4946" w:rsidRPr="0008397D" w:rsidRDefault="008F4946" w:rsidP="00872B96">
            <w:pPr>
              <w:ind w:right="34"/>
              <w:jc w:val="right"/>
            </w:pPr>
            <w:r w:rsidRPr="0008397D">
              <w:t>1,875</w:t>
            </w:r>
          </w:p>
        </w:tc>
        <w:tc>
          <w:tcPr>
            <w:tcW w:w="1276" w:type="dxa"/>
          </w:tcPr>
          <w:p w14:paraId="1CA161F9" w14:textId="77777777" w:rsidR="008F4946" w:rsidRPr="0008397D" w:rsidRDefault="008F4946" w:rsidP="00872B96">
            <w:pPr>
              <w:ind w:right="33"/>
              <w:jc w:val="right"/>
            </w:pPr>
            <w:r w:rsidRPr="0008397D">
              <w:t>1,749</w:t>
            </w:r>
          </w:p>
        </w:tc>
      </w:tr>
      <w:tr w:rsidR="008F4946" w:rsidRPr="0008397D" w14:paraId="7349E44F" w14:textId="77777777" w:rsidTr="00872B96">
        <w:tc>
          <w:tcPr>
            <w:tcW w:w="3402" w:type="dxa"/>
          </w:tcPr>
          <w:p w14:paraId="6A925ACA" w14:textId="77777777" w:rsidR="008F4946" w:rsidRPr="0008397D" w:rsidRDefault="008F4946" w:rsidP="00872B96"/>
        </w:tc>
        <w:tc>
          <w:tcPr>
            <w:tcW w:w="1418" w:type="dxa"/>
          </w:tcPr>
          <w:p w14:paraId="0BB1F80A" w14:textId="77777777" w:rsidR="008F4946" w:rsidRPr="0008397D" w:rsidRDefault="008F4946" w:rsidP="00872B96">
            <w:pPr>
              <w:ind w:right="34"/>
              <w:jc w:val="right"/>
            </w:pPr>
          </w:p>
        </w:tc>
        <w:tc>
          <w:tcPr>
            <w:tcW w:w="1417" w:type="dxa"/>
          </w:tcPr>
          <w:p w14:paraId="45854663" w14:textId="77777777" w:rsidR="008F4946" w:rsidRPr="0008397D" w:rsidRDefault="008F4946" w:rsidP="00872B96">
            <w:pPr>
              <w:ind w:right="33"/>
              <w:jc w:val="right"/>
            </w:pPr>
          </w:p>
        </w:tc>
        <w:tc>
          <w:tcPr>
            <w:tcW w:w="1276" w:type="dxa"/>
          </w:tcPr>
          <w:p w14:paraId="24EA2AFE" w14:textId="77777777" w:rsidR="008F4946" w:rsidRPr="0008397D" w:rsidRDefault="008F4946" w:rsidP="00872B96">
            <w:pPr>
              <w:ind w:right="34"/>
              <w:jc w:val="right"/>
            </w:pPr>
            <w:r w:rsidRPr="0008397D">
              <w:rPr>
                <w:spacing w:val="-2"/>
              </w:rPr>
              <w:t>───────</w:t>
            </w:r>
          </w:p>
        </w:tc>
        <w:tc>
          <w:tcPr>
            <w:tcW w:w="1417" w:type="dxa"/>
          </w:tcPr>
          <w:p w14:paraId="468022BF" w14:textId="77777777" w:rsidR="008F4946" w:rsidRPr="0008397D" w:rsidRDefault="008F4946" w:rsidP="00872B96">
            <w:pPr>
              <w:ind w:right="33"/>
              <w:jc w:val="right"/>
            </w:pPr>
            <w:r w:rsidRPr="0008397D">
              <w:rPr>
                <w:spacing w:val="-2"/>
              </w:rPr>
              <w:t>───────</w:t>
            </w:r>
          </w:p>
        </w:tc>
        <w:tc>
          <w:tcPr>
            <w:tcW w:w="1276" w:type="dxa"/>
          </w:tcPr>
          <w:p w14:paraId="3CC1D660" w14:textId="77777777" w:rsidR="008F4946" w:rsidRPr="0008397D" w:rsidRDefault="008F4946" w:rsidP="00872B96">
            <w:pPr>
              <w:ind w:right="33"/>
              <w:jc w:val="right"/>
            </w:pPr>
            <w:r w:rsidRPr="0008397D">
              <w:rPr>
                <w:spacing w:val="-2"/>
              </w:rPr>
              <w:t>───────</w:t>
            </w:r>
          </w:p>
        </w:tc>
      </w:tr>
      <w:tr w:rsidR="008F4946" w:rsidRPr="0008397D" w14:paraId="719859AF" w14:textId="77777777" w:rsidTr="00872B96">
        <w:tc>
          <w:tcPr>
            <w:tcW w:w="3402" w:type="dxa"/>
          </w:tcPr>
          <w:p w14:paraId="74C896D1" w14:textId="77777777" w:rsidR="008F4946" w:rsidRPr="0008397D" w:rsidRDefault="008F4946" w:rsidP="00872B96">
            <w:pPr>
              <w:rPr>
                <w:b/>
              </w:rPr>
            </w:pPr>
            <w:r w:rsidRPr="0008397D">
              <w:rPr>
                <w:b/>
              </w:rPr>
              <w:t>Accumulated amortisation</w:t>
            </w:r>
          </w:p>
        </w:tc>
        <w:tc>
          <w:tcPr>
            <w:tcW w:w="1418" w:type="dxa"/>
          </w:tcPr>
          <w:p w14:paraId="4E4ED453" w14:textId="77777777" w:rsidR="008F4946" w:rsidRPr="0008397D" w:rsidRDefault="008F4946" w:rsidP="00872B96">
            <w:pPr>
              <w:ind w:right="34"/>
              <w:jc w:val="right"/>
            </w:pPr>
          </w:p>
        </w:tc>
        <w:tc>
          <w:tcPr>
            <w:tcW w:w="1417" w:type="dxa"/>
          </w:tcPr>
          <w:p w14:paraId="41344C7E" w14:textId="77777777" w:rsidR="008F4946" w:rsidRPr="0008397D" w:rsidRDefault="008F4946" w:rsidP="00872B96">
            <w:pPr>
              <w:ind w:right="33"/>
              <w:jc w:val="right"/>
            </w:pPr>
          </w:p>
        </w:tc>
        <w:tc>
          <w:tcPr>
            <w:tcW w:w="1276" w:type="dxa"/>
          </w:tcPr>
          <w:p w14:paraId="0E675D89" w14:textId="77777777" w:rsidR="008F4946" w:rsidRPr="0008397D" w:rsidRDefault="008F4946" w:rsidP="00872B96">
            <w:pPr>
              <w:ind w:right="34"/>
              <w:jc w:val="right"/>
            </w:pPr>
          </w:p>
        </w:tc>
        <w:tc>
          <w:tcPr>
            <w:tcW w:w="1417" w:type="dxa"/>
          </w:tcPr>
          <w:p w14:paraId="2E7C097E" w14:textId="77777777" w:rsidR="008F4946" w:rsidRPr="0008397D" w:rsidRDefault="008F4946" w:rsidP="00872B96">
            <w:pPr>
              <w:ind w:right="33"/>
              <w:jc w:val="right"/>
            </w:pPr>
          </w:p>
        </w:tc>
        <w:tc>
          <w:tcPr>
            <w:tcW w:w="1276" w:type="dxa"/>
          </w:tcPr>
          <w:p w14:paraId="6784ED81" w14:textId="77777777" w:rsidR="008F4946" w:rsidRPr="0008397D" w:rsidRDefault="008F4946" w:rsidP="00872B96">
            <w:pPr>
              <w:ind w:right="33"/>
              <w:jc w:val="right"/>
            </w:pPr>
          </w:p>
        </w:tc>
      </w:tr>
      <w:tr w:rsidR="008F4946" w:rsidRPr="0008397D" w14:paraId="4DAE15E6" w14:textId="77777777" w:rsidTr="00872B96">
        <w:trPr>
          <w:trHeight w:val="231"/>
        </w:trPr>
        <w:tc>
          <w:tcPr>
            <w:tcW w:w="3402" w:type="dxa"/>
          </w:tcPr>
          <w:p w14:paraId="7CB57705" w14:textId="77777777" w:rsidR="008F4946" w:rsidRPr="0008397D" w:rsidRDefault="008F4946" w:rsidP="00872B96">
            <w:r w:rsidRPr="0008397D">
              <w:rPr>
                <w:b/>
              </w:rPr>
              <w:t>At 3</w:t>
            </w:r>
            <w:r w:rsidR="001344CE">
              <w:rPr>
                <w:b/>
              </w:rPr>
              <w:t>0</w:t>
            </w:r>
            <w:r w:rsidRPr="0008397D">
              <w:rPr>
                <w:b/>
              </w:rPr>
              <w:t xml:space="preserve"> December 2023</w:t>
            </w:r>
          </w:p>
        </w:tc>
        <w:tc>
          <w:tcPr>
            <w:tcW w:w="1418" w:type="dxa"/>
            <w:tcBorders>
              <w:top w:val="nil"/>
              <w:left w:val="nil"/>
              <w:bottom w:val="nil"/>
              <w:right w:val="nil"/>
            </w:tcBorders>
          </w:tcPr>
          <w:p w14:paraId="58A4031C" w14:textId="77777777" w:rsidR="008F4946" w:rsidRPr="0008397D" w:rsidRDefault="008F4946" w:rsidP="00872B96">
            <w:pPr>
              <w:ind w:right="34"/>
              <w:jc w:val="right"/>
              <w:rPr>
                <w:rFonts w:cs="Arial"/>
              </w:rPr>
            </w:pPr>
          </w:p>
        </w:tc>
        <w:tc>
          <w:tcPr>
            <w:tcW w:w="1417" w:type="dxa"/>
            <w:tcBorders>
              <w:top w:val="nil"/>
              <w:left w:val="nil"/>
              <w:bottom w:val="nil"/>
              <w:right w:val="nil"/>
            </w:tcBorders>
          </w:tcPr>
          <w:p w14:paraId="27183299" w14:textId="77777777" w:rsidR="008F4946" w:rsidRPr="0008397D" w:rsidRDefault="008F4946" w:rsidP="00872B96">
            <w:pPr>
              <w:ind w:right="33"/>
              <w:jc w:val="right"/>
              <w:rPr>
                <w:rFonts w:cs="Arial"/>
              </w:rPr>
            </w:pPr>
          </w:p>
        </w:tc>
        <w:tc>
          <w:tcPr>
            <w:tcW w:w="1276" w:type="dxa"/>
            <w:tcBorders>
              <w:top w:val="nil"/>
              <w:left w:val="nil"/>
              <w:bottom w:val="nil"/>
              <w:right w:val="nil"/>
            </w:tcBorders>
          </w:tcPr>
          <w:p w14:paraId="6659E0DC" w14:textId="77777777" w:rsidR="008F4946" w:rsidRPr="0008397D" w:rsidRDefault="008F4946" w:rsidP="00872B96">
            <w:pPr>
              <w:ind w:right="34"/>
              <w:jc w:val="right"/>
              <w:rPr>
                <w:rFonts w:cs="Arial"/>
              </w:rPr>
            </w:pPr>
            <w:r w:rsidRPr="0008397D">
              <w:rPr>
                <w:rFonts w:cs="Arial"/>
              </w:rPr>
              <w:t>-</w:t>
            </w:r>
          </w:p>
        </w:tc>
        <w:tc>
          <w:tcPr>
            <w:tcW w:w="1417" w:type="dxa"/>
            <w:tcBorders>
              <w:top w:val="nil"/>
              <w:left w:val="nil"/>
              <w:bottom w:val="nil"/>
              <w:right w:val="nil"/>
            </w:tcBorders>
          </w:tcPr>
          <w:p w14:paraId="21144A7D" w14:textId="77777777" w:rsidR="008F4946" w:rsidRPr="0008397D" w:rsidRDefault="008F4946" w:rsidP="00872B96">
            <w:pPr>
              <w:ind w:right="33"/>
              <w:jc w:val="right"/>
              <w:rPr>
                <w:rFonts w:cs="Arial"/>
              </w:rPr>
            </w:pPr>
            <w:r w:rsidRPr="0008397D">
              <w:rPr>
                <w:rFonts w:cs="Arial"/>
              </w:rPr>
              <w:t>-</w:t>
            </w:r>
          </w:p>
        </w:tc>
        <w:tc>
          <w:tcPr>
            <w:tcW w:w="1276" w:type="dxa"/>
            <w:tcBorders>
              <w:top w:val="nil"/>
              <w:left w:val="nil"/>
              <w:bottom w:val="nil"/>
              <w:right w:val="nil"/>
            </w:tcBorders>
          </w:tcPr>
          <w:p w14:paraId="227A6CD6" w14:textId="77777777" w:rsidR="008F4946" w:rsidRPr="0008397D" w:rsidRDefault="008F4946" w:rsidP="00872B96">
            <w:pPr>
              <w:ind w:right="33"/>
              <w:jc w:val="right"/>
              <w:rPr>
                <w:rFonts w:cs="Arial"/>
              </w:rPr>
            </w:pPr>
            <w:r w:rsidRPr="0008397D">
              <w:rPr>
                <w:rFonts w:cs="Arial"/>
              </w:rPr>
              <w:t>-</w:t>
            </w:r>
          </w:p>
        </w:tc>
      </w:tr>
      <w:tr w:rsidR="008F4946" w:rsidRPr="0008397D" w14:paraId="5AC367AA" w14:textId="77777777" w:rsidTr="00872B96">
        <w:tc>
          <w:tcPr>
            <w:tcW w:w="3402" w:type="dxa"/>
          </w:tcPr>
          <w:p w14:paraId="2A8AEF53" w14:textId="77777777" w:rsidR="008F4946" w:rsidRPr="0008397D" w:rsidRDefault="008F4946" w:rsidP="00872B96">
            <w:r w:rsidRPr="0008397D">
              <w:t>Credit/(charge) for the period</w:t>
            </w:r>
          </w:p>
        </w:tc>
        <w:tc>
          <w:tcPr>
            <w:tcW w:w="1418" w:type="dxa"/>
          </w:tcPr>
          <w:p w14:paraId="2F0C03AB" w14:textId="77777777" w:rsidR="008F4946" w:rsidRPr="0008397D" w:rsidRDefault="008F4946" w:rsidP="00872B96">
            <w:pPr>
              <w:ind w:right="34"/>
              <w:jc w:val="right"/>
              <w:rPr>
                <w:rFonts w:cs="Arial"/>
              </w:rPr>
            </w:pPr>
          </w:p>
        </w:tc>
        <w:tc>
          <w:tcPr>
            <w:tcW w:w="1417" w:type="dxa"/>
          </w:tcPr>
          <w:p w14:paraId="7AF579A7" w14:textId="77777777" w:rsidR="008F4946" w:rsidRPr="0008397D" w:rsidRDefault="008F4946" w:rsidP="00872B96">
            <w:pPr>
              <w:ind w:right="33"/>
              <w:jc w:val="right"/>
              <w:rPr>
                <w:rFonts w:cs="Arial"/>
              </w:rPr>
            </w:pPr>
          </w:p>
        </w:tc>
        <w:tc>
          <w:tcPr>
            <w:tcW w:w="1276" w:type="dxa"/>
          </w:tcPr>
          <w:p w14:paraId="36490743" w14:textId="77777777" w:rsidR="008F4946" w:rsidRPr="0008397D" w:rsidRDefault="008F4946" w:rsidP="00872B96">
            <w:pPr>
              <w:ind w:right="34"/>
              <w:jc w:val="right"/>
              <w:rPr>
                <w:rFonts w:cs="Arial"/>
              </w:rPr>
            </w:pPr>
            <w:r w:rsidRPr="0008397D">
              <w:rPr>
                <w:rFonts w:cs="Arial"/>
              </w:rPr>
              <w:t>126</w:t>
            </w:r>
          </w:p>
        </w:tc>
        <w:tc>
          <w:tcPr>
            <w:tcW w:w="1417" w:type="dxa"/>
          </w:tcPr>
          <w:p w14:paraId="2AA8581A" w14:textId="77777777" w:rsidR="008F4946" w:rsidRPr="0008397D" w:rsidRDefault="008F4946" w:rsidP="00872B96">
            <w:pPr>
              <w:ind w:right="33"/>
              <w:jc w:val="right"/>
              <w:rPr>
                <w:rFonts w:cs="Arial"/>
              </w:rPr>
            </w:pPr>
            <w:r w:rsidRPr="0008397D">
              <w:rPr>
                <w:rFonts w:cs="Arial"/>
              </w:rPr>
              <w:t>(1,389)</w:t>
            </w:r>
          </w:p>
        </w:tc>
        <w:tc>
          <w:tcPr>
            <w:tcW w:w="1276" w:type="dxa"/>
          </w:tcPr>
          <w:p w14:paraId="1748B138" w14:textId="77777777" w:rsidR="008F4946" w:rsidRPr="0008397D" w:rsidRDefault="008F4946" w:rsidP="00872B96">
            <w:pPr>
              <w:ind w:right="33"/>
              <w:jc w:val="right"/>
              <w:rPr>
                <w:rFonts w:cs="Arial"/>
              </w:rPr>
            </w:pPr>
            <w:r w:rsidRPr="0008397D">
              <w:rPr>
                <w:rFonts w:cs="Arial"/>
              </w:rPr>
              <w:t>(1,263)</w:t>
            </w:r>
          </w:p>
        </w:tc>
      </w:tr>
      <w:tr w:rsidR="008F4946" w:rsidRPr="0008397D" w14:paraId="4767EBC9" w14:textId="77777777" w:rsidTr="00872B96">
        <w:tc>
          <w:tcPr>
            <w:tcW w:w="3402" w:type="dxa"/>
          </w:tcPr>
          <w:p w14:paraId="156CD90D" w14:textId="77777777" w:rsidR="008F4946" w:rsidRPr="0008397D" w:rsidRDefault="008F4946" w:rsidP="00872B96"/>
        </w:tc>
        <w:tc>
          <w:tcPr>
            <w:tcW w:w="1418" w:type="dxa"/>
          </w:tcPr>
          <w:p w14:paraId="0BCF779B" w14:textId="77777777" w:rsidR="008F4946" w:rsidRPr="0008397D" w:rsidRDefault="008F4946" w:rsidP="00872B96">
            <w:pPr>
              <w:ind w:right="34"/>
              <w:jc w:val="right"/>
            </w:pPr>
          </w:p>
        </w:tc>
        <w:tc>
          <w:tcPr>
            <w:tcW w:w="1417" w:type="dxa"/>
          </w:tcPr>
          <w:p w14:paraId="312C2B68" w14:textId="77777777" w:rsidR="008F4946" w:rsidRPr="0008397D" w:rsidRDefault="008F4946" w:rsidP="00872B96">
            <w:pPr>
              <w:ind w:right="33"/>
              <w:jc w:val="right"/>
            </w:pPr>
          </w:p>
        </w:tc>
        <w:tc>
          <w:tcPr>
            <w:tcW w:w="1276" w:type="dxa"/>
          </w:tcPr>
          <w:p w14:paraId="068A142B" w14:textId="77777777" w:rsidR="008F4946" w:rsidRPr="0008397D" w:rsidRDefault="008F4946" w:rsidP="00872B96">
            <w:pPr>
              <w:ind w:right="34"/>
              <w:jc w:val="right"/>
            </w:pPr>
            <w:r w:rsidRPr="0008397D">
              <w:rPr>
                <w:spacing w:val="-2"/>
              </w:rPr>
              <w:t>───────</w:t>
            </w:r>
          </w:p>
        </w:tc>
        <w:tc>
          <w:tcPr>
            <w:tcW w:w="1417" w:type="dxa"/>
          </w:tcPr>
          <w:p w14:paraId="7A3471DC" w14:textId="77777777" w:rsidR="008F4946" w:rsidRPr="0008397D" w:rsidRDefault="008F4946" w:rsidP="00872B96">
            <w:pPr>
              <w:ind w:right="33"/>
              <w:jc w:val="right"/>
            </w:pPr>
            <w:r w:rsidRPr="0008397D">
              <w:rPr>
                <w:spacing w:val="-2"/>
              </w:rPr>
              <w:t>───────</w:t>
            </w:r>
          </w:p>
        </w:tc>
        <w:tc>
          <w:tcPr>
            <w:tcW w:w="1276" w:type="dxa"/>
          </w:tcPr>
          <w:p w14:paraId="4901069F" w14:textId="77777777" w:rsidR="008F4946" w:rsidRPr="0008397D" w:rsidRDefault="008F4946" w:rsidP="00872B96">
            <w:pPr>
              <w:ind w:right="33"/>
              <w:jc w:val="right"/>
            </w:pPr>
            <w:r w:rsidRPr="0008397D">
              <w:rPr>
                <w:spacing w:val="-2"/>
              </w:rPr>
              <w:t>───────</w:t>
            </w:r>
          </w:p>
        </w:tc>
      </w:tr>
      <w:tr w:rsidR="008F4946" w:rsidRPr="0008397D" w14:paraId="1860C601" w14:textId="77777777" w:rsidTr="0087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nil"/>
              <w:left w:val="nil"/>
              <w:bottom w:val="nil"/>
              <w:right w:val="nil"/>
            </w:tcBorders>
          </w:tcPr>
          <w:p w14:paraId="78CD58AE" w14:textId="77777777" w:rsidR="008F4946" w:rsidRPr="0008397D" w:rsidRDefault="008F4946" w:rsidP="00872B96">
            <w:r w:rsidRPr="0008397D">
              <w:rPr>
                <w:b/>
              </w:rPr>
              <w:t>At 28 December 2024</w:t>
            </w:r>
          </w:p>
        </w:tc>
        <w:tc>
          <w:tcPr>
            <w:tcW w:w="1418" w:type="dxa"/>
            <w:tcBorders>
              <w:top w:val="nil"/>
              <w:left w:val="nil"/>
              <w:bottom w:val="nil"/>
              <w:right w:val="nil"/>
            </w:tcBorders>
          </w:tcPr>
          <w:p w14:paraId="78D0032B" w14:textId="77777777" w:rsidR="008F4946" w:rsidRPr="0008397D" w:rsidRDefault="008F4946" w:rsidP="00872B96">
            <w:pPr>
              <w:ind w:right="34"/>
              <w:jc w:val="right"/>
              <w:rPr>
                <w:rFonts w:cs="Arial"/>
              </w:rPr>
            </w:pPr>
          </w:p>
        </w:tc>
        <w:tc>
          <w:tcPr>
            <w:tcW w:w="1417" w:type="dxa"/>
            <w:tcBorders>
              <w:top w:val="nil"/>
              <w:left w:val="nil"/>
              <w:bottom w:val="nil"/>
              <w:right w:val="nil"/>
            </w:tcBorders>
          </w:tcPr>
          <w:p w14:paraId="5F16817B" w14:textId="77777777" w:rsidR="008F4946" w:rsidRPr="0008397D" w:rsidRDefault="008F4946" w:rsidP="00872B96">
            <w:pPr>
              <w:ind w:right="33"/>
              <w:jc w:val="right"/>
              <w:rPr>
                <w:rFonts w:cs="Arial"/>
              </w:rPr>
            </w:pPr>
          </w:p>
        </w:tc>
        <w:tc>
          <w:tcPr>
            <w:tcW w:w="1276" w:type="dxa"/>
            <w:tcBorders>
              <w:top w:val="nil"/>
              <w:left w:val="nil"/>
              <w:bottom w:val="nil"/>
              <w:right w:val="nil"/>
            </w:tcBorders>
          </w:tcPr>
          <w:p w14:paraId="7D722512" w14:textId="77777777" w:rsidR="008F4946" w:rsidRPr="0008397D" w:rsidRDefault="008F4946" w:rsidP="00872B96">
            <w:pPr>
              <w:ind w:right="34"/>
              <w:jc w:val="right"/>
              <w:rPr>
                <w:rFonts w:cs="Arial"/>
              </w:rPr>
            </w:pPr>
            <w:r w:rsidRPr="0008397D">
              <w:rPr>
                <w:rFonts w:cs="Arial"/>
              </w:rPr>
              <w:t>126</w:t>
            </w:r>
          </w:p>
        </w:tc>
        <w:tc>
          <w:tcPr>
            <w:tcW w:w="1417" w:type="dxa"/>
            <w:tcBorders>
              <w:top w:val="nil"/>
              <w:left w:val="nil"/>
              <w:bottom w:val="nil"/>
              <w:right w:val="nil"/>
            </w:tcBorders>
          </w:tcPr>
          <w:p w14:paraId="1F051821" w14:textId="77777777" w:rsidR="008F4946" w:rsidRPr="0008397D" w:rsidRDefault="008F4946" w:rsidP="00872B96">
            <w:pPr>
              <w:ind w:right="33"/>
              <w:jc w:val="right"/>
              <w:rPr>
                <w:rFonts w:cs="Arial"/>
              </w:rPr>
            </w:pPr>
            <w:r w:rsidRPr="0008397D">
              <w:rPr>
                <w:rFonts w:cs="Arial"/>
              </w:rPr>
              <w:t>(1,389)</w:t>
            </w:r>
          </w:p>
        </w:tc>
        <w:tc>
          <w:tcPr>
            <w:tcW w:w="1276" w:type="dxa"/>
            <w:tcBorders>
              <w:top w:val="nil"/>
              <w:left w:val="nil"/>
              <w:bottom w:val="nil"/>
              <w:right w:val="nil"/>
            </w:tcBorders>
          </w:tcPr>
          <w:p w14:paraId="217B75BE" w14:textId="77777777" w:rsidR="008F4946" w:rsidRPr="0008397D" w:rsidRDefault="008F4946" w:rsidP="00872B96">
            <w:pPr>
              <w:ind w:right="33"/>
              <w:jc w:val="right"/>
              <w:rPr>
                <w:rFonts w:cs="Arial"/>
              </w:rPr>
            </w:pPr>
            <w:r w:rsidRPr="0008397D">
              <w:rPr>
                <w:rFonts w:cs="Arial"/>
              </w:rPr>
              <w:t>(1,263)</w:t>
            </w:r>
          </w:p>
        </w:tc>
      </w:tr>
      <w:tr w:rsidR="008F4946" w:rsidRPr="0008397D" w14:paraId="506ECAC3" w14:textId="77777777" w:rsidTr="00872B96">
        <w:tc>
          <w:tcPr>
            <w:tcW w:w="3402" w:type="dxa"/>
          </w:tcPr>
          <w:p w14:paraId="5398CEE2" w14:textId="77777777" w:rsidR="008F4946" w:rsidRPr="0008397D" w:rsidRDefault="008F4946" w:rsidP="00872B96"/>
        </w:tc>
        <w:tc>
          <w:tcPr>
            <w:tcW w:w="1418" w:type="dxa"/>
          </w:tcPr>
          <w:p w14:paraId="2845889F" w14:textId="77777777" w:rsidR="008F4946" w:rsidRPr="0008397D" w:rsidRDefault="008F4946" w:rsidP="00872B96">
            <w:pPr>
              <w:ind w:right="34"/>
              <w:jc w:val="right"/>
            </w:pPr>
          </w:p>
        </w:tc>
        <w:tc>
          <w:tcPr>
            <w:tcW w:w="1417" w:type="dxa"/>
          </w:tcPr>
          <w:p w14:paraId="0E971168" w14:textId="77777777" w:rsidR="008F4946" w:rsidRPr="0008397D" w:rsidRDefault="008F4946" w:rsidP="00872B96">
            <w:pPr>
              <w:ind w:right="33"/>
              <w:jc w:val="right"/>
            </w:pPr>
          </w:p>
        </w:tc>
        <w:tc>
          <w:tcPr>
            <w:tcW w:w="1276" w:type="dxa"/>
          </w:tcPr>
          <w:p w14:paraId="54838DDC" w14:textId="77777777" w:rsidR="008F4946" w:rsidRPr="0008397D" w:rsidRDefault="008F4946" w:rsidP="00872B96">
            <w:pPr>
              <w:ind w:right="34"/>
              <w:jc w:val="right"/>
            </w:pPr>
            <w:r w:rsidRPr="0008397D">
              <w:rPr>
                <w:spacing w:val="-2"/>
              </w:rPr>
              <w:t>───────</w:t>
            </w:r>
          </w:p>
        </w:tc>
        <w:tc>
          <w:tcPr>
            <w:tcW w:w="1417" w:type="dxa"/>
          </w:tcPr>
          <w:p w14:paraId="55E60AE9" w14:textId="77777777" w:rsidR="008F4946" w:rsidRPr="0008397D" w:rsidRDefault="008F4946" w:rsidP="00872B96">
            <w:pPr>
              <w:ind w:right="33"/>
              <w:jc w:val="right"/>
            </w:pPr>
            <w:r w:rsidRPr="0008397D">
              <w:rPr>
                <w:spacing w:val="-2"/>
              </w:rPr>
              <w:t>───────</w:t>
            </w:r>
          </w:p>
        </w:tc>
        <w:tc>
          <w:tcPr>
            <w:tcW w:w="1276" w:type="dxa"/>
          </w:tcPr>
          <w:p w14:paraId="753D6C40" w14:textId="77777777" w:rsidR="008F4946" w:rsidRPr="0008397D" w:rsidRDefault="008F4946" w:rsidP="00872B96">
            <w:pPr>
              <w:ind w:right="33"/>
              <w:jc w:val="right"/>
              <w:rPr>
                <w:spacing w:val="-2"/>
              </w:rPr>
            </w:pPr>
            <w:r w:rsidRPr="0008397D">
              <w:rPr>
                <w:spacing w:val="-2"/>
              </w:rPr>
              <w:t>───────</w:t>
            </w:r>
          </w:p>
        </w:tc>
      </w:tr>
      <w:tr w:rsidR="008F4946" w:rsidRPr="0008397D" w14:paraId="6C4596DD" w14:textId="77777777" w:rsidTr="00872B96">
        <w:tc>
          <w:tcPr>
            <w:tcW w:w="3402" w:type="dxa"/>
          </w:tcPr>
          <w:p w14:paraId="456569E4" w14:textId="77777777" w:rsidR="008F4946" w:rsidRPr="0008397D" w:rsidRDefault="008F4946" w:rsidP="00872B96">
            <w:pPr>
              <w:rPr>
                <w:b/>
              </w:rPr>
            </w:pPr>
          </w:p>
        </w:tc>
        <w:tc>
          <w:tcPr>
            <w:tcW w:w="1418" w:type="dxa"/>
          </w:tcPr>
          <w:p w14:paraId="5E9C1B81" w14:textId="77777777" w:rsidR="008F4946" w:rsidRPr="0008397D" w:rsidRDefault="008F4946" w:rsidP="00872B96">
            <w:pPr>
              <w:ind w:right="34"/>
              <w:jc w:val="right"/>
            </w:pPr>
          </w:p>
        </w:tc>
        <w:tc>
          <w:tcPr>
            <w:tcW w:w="1417" w:type="dxa"/>
          </w:tcPr>
          <w:p w14:paraId="25D80F3D" w14:textId="77777777" w:rsidR="008F4946" w:rsidRPr="0008397D" w:rsidRDefault="008F4946" w:rsidP="00872B96">
            <w:pPr>
              <w:ind w:right="33"/>
              <w:jc w:val="right"/>
            </w:pPr>
          </w:p>
        </w:tc>
        <w:tc>
          <w:tcPr>
            <w:tcW w:w="1276" w:type="dxa"/>
          </w:tcPr>
          <w:p w14:paraId="6CCD55CC" w14:textId="77777777" w:rsidR="008F4946" w:rsidRPr="0008397D" w:rsidRDefault="008F4946" w:rsidP="00872B96">
            <w:pPr>
              <w:ind w:right="34"/>
              <w:jc w:val="right"/>
            </w:pPr>
          </w:p>
        </w:tc>
        <w:tc>
          <w:tcPr>
            <w:tcW w:w="1417" w:type="dxa"/>
          </w:tcPr>
          <w:p w14:paraId="1C616D9F" w14:textId="77777777" w:rsidR="008F4946" w:rsidRPr="0008397D" w:rsidRDefault="008F4946" w:rsidP="00872B96">
            <w:pPr>
              <w:ind w:right="33"/>
              <w:jc w:val="right"/>
            </w:pPr>
          </w:p>
        </w:tc>
        <w:tc>
          <w:tcPr>
            <w:tcW w:w="1276" w:type="dxa"/>
          </w:tcPr>
          <w:p w14:paraId="60B71FA3" w14:textId="77777777" w:rsidR="008F4946" w:rsidRPr="0008397D" w:rsidRDefault="008F4946" w:rsidP="00872B96">
            <w:pPr>
              <w:ind w:right="33"/>
              <w:jc w:val="right"/>
            </w:pPr>
          </w:p>
        </w:tc>
      </w:tr>
      <w:tr w:rsidR="008F4946" w:rsidRPr="0008397D" w14:paraId="7DD9A987" w14:textId="77777777" w:rsidTr="00872B96">
        <w:tc>
          <w:tcPr>
            <w:tcW w:w="3402" w:type="dxa"/>
          </w:tcPr>
          <w:p w14:paraId="44B996A5" w14:textId="77777777" w:rsidR="008F4946" w:rsidRPr="0008397D" w:rsidRDefault="008F4946" w:rsidP="00872B96">
            <w:pPr>
              <w:rPr>
                <w:b/>
              </w:rPr>
            </w:pPr>
            <w:r w:rsidRPr="0008397D">
              <w:rPr>
                <w:b/>
              </w:rPr>
              <w:t>Net book value</w:t>
            </w:r>
          </w:p>
          <w:p w14:paraId="1ED5033F" w14:textId="77777777" w:rsidR="008F4946" w:rsidRPr="0008397D" w:rsidRDefault="008F4946" w:rsidP="00872B96">
            <w:pPr>
              <w:rPr>
                <w:b/>
              </w:rPr>
            </w:pPr>
            <w:r w:rsidRPr="0008397D">
              <w:rPr>
                <w:b/>
              </w:rPr>
              <w:t>At 28 December 2024</w:t>
            </w:r>
          </w:p>
        </w:tc>
        <w:tc>
          <w:tcPr>
            <w:tcW w:w="1418" w:type="dxa"/>
          </w:tcPr>
          <w:p w14:paraId="6CEA506A" w14:textId="77777777" w:rsidR="008F4946" w:rsidRPr="0008397D" w:rsidRDefault="008F4946" w:rsidP="00872B96">
            <w:pPr>
              <w:ind w:right="34"/>
              <w:jc w:val="right"/>
              <w:rPr>
                <w:rFonts w:cs="Arial"/>
              </w:rPr>
            </w:pPr>
          </w:p>
        </w:tc>
        <w:tc>
          <w:tcPr>
            <w:tcW w:w="1417" w:type="dxa"/>
          </w:tcPr>
          <w:p w14:paraId="741BEC1D" w14:textId="77777777" w:rsidR="008F4946" w:rsidRPr="0008397D" w:rsidRDefault="008F4946" w:rsidP="00872B96">
            <w:pPr>
              <w:ind w:right="33"/>
              <w:jc w:val="right"/>
              <w:rPr>
                <w:rFonts w:cs="Arial"/>
              </w:rPr>
            </w:pPr>
          </w:p>
        </w:tc>
        <w:tc>
          <w:tcPr>
            <w:tcW w:w="1276" w:type="dxa"/>
          </w:tcPr>
          <w:p w14:paraId="6E3E0D3E" w14:textId="77777777" w:rsidR="008F4946" w:rsidRPr="0008397D" w:rsidRDefault="008F4946" w:rsidP="00872B96">
            <w:pPr>
              <w:ind w:right="33"/>
              <w:jc w:val="right"/>
              <w:rPr>
                <w:rFonts w:cs="Arial"/>
              </w:rPr>
            </w:pPr>
          </w:p>
          <w:p w14:paraId="5D8EF557" w14:textId="77777777" w:rsidR="008F4946" w:rsidRPr="0008397D" w:rsidRDefault="008F4946" w:rsidP="00872B96">
            <w:pPr>
              <w:ind w:right="34"/>
              <w:jc w:val="right"/>
              <w:rPr>
                <w:rFonts w:cs="Arial"/>
              </w:rPr>
            </w:pPr>
            <w:r w:rsidRPr="0008397D">
              <w:rPr>
                <w:rFonts w:cs="Arial"/>
              </w:rPr>
              <w:t>-</w:t>
            </w:r>
          </w:p>
        </w:tc>
        <w:tc>
          <w:tcPr>
            <w:tcW w:w="1417" w:type="dxa"/>
          </w:tcPr>
          <w:p w14:paraId="5066E126" w14:textId="77777777" w:rsidR="008F4946" w:rsidRPr="0008397D" w:rsidRDefault="008F4946" w:rsidP="00872B96">
            <w:pPr>
              <w:ind w:right="33"/>
              <w:jc w:val="right"/>
              <w:rPr>
                <w:rFonts w:cs="Arial"/>
              </w:rPr>
            </w:pPr>
          </w:p>
          <w:p w14:paraId="15D840C7" w14:textId="77777777" w:rsidR="008F4946" w:rsidRPr="0008397D" w:rsidRDefault="008F4946" w:rsidP="00872B96">
            <w:pPr>
              <w:ind w:right="33"/>
              <w:jc w:val="right"/>
              <w:rPr>
                <w:rFonts w:cs="Arial"/>
              </w:rPr>
            </w:pPr>
            <w:r w:rsidRPr="0008397D">
              <w:rPr>
                <w:rFonts w:cs="Arial"/>
              </w:rPr>
              <w:t>486</w:t>
            </w:r>
          </w:p>
        </w:tc>
        <w:tc>
          <w:tcPr>
            <w:tcW w:w="1276" w:type="dxa"/>
          </w:tcPr>
          <w:p w14:paraId="2439E132" w14:textId="77777777" w:rsidR="008F4946" w:rsidRPr="0008397D" w:rsidRDefault="008F4946" w:rsidP="00872B96">
            <w:pPr>
              <w:ind w:right="33"/>
              <w:jc w:val="right"/>
              <w:rPr>
                <w:rFonts w:cs="Arial"/>
              </w:rPr>
            </w:pPr>
          </w:p>
          <w:p w14:paraId="5B80F8E7" w14:textId="77777777" w:rsidR="008F4946" w:rsidRPr="0008397D" w:rsidRDefault="008F4946" w:rsidP="00872B96">
            <w:pPr>
              <w:ind w:right="33"/>
              <w:jc w:val="right"/>
              <w:rPr>
                <w:rFonts w:cs="Arial"/>
              </w:rPr>
            </w:pPr>
            <w:r w:rsidRPr="0008397D">
              <w:rPr>
                <w:rFonts w:cs="Arial"/>
              </w:rPr>
              <w:t>486</w:t>
            </w:r>
          </w:p>
        </w:tc>
      </w:tr>
      <w:tr w:rsidR="008F4946" w:rsidRPr="0008397D" w14:paraId="379B5A29" w14:textId="77777777" w:rsidTr="00872B96">
        <w:tc>
          <w:tcPr>
            <w:tcW w:w="3402" w:type="dxa"/>
          </w:tcPr>
          <w:p w14:paraId="2249AAAA" w14:textId="77777777" w:rsidR="008F4946" w:rsidRPr="0008397D" w:rsidRDefault="008F4946" w:rsidP="00872B96"/>
        </w:tc>
        <w:tc>
          <w:tcPr>
            <w:tcW w:w="1418" w:type="dxa"/>
          </w:tcPr>
          <w:p w14:paraId="7F24F0BB" w14:textId="77777777" w:rsidR="008F4946" w:rsidRPr="0008397D" w:rsidRDefault="008F4946" w:rsidP="00872B96">
            <w:pPr>
              <w:ind w:right="34"/>
              <w:jc w:val="right"/>
            </w:pPr>
          </w:p>
        </w:tc>
        <w:tc>
          <w:tcPr>
            <w:tcW w:w="1417" w:type="dxa"/>
          </w:tcPr>
          <w:p w14:paraId="47341FE2" w14:textId="77777777" w:rsidR="008F4946" w:rsidRPr="0008397D" w:rsidRDefault="008F4946" w:rsidP="00872B96">
            <w:pPr>
              <w:ind w:right="33"/>
              <w:jc w:val="right"/>
            </w:pPr>
          </w:p>
        </w:tc>
        <w:tc>
          <w:tcPr>
            <w:tcW w:w="1276" w:type="dxa"/>
          </w:tcPr>
          <w:p w14:paraId="35B7F4F3" w14:textId="77777777" w:rsidR="008F4946" w:rsidRPr="0008397D" w:rsidRDefault="008F4946" w:rsidP="00872B96">
            <w:pPr>
              <w:ind w:right="34"/>
              <w:jc w:val="right"/>
            </w:pPr>
            <w:r w:rsidRPr="0008397D">
              <w:t>═══════</w:t>
            </w:r>
          </w:p>
        </w:tc>
        <w:tc>
          <w:tcPr>
            <w:tcW w:w="1417" w:type="dxa"/>
          </w:tcPr>
          <w:p w14:paraId="6D3CCB91" w14:textId="77777777" w:rsidR="008F4946" w:rsidRPr="0008397D" w:rsidRDefault="008F4946" w:rsidP="00872B96">
            <w:pPr>
              <w:ind w:right="33"/>
              <w:jc w:val="right"/>
            </w:pPr>
            <w:r w:rsidRPr="0008397D">
              <w:t>═══════</w:t>
            </w:r>
          </w:p>
        </w:tc>
        <w:tc>
          <w:tcPr>
            <w:tcW w:w="1276" w:type="dxa"/>
          </w:tcPr>
          <w:p w14:paraId="505A69D8" w14:textId="77777777" w:rsidR="008F4946" w:rsidRPr="0008397D" w:rsidRDefault="008F4946" w:rsidP="00872B96">
            <w:pPr>
              <w:ind w:right="33"/>
              <w:jc w:val="right"/>
            </w:pPr>
            <w:r w:rsidRPr="0008397D">
              <w:t>═══════</w:t>
            </w:r>
          </w:p>
        </w:tc>
      </w:tr>
      <w:tr w:rsidR="008F4946" w:rsidRPr="0008397D" w14:paraId="799B6571" w14:textId="77777777" w:rsidTr="00872B96">
        <w:tc>
          <w:tcPr>
            <w:tcW w:w="3402" w:type="dxa"/>
          </w:tcPr>
          <w:p w14:paraId="5DDEB6CD" w14:textId="77777777" w:rsidR="008F4946" w:rsidRPr="0008397D" w:rsidRDefault="008F4946" w:rsidP="00872B96">
            <w:pPr>
              <w:rPr>
                <w:b/>
              </w:rPr>
            </w:pPr>
            <w:r w:rsidRPr="0008397D">
              <w:rPr>
                <w:b/>
              </w:rPr>
              <w:t>Net book value</w:t>
            </w:r>
          </w:p>
          <w:p w14:paraId="4417C37E" w14:textId="77777777" w:rsidR="008F4946" w:rsidRPr="0008397D" w:rsidRDefault="008F4946" w:rsidP="00872B96">
            <w:pPr>
              <w:rPr>
                <w:b/>
              </w:rPr>
            </w:pPr>
            <w:r w:rsidRPr="0008397D">
              <w:rPr>
                <w:b/>
              </w:rPr>
              <w:t>At 30 December 2023</w:t>
            </w:r>
          </w:p>
        </w:tc>
        <w:tc>
          <w:tcPr>
            <w:tcW w:w="1418" w:type="dxa"/>
          </w:tcPr>
          <w:p w14:paraId="5EB39DA0" w14:textId="77777777" w:rsidR="008F4946" w:rsidRPr="0008397D" w:rsidRDefault="008F4946" w:rsidP="00872B96">
            <w:pPr>
              <w:ind w:right="34"/>
              <w:jc w:val="right"/>
              <w:rPr>
                <w:rFonts w:cs="Arial"/>
              </w:rPr>
            </w:pPr>
          </w:p>
        </w:tc>
        <w:tc>
          <w:tcPr>
            <w:tcW w:w="1417" w:type="dxa"/>
          </w:tcPr>
          <w:p w14:paraId="2BB2EFB3" w14:textId="77777777" w:rsidR="008F4946" w:rsidRPr="0008397D" w:rsidRDefault="008F4946" w:rsidP="00872B96">
            <w:pPr>
              <w:ind w:right="33"/>
              <w:jc w:val="right"/>
              <w:rPr>
                <w:rFonts w:cs="Arial"/>
              </w:rPr>
            </w:pPr>
          </w:p>
        </w:tc>
        <w:tc>
          <w:tcPr>
            <w:tcW w:w="1276" w:type="dxa"/>
          </w:tcPr>
          <w:p w14:paraId="0AA26113" w14:textId="77777777" w:rsidR="008F4946" w:rsidRPr="0008397D" w:rsidRDefault="008F4946" w:rsidP="00872B96">
            <w:pPr>
              <w:ind w:right="33"/>
              <w:jc w:val="right"/>
              <w:rPr>
                <w:rFonts w:cs="Arial"/>
              </w:rPr>
            </w:pPr>
          </w:p>
          <w:p w14:paraId="1272CE7A" w14:textId="77777777" w:rsidR="008F4946" w:rsidRPr="0008397D" w:rsidRDefault="008F4946" w:rsidP="00872B96">
            <w:pPr>
              <w:ind w:right="34"/>
              <w:jc w:val="right"/>
              <w:rPr>
                <w:rFonts w:cs="Arial"/>
              </w:rPr>
            </w:pPr>
            <w:r w:rsidRPr="0008397D">
              <w:rPr>
                <w:rFonts w:cs="Arial"/>
              </w:rPr>
              <w:t>-</w:t>
            </w:r>
          </w:p>
        </w:tc>
        <w:tc>
          <w:tcPr>
            <w:tcW w:w="1417" w:type="dxa"/>
          </w:tcPr>
          <w:p w14:paraId="5967D71D" w14:textId="77777777" w:rsidR="008F4946" w:rsidRPr="0008397D" w:rsidRDefault="008F4946" w:rsidP="00872B96">
            <w:pPr>
              <w:ind w:right="33"/>
              <w:jc w:val="right"/>
              <w:rPr>
                <w:rFonts w:cs="Arial"/>
              </w:rPr>
            </w:pPr>
          </w:p>
          <w:p w14:paraId="7FB46798" w14:textId="77777777" w:rsidR="008F4946" w:rsidRPr="0008397D" w:rsidRDefault="008F4946" w:rsidP="00872B96">
            <w:pPr>
              <w:ind w:right="33"/>
              <w:jc w:val="right"/>
              <w:rPr>
                <w:rFonts w:cs="Arial"/>
              </w:rPr>
            </w:pPr>
            <w:r w:rsidRPr="0008397D">
              <w:rPr>
                <w:rFonts w:cs="Arial"/>
              </w:rPr>
              <w:t>-</w:t>
            </w:r>
          </w:p>
        </w:tc>
        <w:tc>
          <w:tcPr>
            <w:tcW w:w="1276" w:type="dxa"/>
          </w:tcPr>
          <w:p w14:paraId="46F74048" w14:textId="77777777" w:rsidR="008F4946" w:rsidRPr="0008397D" w:rsidRDefault="008F4946" w:rsidP="00872B96">
            <w:pPr>
              <w:ind w:right="33"/>
              <w:jc w:val="right"/>
              <w:rPr>
                <w:rFonts w:cs="Arial"/>
              </w:rPr>
            </w:pPr>
          </w:p>
          <w:p w14:paraId="1669F2FC" w14:textId="77777777" w:rsidR="008F4946" w:rsidRPr="0008397D" w:rsidRDefault="008F4946" w:rsidP="00872B96">
            <w:pPr>
              <w:ind w:right="33"/>
              <w:jc w:val="right"/>
              <w:rPr>
                <w:rFonts w:cs="Arial"/>
              </w:rPr>
            </w:pPr>
            <w:r w:rsidRPr="0008397D">
              <w:rPr>
                <w:rFonts w:cs="Arial"/>
              </w:rPr>
              <w:t>-</w:t>
            </w:r>
          </w:p>
        </w:tc>
      </w:tr>
      <w:tr w:rsidR="008F4946" w:rsidRPr="0008397D" w14:paraId="54A31A44" w14:textId="77777777" w:rsidTr="00872B96">
        <w:tc>
          <w:tcPr>
            <w:tcW w:w="3402" w:type="dxa"/>
          </w:tcPr>
          <w:p w14:paraId="598F8D38" w14:textId="77777777" w:rsidR="008F4946" w:rsidRPr="0008397D" w:rsidRDefault="008F4946" w:rsidP="00872B96"/>
        </w:tc>
        <w:tc>
          <w:tcPr>
            <w:tcW w:w="1418" w:type="dxa"/>
          </w:tcPr>
          <w:p w14:paraId="73299035" w14:textId="77777777" w:rsidR="008F4946" w:rsidRPr="0008397D" w:rsidRDefault="008F4946" w:rsidP="00872B96">
            <w:pPr>
              <w:ind w:right="34"/>
              <w:jc w:val="right"/>
            </w:pPr>
          </w:p>
        </w:tc>
        <w:tc>
          <w:tcPr>
            <w:tcW w:w="1417" w:type="dxa"/>
          </w:tcPr>
          <w:p w14:paraId="1C8E2C8E" w14:textId="77777777" w:rsidR="008F4946" w:rsidRPr="0008397D" w:rsidRDefault="008F4946" w:rsidP="00872B96">
            <w:pPr>
              <w:ind w:right="33"/>
              <w:jc w:val="right"/>
            </w:pPr>
          </w:p>
        </w:tc>
        <w:tc>
          <w:tcPr>
            <w:tcW w:w="1276" w:type="dxa"/>
          </w:tcPr>
          <w:p w14:paraId="154FFB43" w14:textId="77777777" w:rsidR="008F4946" w:rsidRPr="0008397D" w:rsidRDefault="008F4946" w:rsidP="00872B96">
            <w:pPr>
              <w:ind w:right="34"/>
              <w:jc w:val="right"/>
            </w:pPr>
            <w:r w:rsidRPr="0008397D">
              <w:t>═══════</w:t>
            </w:r>
          </w:p>
        </w:tc>
        <w:tc>
          <w:tcPr>
            <w:tcW w:w="1417" w:type="dxa"/>
          </w:tcPr>
          <w:p w14:paraId="3866EB3E" w14:textId="77777777" w:rsidR="008F4946" w:rsidRPr="0008397D" w:rsidRDefault="008F4946" w:rsidP="00872B96">
            <w:pPr>
              <w:ind w:right="33"/>
              <w:jc w:val="right"/>
            </w:pPr>
            <w:r w:rsidRPr="0008397D">
              <w:t>═══════</w:t>
            </w:r>
          </w:p>
        </w:tc>
        <w:tc>
          <w:tcPr>
            <w:tcW w:w="1276" w:type="dxa"/>
          </w:tcPr>
          <w:p w14:paraId="5F5B8250" w14:textId="77777777" w:rsidR="008F4946" w:rsidRPr="0008397D" w:rsidRDefault="008F4946" w:rsidP="00872B96">
            <w:pPr>
              <w:ind w:right="33"/>
              <w:jc w:val="right"/>
            </w:pPr>
            <w:r w:rsidRPr="0008397D">
              <w:t>═══════</w:t>
            </w:r>
          </w:p>
        </w:tc>
      </w:tr>
    </w:tbl>
    <w:p w14:paraId="10338F6D" w14:textId="77777777" w:rsidR="008F4946" w:rsidRPr="0008397D" w:rsidRDefault="008F4946" w:rsidP="008F4946">
      <w:pPr>
        <w:tabs>
          <w:tab w:val="left" w:pos="4678"/>
        </w:tabs>
        <w:jc w:val="both"/>
      </w:pPr>
    </w:p>
    <w:p w14:paraId="25121194" w14:textId="77777777" w:rsidR="008F4946" w:rsidRPr="0008397D" w:rsidRDefault="008F4946" w:rsidP="008F4946">
      <w:pPr>
        <w:ind w:left="113" w:right="-227"/>
        <w:jc w:val="both"/>
      </w:pPr>
      <w:r w:rsidRPr="0008397D">
        <w:t>For the acquisition during the period the £126,000 excess of the Group’s interest in the net fair value of the acquiree’s identifiable assets over the purchase price (negative goodwill) has been credited to the Income Statement. There is therefore no goodwill left to monitor for impairment. Goodwill is monitored at the operating segment level, with the relevant cash generating unit (CGU) being Eve Coaches Limited.</w:t>
      </w:r>
    </w:p>
    <w:p w14:paraId="41393175" w14:textId="77777777" w:rsidR="008F4946" w:rsidRPr="0008397D" w:rsidRDefault="008F4946" w:rsidP="008F4946">
      <w:pPr>
        <w:ind w:left="113" w:right="-227"/>
        <w:jc w:val="both"/>
      </w:pPr>
    </w:p>
    <w:p w14:paraId="4A2B3569" w14:textId="77777777" w:rsidR="008F4946" w:rsidRPr="0008397D" w:rsidRDefault="008F4946" w:rsidP="008F4946">
      <w:pPr>
        <w:ind w:left="113" w:right="-227"/>
        <w:jc w:val="both"/>
      </w:pPr>
      <w:r w:rsidRPr="0008397D">
        <w:t xml:space="preserve">Amortisation of customer contracts of £1,389,000 </w:t>
      </w:r>
      <w:r w:rsidRPr="0008397D">
        <w:rPr>
          <w:rFonts w:cs="Arial"/>
        </w:rPr>
        <w:t>(2023: £nil) is included in</w:t>
      </w:r>
      <w:r w:rsidRPr="0008397D">
        <w:t xml:space="preserve"> administrative expenses in the Income Statement. The recoverable amount at the period end has been determined on a value in use basis and the contracts are being amortised over the period 13 February 2024 to 30</w:t>
      </w:r>
      <w:r w:rsidRPr="0008397D">
        <w:rPr>
          <w:rFonts w:cs="Arial"/>
        </w:rPr>
        <w:t xml:space="preserve"> April 2025.</w:t>
      </w:r>
    </w:p>
    <w:p w14:paraId="76ACEA2A" w14:textId="77777777" w:rsidR="005404A5" w:rsidRDefault="005404A5" w:rsidP="008F4946">
      <w:pPr>
        <w:rPr>
          <w:highlight w:val="yellow"/>
        </w:rPr>
      </w:pPr>
    </w:p>
    <w:p w14:paraId="62A0321C" w14:textId="77777777" w:rsidR="008F4946" w:rsidRPr="0008397D" w:rsidRDefault="008F4946" w:rsidP="00A5227C">
      <w:pPr>
        <w:numPr>
          <w:ilvl w:val="0"/>
          <w:numId w:val="39"/>
        </w:numPr>
        <w:ind w:left="360"/>
        <w:jc w:val="both"/>
        <w:rPr>
          <w:b/>
        </w:rPr>
      </w:pPr>
      <w:bookmarkStart w:id="35" w:name="_Hlk189410003"/>
      <w:bookmarkStart w:id="36" w:name="_Hlk189409153"/>
      <w:r w:rsidRPr="0008397D">
        <w:rPr>
          <w:b/>
        </w:rPr>
        <w:t>Investment in subsidiaries</w:t>
      </w:r>
    </w:p>
    <w:bookmarkEnd w:id="35"/>
    <w:tbl>
      <w:tblPr>
        <w:tblW w:w="10456" w:type="dxa"/>
        <w:tblLayout w:type="fixed"/>
        <w:tblLook w:val="01E0" w:firstRow="1" w:lastRow="1" w:firstColumn="1" w:lastColumn="1" w:noHBand="0" w:noVBand="0"/>
      </w:tblPr>
      <w:tblGrid>
        <w:gridCol w:w="4503"/>
        <w:gridCol w:w="1559"/>
        <w:gridCol w:w="1417"/>
        <w:gridCol w:w="1560"/>
        <w:gridCol w:w="1417"/>
      </w:tblGrid>
      <w:tr w:rsidR="008F4946" w:rsidRPr="0008397D" w14:paraId="316394D5" w14:textId="77777777" w:rsidTr="00FB0405">
        <w:tc>
          <w:tcPr>
            <w:tcW w:w="4503" w:type="dxa"/>
          </w:tcPr>
          <w:p w14:paraId="36AF48E5" w14:textId="77777777" w:rsidR="008F4946" w:rsidRPr="0008397D" w:rsidRDefault="008F4946" w:rsidP="00872B96">
            <w:pPr>
              <w:suppressAutoHyphens/>
              <w:rPr>
                <w:rFonts w:cs="Arial"/>
                <w:spacing w:val="-2"/>
              </w:rPr>
            </w:pPr>
          </w:p>
        </w:tc>
        <w:tc>
          <w:tcPr>
            <w:tcW w:w="2976" w:type="dxa"/>
            <w:gridSpan w:val="2"/>
          </w:tcPr>
          <w:p w14:paraId="7D8C422B" w14:textId="77777777" w:rsidR="008F4946" w:rsidRPr="0008397D" w:rsidRDefault="008F4946" w:rsidP="00872B96">
            <w:pPr>
              <w:ind w:left="60"/>
              <w:jc w:val="center"/>
              <w:rPr>
                <w:b/>
              </w:rPr>
            </w:pPr>
            <w:r w:rsidRPr="0008397D">
              <w:rPr>
                <w:b/>
              </w:rPr>
              <w:t>Consolidated Group</w:t>
            </w:r>
          </w:p>
        </w:tc>
        <w:tc>
          <w:tcPr>
            <w:tcW w:w="2977" w:type="dxa"/>
            <w:gridSpan w:val="2"/>
          </w:tcPr>
          <w:p w14:paraId="08D368AE" w14:textId="77777777" w:rsidR="008F4946" w:rsidRPr="0008397D" w:rsidRDefault="008F4946" w:rsidP="00872B96">
            <w:pPr>
              <w:jc w:val="center"/>
              <w:rPr>
                <w:b/>
              </w:rPr>
            </w:pPr>
            <w:r w:rsidRPr="0008397D">
              <w:rPr>
                <w:b/>
              </w:rPr>
              <w:t>Parent Entity</w:t>
            </w:r>
          </w:p>
        </w:tc>
      </w:tr>
      <w:tr w:rsidR="008F4946" w:rsidRPr="0008397D" w14:paraId="309363F8" w14:textId="77777777" w:rsidTr="00FB0405">
        <w:tc>
          <w:tcPr>
            <w:tcW w:w="4503" w:type="dxa"/>
          </w:tcPr>
          <w:p w14:paraId="54517D01" w14:textId="77777777" w:rsidR="008F4946" w:rsidRPr="0008397D" w:rsidRDefault="008F4946" w:rsidP="00872B96">
            <w:pPr>
              <w:suppressAutoHyphens/>
              <w:rPr>
                <w:rFonts w:cs="Arial"/>
                <w:spacing w:val="-2"/>
              </w:rPr>
            </w:pPr>
          </w:p>
        </w:tc>
        <w:tc>
          <w:tcPr>
            <w:tcW w:w="1559" w:type="dxa"/>
          </w:tcPr>
          <w:p w14:paraId="55357018" w14:textId="77777777" w:rsidR="008F4946" w:rsidRPr="0008397D" w:rsidRDefault="001344CE" w:rsidP="00872B96">
            <w:pPr>
              <w:ind w:right="126"/>
              <w:jc w:val="center"/>
              <w:rPr>
                <w:b/>
              </w:rPr>
            </w:pPr>
            <w:r>
              <w:rPr>
                <w:b/>
              </w:rPr>
              <w:t>28/12/</w:t>
            </w:r>
            <w:r w:rsidR="008F4946" w:rsidRPr="0008397D">
              <w:rPr>
                <w:b/>
              </w:rPr>
              <w:t>2024</w:t>
            </w:r>
          </w:p>
        </w:tc>
        <w:tc>
          <w:tcPr>
            <w:tcW w:w="1417" w:type="dxa"/>
          </w:tcPr>
          <w:p w14:paraId="7E1A35A9" w14:textId="77777777" w:rsidR="008F4946" w:rsidRPr="0008397D" w:rsidRDefault="001344CE" w:rsidP="00872B96">
            <w:pPr>
              <w:ind w:right="126"/>
              <w:jc w:val="center"/>
              <w:rPr>
                <w:b/>
              </w:rPr>
            </w:pPr>
            <w:r>
              <w:rPr>
                <w:b/>
              </w:rPr>
              <w:t>30/12/</w:t>
            </w:r>
            <w:r w:rsidR="008F4946" w:rsidRPr="0008397D">
              <w:rPr>
                <w:b/>
              </w:rPr>
              <w:t>2023</w:t>
            </w:r>
          </w:p>
        </w:tc>
        <w:tc>
          <w:tcPr>
            <w:tcW w:w="1560" w:type="dxa"/>
          </w:tcPr>
          <w:p w14:paraId="4E8998A4" w14:textId="77777777" w:rsidR="008F4946" w:rsidRPr="0008397D" w:rsidRDefault="001344CE" w:rsidP="00872B96">
            <w:pPr>
              <w:ind w:right="126"/>
              <w:jc w:val="center"/>
              <w:rPr>
                <w:b/>
              </w:rPr>
            </w:pPr>
            <w:r>
              <w:rPr>
                <w:b/>
              </w:rPr>
              <w:t>28/12/</w:t>
            </w:r>
            <w:r w:rsidR="008F4946" w:rsidRPr="0008397D">
              <w:rPr>
                <w:b/>
              </w:rPr>
              <w:t>2024</w:t>
            </w:r>
          </w:p>
        </w:tc>
        <w:tc>
          <w:tcPr>
            <w:tcW w:w="1417" w:type="dxa"/>
          </w:tcPr>
          <w:p w14:paraId="0FB1BC59" w14:textId="77777777" w:rsidR="008F4946" w:rsidRPr="0008397D" w:rsidRDefault="001344CE" w:rsidP="00872B96">
            <w:pPr>
              <w:ind w:right="126"/>
              <w:jc w:val="center"/>
              <w:rPr>
                <w:b/>
              </w:rPr>
            </w:pPr>
            <w:r>
              <w:rPr>
                <w:b/>
              </w:rPr>
              <w:t>30/12/</w:t>
            </w:r>
            <w:r w:rsidR="008F4946" w:rsidRPr="0008397D">
              <w:rPr>
                <w:b/>
              </w:rPr>
              <w:t>2023</w:t>
            </w:r>
          </w:p>
        </w:tc>
      </w:tr>
      <w:tr w:rsidR="008F4946" w:rsidRPr="0008397D" w14:paraId="06CB76BB" w14:textId="77777777" w:rsidTr="00FB0405">
        <w:tc>
          <w:tcPr>
            <w:tcW w:w="4503" w:type="dxa"/>
          </w:tcPr>
          <w:p w14:paraId="216EFF6E" w14:textId="77777777" w:rsidR="008F4946" w:rsidRPr="0008397D" w:rsidRDefault="008F4946" w:rsidP="00872B96">
            <w:pPr>
              <w:suppressAutoHyphens/>
              <w:rPr>
                <w:rFonts w:cs="Arial"/>
                <w:spacing w:val="-2"/>
              </w:rPr>
            </w:pPr>
          </w:p>
        </w:tc>
        <w:tc>
          <w:tcPr>
            <w:tcW w:w="1559" w:type="dxa"/>
          </w:tcPr>
          <w:p w14:paraId="3A49ECBD" w14:textId="77777777" w:rsidR="008F4946" w:rsidRPr="0008397D" w:rsidRDefault="008F4946" w:rsidP="00872B96">
            <w:pPr>
              <w:ind w:right="126"/>
              <w:jc w:val="center"/>
              <w:rPr>
                <w:b/>
              </w:rPr>
            </w:pPr>
            <w:r w:rsidRPr="0008397D">
              <w:rPr>
                <w:b/>
              </w:rPr>
              <w:t>£’000</w:t>
            </w:r>
          </w:p>
        </w:tc>
        <w:tc>
          <w:tcPr>
            <w:tcW w:w="1417" w:type="dxa"/>
          </w:tcPr>
          <w:p w14:paraId="410BD6F7" w14:textId="77777777" w:rsidR="008F4946" w:rsidRPr="0008397D" w:rsidRDefault="008F4946" w:rsidP="00872B96">
            <w:pPr>
              <w:ind w:right="126"/>
              <w:jc w:val="center"/>
              <w:rPr>
                <w:b/>
              </w:rPr>
            </w:pPr>
            <w:r w:rsidRPr="0008397D">
              <w:rPr>
                <w:b/>
              </w:rPr>
              <w:t>£’000</w:t>
            </w:r>
          </w:p>
        </w:tc>
        <w:tc>
          <w:tcPr>
            <w:tcW w:w="1560" w:type="dxa"/>
          </w:tcPr>
          <w:p w14:paraId="7E42A66E" w14:textId="77777777" w:rsidR="008F4946" w:rsidRPr="0008397D" w:rsidRDefault="008F4946" w:rsidP="00872B96">
            <w:pPr>
              <w:ind w:right="126"/>
              <w:jc w:val="center"/>
              <w:rPr>
                <w:b/>
              </w:rPr>
            </w:pPr>
            <w:r w:rsidRPr="0008397D">
              <w:rPr>
                <w:b/>
              </w:rPr>
              <w:t>£’000</w:t>
            </w:r>
          </w:p>
        </w:tc>
        <w:tc>
          <w:tcPr>
            <w:tcW w:w="1417" w:type="dxa"/>
          </w:tcPr>
          <w:p w14:paraId="5DF7CEF5" w14:textId="77777777" w:rsidR="008F4946" w:rsidRPr="0008397D" w:rsidRDefault="008F4946" w:rsidP="00872B96">
            <w:pPr>
              <w:ind w:right="126"/>
              <w:jc w:val="center"/>
              <w:rPr>
                <w:b/>
              </w:rPr>
            </w:pPr>
            <w:r w:rsidRPr="0008397D">
              <w:rPr>
                <w:b/>
              </w:rPr>
              <w:t>£’000</w:t>
            </w:r>
          </w:p>
        </w:tc>
      </w:tr>
      <w:tr w:rsidR="008F4946" w:rsidRPr="0008397D" w14:paraId="14A993F5" w14:textId="77777777" w:rsidTr="00FB0405">
        <w:tc>
          <w:tcPr>
            <w:tcW w:w="4503" w:type="dxa"/>
          </w:tcPr>
          <w:p w14:paraId="4696A2B9" w14:textId="77777777" w:rsidR="008F4946" w:rsidRPr="0008397D" w:rsidRDefault="008F4946" w:rsidP="00872B96">
            <w:pPr>
              <w:suppressAutoHyphens/>
              <w:rPr>
                <w:rFonts w:cs="Arial"/>
                <w:spacing w:val="-2"/>
              </w:rPr>
            </w:pPr>
          </w:p>
        </w:tc>
        <w:tc>
          <w:tcPr>
            <w:tcW w:w="1559" w:type="dxa"/>
          </w:tcPr>
          <w:p w14:paraId="1BED754A" w14:textId="77777777" w:rsidR="008F4946" w:rsidRPr="0008397D" w:rsidRDefault="008F4946" w:rsidP="00872B96">
            <w:pPr>
              <w:suppressAutoHyphens/>
              <w:ind w:right="138"/>
              <w:jc w:val="right"/>
              <w:rPr>
                <w:rFonts w:cs="Arial"/>
                <w:spacing w:val="-2"/>
              </w:rPr>
            </w:pPr>
          </w:p>
        </w:tc>
        <w:tc>
          <w:tcPr>
            <w:tcW w:w="1417" w:type="dxa"/>
          </w:tcPr>
          <w:p w14:paraId="7FB968CD" w14:textId="77777777" w:rsidR="008F4946" w:rsidRPr="0008397D" w:rsidRDefault="008F4946" w:rsidP="00872B96">
            <w:pPr>
              <w:suppressAutoHyphens/>
              <w:ind w:right="138"/>
              <w:jc w:val="right"/>
              <w:rPr>
                <w:rFonts w:cs="Arial"/>
                <w:spacing w:val="-2"/>
              </w:rPr>
            </w:pPr>
          </w:p>
        </w:tc>
        <w:tc>
          <w:tcPr>
            <w:tcW w:w="1560" w:type="dxa"/>
          </w:tcPr>
          <w:p w14:paraId="06F68746" w14:textId="77777777" w:rsidR="008F4946" w:rsidRPr="0008397D" w:rsidRDefault="008F4946" w:rsidP="00872B96">
            <w:pPr>
              <w:suppressAutoHyphens/>
              <w:ind w:right="138"/>
              <w:jc w:val="right"/>
              <w:rPr>
                <w:rFonts w:cs="Arial"/>
                <w:spacing w:val="-2"/>
              </w:rPr>
            </w:pPr>
          </w:p>
        </w:tc>
        <w:tc>
          <w:tcPr>
            <w:tcW w:w="1417" w:type="dxa"/>
          </w:tcPr>
          <w:p w14:paraId="3AB03337" w14:textId="77777777" w:rsidR="008F4946" w:rsidRPr="0008397D" w:rsidRDefault="008F4946" w:rsidP="00872B96">
            <w:pPr>
              <w:suppressAutoHyphens/>
              <w:ind w:right="138"/>
              <w:jc w:val="right"/>
              <w:rPr>
                <w:rFonts w:cs="Arial"/>
                <w:spacing w:val="-2"/>
              </w:rPr>
            </w:pPr>
          </w:p>
        </w:tc>
      </w:tr>
      <w:tr w:rsidR="008F4946" w:rsidRPr="0008397D" w14:paraId="140DBE67" w14:textId="77777777" w:rsidTr="00FB0405">
        <w:tc>
          <w:tcPr>
            <w:tcW w:w="4503" w:type="dxa"/>
          </w:tcPr>
          <w:p w14:paraId="489DE2B7" w14:textId="77777777" w:rsidR="008F4946" w:rsidRPr="0008397D" w:rsidRDefault="008F4946" w:rsidP="00872B96">
            <w:pPr>
              <w:suppressAutoHyphens/>
              <w:rPr>
                <w:rFonts w:cs="Arial"/>
                <w:spacing w:val="-2"/>
              </w:rPr>
            </w:pPr>
            <w:r w:rsidRPr="0008397D">
              <w:rPr>
                <w:rFonts w:cs="Arial"/>
                <w:spacing w:val="-2"/>
              </w:rPr>
              <w:t xml:space="preserve">At </w:t>
            </w:r>
            <w:r w:rsidR="007E1A40">
              <w:t>start of period</w:t>
            </w:r>
          </w:p>
        </w:tc>
        <w:tc>
          <w:tcPr>
            <w:tcW w:w="1559" w:type="dxa"/>
          </w:tcPr>
          <w:p w14:paraId="6C0F4F9C" w14:textId="77777777" w:rsidR="008F4946" w:rsidRPr="0008397D" w:rsidRDefault="008F4946" w:rsidP="00872B96">
            <w:pPr>
              <w:suppressAutoHyphens/>
              <w:ind w:right="138"/>
              <w:jc w:val="right"/>
              <w:rPr>
                <w:rFonts w:cs="Arial"/>
                <w:spacing w:val="-2"/>
              </w:rPr>
            </w:pPr>
            <w:r w:rsidRPr="0008397D">
              <w:rPr>
                <w:rFonts w:cs="Arial"/>
                <w:spacing w:val="-2"/>
              </w:rPr>
              <w:t>-</w:t>
            </w:r>
          </w:p>
        </w:tc>
        <w:tc>
          <w:tcPr>
            <w:tcW w:w="1417" w:type="dxa"/>
          </w:tcPr>
          <w:p w14:paraId="226DF84D" w14:textId="77777777" w:rsidR="008F4946" w:rsidRPr="0008397D" w:rsidRDefault="008F4946" w:rsidP="00872B96">
            <w:pPr>
              <w:suppressAutoHyphens/>
              <w:ind w:right="138"/>
              <w:jc w:val="right"/>
              <w:rPr>
                <w:rFonts w:cs="Arial"/>
                <w:spacing w:val="-2"/>
              </w:rPr>
            </w:pPr>
            <w:r w:rsidRPr="0008397D">
              <w:rPr>
                <w:rFonts w:cs="Arial"/>
                <w:spacing w:val="-2"/>
              </w:rPr>
              <w:t>-</w:t>
            </w:r>
          </w:p>
        </w:tc>
        <w:tc>
          <w:tcPr>
            <w:tcW w:w="1560" w:type="dxa"/>
          </w:tcPr>
          <w:p w14:paraId="6FDB79B6" w14:textId="77777777" w:rsidR="008F4946" w:rsidRPr="0008397D" w:rsidRDefault="00605EC0" w:rsidP="00872B96">
            <w:pPr>
              <w:suppressAutoHyphens/>
              <w:ind w:right="138"/>
              <w:jc w:val="right"/>
              <w:rPr>
                <w:rFonts w:cs="Arial"/>
                <w:spacing w:val="-2"/>
              </w:rPr>
            </w:pPr>
            <w:r>
              <w:rPr>
                <w:rFonts w:cs="Arial"/>
                <w:spacing w:val="-2"/>
              </w:rPr>
              <w:t>5,824</w:t>
            </w:r>
          </w:p>
        </w:tc>
        <w:tc>
          <w:tcPr>
            <w:tcW w:w="1417" w:type="dxa"/>
          </w:tcPr>
          <w:p w14:paraId="51D92FDB" w14:textId="77777777" w:rsidR="008F4946" w:rsidRPr="0008397D" w:rsidRDefault="00605EC0" w:rsidP="00872B96">
            <w:pPr>
              <w:suppressAutoHyphens/>
              <w:ind w:right="138"/>
              <w:jc w:val="right"/>
              <w:rPr>
                <w:rFonts w:cs="Arial"/>
                <w:spacing w:val="-2"/>
              </w:rPr>
            </w:pPr>
            <w:r>
              <w:rPr>
                <w:rFonts w:cs="Arial"/>
                <w:spacing w:val="-2"/>
              </w:rPr>
              <w:t>5,824</w:t>
            </w:r>
          </w:p>
        </w:tc>
      </w:tr>
      <w:tr w:rsidR="008F4946" w:rsidRPr="0008397D" w14:paraId="0227D06A" w14:textId="77777777" w:rsidTr="00FB0405">
        <w:tc>
          <w:tcPr>
            <w:tcW w:w="4503" w:type="dxa"/>
          </w:tcPr>
          <w:p w14:paraId="6E4E20B9" w14:textId="77777777" w:rsidR="008F4946" w:rsidRPr="0008397D" w:rsidRDefault="00605EC0" w:rsidP="00872B96">
            <w:r w:rsidRPr="00F45179">
              <w:rPr>
                <w:rFonts w:cs="Arial"/>
              </w:rPr>
              <w:t>Share capital issued (Edinburgh Trams Limited)</w:t>
            </w:r>
          </w:p>
        </w:tc>
        <w:tc>
          <w:tcPr>
            <w:tcW w:w="1559" w:type="dxa"/>
          </w:tcPr>
          <w:p w14:paraId="464A58F6" w14:textId="77777777" w:rsidR="008F4946" w:rsidRPr="0008397D" w:rsidRDefault="00605EC0" w:rsidP="00872B96">
            <w:pPr>
              <w:suppressAutoHyphens/>
              <w:ind w:right="138"/>
              <w:jc w:val="right"/>
              <w:rPr>
                <w:rFonts w:cs="Arial"/>
                <w:spacing w:val="-2"/>
              </w:rPr>
            </w:pPr>
            <w:r>
              <w:rPr>
                <w:rFonts w:cs="Arial"/>
                <w:spacing w:val="-2"/>
              </w:rPr>
              <w:t>-</w:t>
            </w:r>
          </w:p>
        </w:tc>
        <w:tc>
          <w:tcPr>
            <w:tcW w:w="1417" w:type="dxa"/>
          </w:tcPr>
          <w:p w14:paraId="2D43A3AB" w14:textId="77777777" w:rsidR="008F4946" w:rsidRPr="0008397D" w:rsidRDefault="00605EC0" w:rsidP="00872B96">
            <w:pPr>
              <w:suppressAutoHyphens/>
              <w:ind w:right="138"/>
              <w:jc w:val="right"/>
              <w:rPr>
                <w:rFonts w:cs="Arial"/>
                <w:spacing w:val="-2"/>
              </w:rPr>
            </w:pPr>
            <w:r>
              <w:rPr>
                <w:rFonts w:cs="Arial"/>
                <w:spacing w:val="-2"/>
              </w:rPr>
              <w:t>-</w:t>
            </w:r>
          </w:p>
        </w:tc>
        <w:tc>
          <w:tcPr>
            <w:tcW w:w="1560" w:type="dxa"/>
          </w:tcPr>
          <w:p w14:paraId="16EAA9D8" w14:textId="77777777" w:rsidR="008F4946" w:rsidRPr="0008397D" w:rsidRDefault="00605EC0" w:rsidP="00872B96">
            <w:pPr>
              <w:suppressAutoHyphens/>
              <w:ind w:right="138"/>
              <w:jc w:val="right"/>
              <w:rPr>
                <w:rFonts w:cs="Arial"/>
                <w:spacing w:val="-2"/>
              </w:rPr>
            </w:pPr>
            <w:r>
              <w:rPr>
                <w:rFonts w:cs="Arial"/>
                <w:spacing w:val="-2"/>
              </w:rPr>
              <w:t>8,000</w:t>
            </w:r>
          </w:p>
        </w:tc>
        <w:tc>
          <w:tcPr>
            <w:tcW w:w="1417" w:type="dxa"/>
          </w:tcPr>
          <w:p w14:paraId="43828B53" w14:textId="77777777" w:rsidR="008F4946" w:rsidRPr="0008397D" w:rsidRDefault="00605EC0" w:rsidP="00872B96">
            <w:pPr>
              <w:suppressAutoHyphens/>
              <w:ind w:right="138"/>
              <w:jc w:val="right"/>
              <w:rPr>
                <w:rFonts w:cs="Arial"/>
                <w:spacing w:val="-2"/>
              </w:rPr>
            </w:pPr>
            <w:r>
              <w:rPr>
                <w:rFonts w:cs="Arial"/>
                <w:spacing w:val="-2"/>
              </w:rPr>
              <w:t>12,000</w:t>
            </w:r>
          </w:p>
        </w:tc>
      </w:tr>
      <w:tr w:rsidR="008F4946" w:rsidRPr="0008397D" w14:paraId="73115A5F" w14:textId="77777777" w:rsidTr="00FB0405">
        <w:tc>
          <w:tcPr>
            <w:tcW w:w="4503" w:type="dxa"/>
          </w:tcPr>
          <w:p w14:paraId="4C731D24" w14:textId="77777777" w:rsidR="008F4946" w:rsidRPr="0008397D" w:rsidRDefault="00605EC0" w:rsidP="00872B96">
            <w:r w:rsidRPr="00F45179">
              <w:rPr>
                <w:rFonts w:cs="Arial"/>
              </w:rPr>
              <w:t>Impairment provision (Edinburgh Trams Limited) (note 2)</w:t>
            </w:r>
          </w:p>
        </w:tc>
        <w:tc>
          <w:tcPr>
            <w:tcW w:w="1559" w:type="dxa"/>
          </w:tcPr>
          <w:p w14:paraId="7731D57A" w14:textId="77777777" w:rsidR="008F4946" w:rsidRPr="0008397D" w:rsidRDefault="008F4946" w:rsidP="00872B96">
            <w:pPr>
              <w:suppressAutoHyphens/>
              <w:ind w:right="138"/>
              <w:jc w:val="right"/>
              <w:rPr>
                <w:rFonts w:cs="Arial"/>
                <w:spacing w:val="-2"/>
              </w:rPr>
            </w:pPr>
            <w:r w:rsidRPr="0008397D">
              <w:rPr>
                <w:rFonts w:cs="Arial"/>
                <w:spacing w:val="-2"/>
              </w:rPr>
              <w:t>-</w:t>
            </w:r>
          </w:p>
        </w:tc>
        <w:tc>
          <w:tcPr>
            <w:tcW w:w="1417" w:type="dxa"/>
          </w:tcPr>
          <w:p w14:paraId="4DD7B3A3" w14:textId="77777777" w:rsidR="008F4946" w:rsidRPr="0008397D" w:rsidRDefault="008F4946" w:rsidP="00872B96">
            <w:pPr>
              <w:suppressAutoHyphens/>
              <w:ind w:right="138"/>
              <w:jc w:val="right"/>
              <w:rPr>
                <w:rFonts w:cs="Arial"/>
                <w:spacing w:val="-2"/>
              </w:rPr>
            </w:pPr>
            <w:r w:rsidRPr="0008397D">
              <w:rPr>
                <w:rFonts w:cs="Arial"/>
                <w:spacing w:val="-2"/>
              </w:rPr>
              <w:t>-</w:t>
            </w:r>
          </w:p>
        </w:tc>
        <w:tc>
          <w:tcPr>
            <w:tcW w:w="1560" w:type="dxa"/>
          </w:tcPr>
          <w:p w14:paraId="67135A0A" w14:textId="77777777" w:rsidR="008F4946" w:rsidRPr="0008397D" w:rsidRDefault="00605EC0" w:rsidP="00872B96">
            <w:pPr>
              <w:suppressAutoHyphens/>
              <w:ind w:right="138"/>
              <w:jc w:val="right"/>
              <w:rPr>
                <w:rFonts w:cs="Arial"/>
                <w:spacing w:val="-2"/>
              </w:rPr>
            </w:pPr>
            <w:r>
              <w:rPr>
                <w:rFonts w:cs="Arial"/>
                <w:spacing w:val="-2"/>
              </w:rPr>
              <w:t>(8,000)</w:t>
            </w:r>
          </w:p>
        </w:tc>
        <w:tc>
          <w:tcPr>
            <w:tcW w:w="1417" w:type="dxa"/>
          </w:tcPr>
          <w:p w14:paraId="6C722C10" w14:textId="77777777" w:rsidR="008F4946" w:rsidRPr="0008397D" w:rsidRDefault="00605EC0" w:rsidP="00872B96">
            <w:pPr>
              <w:suppressAutoHyphens/>
              <w:ind w:right="138"/>
              <w:jc w:val="right"/>
              <w:rPr>
                <w:rFonts w:cs="Arial"/>
                <w:spacing w:val="-2"/>
              </w:rPr>
            </w:pPr>
            <w:r>
              <w:rPr>
                <w:rFonts w:cs="Arial"/>
                <w:spacing w:val="-2"/>
              </w:rPr>
              <w:t>(12,000)</w:t>
            </w:r>
          </w:p>
        </w:tc>
      </w:tr>
      <w:tr w:rsidR="008F4946" w:rsidRPr="0008397D" w14:paraId="6C4BB56F" w14:textId="77777777" w:rsidTr="00FB0405">
        <w:tc>
          <w:tcPr>
            <w:tcW w:w="4503" w:type="dxa"/>
          </w:tcPr>
          <w:p w14:paraId="7BC4D263" w14:textId="77777777" w:rsidR="008F4946" w:rsidRPr="0008397D" w:rsidRDefault="008F4946" w:rsidP="00872B96"/>
        </w:tc>
        <w:tc>
          <w:tcPr>
            <w:tcW w:w="1559" w:type="dxa"/>
          </w:tcPr>
          <w:p w14:paraId="48C8251D" w14:textId="77777777" w:rsidR="008F4946" w:rsidRPr="0008397D" w:rsidRDefault="008F4946" w:rsidP="00872B96">
            <w:pPr>
              <w:suppressAutoHyphens/>
              <w:ind w:right="138"/>
              <w:jc w:val="right"/>
              <w:rPr>
                <w:rFonts w:cs="Arial"/>
                <w:spacing w:val="-2"/>
              </w:rPr>
            </w:pPr>
            <w:r w:rsidRPr="0008397D">
              <w:t>─────</w:t>
            </w:r>
          </w:p>
        </w:tc>
        <w:tc>
          <w:tcPr>
            <w:tcW w:w="1417" w:type="dxa"/>
          </w:tcPr>
          <w:p w14:paraId="41449AD5" w14:textId="77777777" w:rsidR="008F4946" w:rsidRPr="0008397D" w:rsidRDefault="008F4946" w:rsidP="00872B96">
            <w:pPr>
              <w:suppressAutoHyphens/>
              <w:ind w:right="138"/>
              <w:jc w:val="right"/>
              <w:rPr>
                <w:rFonts w:cs="Arial"/>
                <w:spacing w:val="-2"/>
              </w:rPr>
            </w:pPr>
            <w:r w:rsidRPr="0008397D">
              <w:t>─────</w:t>
            </w:r>
          </w:p>
        </w:tc>
        <w:tc>
          <w:tcPr>
            <w:tcW w:w="1560" w:type="dxa"/>
          </w:tcPr>
          <w:p w14:paraId="7FF4BA49" w14:textId="77777777" w:rsidR="008F4946" w:rsidRPr="0008397D" w:rsidRDefault="008F4946" w:rsidP="00872B96">
            <w:pPr>
              <w:ind w:right="150"/>
              <w:jc w:val="right"/>
            </w:pPr>
            <w:r w:rsidRPr="0008397D">
              <w:t>─────</w:t>
            </w:r>
          </w:p>
        </w:tc>
        <w:tc>
          <w:tcPr>
            <w:tcW w:w="1417" w:type="dxa"/>
          </w:tcPr>
          <w:p w14:paraId="6A9B8BB6" w14:textId="77777777" w:rsidR="008F4946" w:rsidRPr="0008397D" w:rsidRDefault="008F4946" w:rsidP="00872B96">
            <w:pPr>
              <w:ind w:right="150"/>
              <w:jc w:val="right"/>
            </w:pPr>
            <w:r w:rsidRPr="0008397D">
              <w:t>─────</w:t>
            </w:r>
          </w:p>
        </w:tc>
      </w:tr>
      <w:tr w:rsidR="008F4946" w:rsidRPr="0008397D" w14:paraId="4B387B3F" w14:textId="77777777" w:rsidTr="00FB0405">
        <w:tc>
          <w:tcPr>
            <w:tcW w:w="4503" w:type="dxa"/>
          </w:tcPr>
          <w:p w14:paraId="2F7C47E1" w14:textId="77777777" w:rsidR="008F4946" w:rsidRPr="0008397D" w:rsidRDefault="008F4946" w:rsidP="00872B96">
            <w:r w:rsidRPr="0008397D">
              <w:t xml:space="preserve">At </w:t>
            </w:r>
            <w:r w:rsidR="007E1A40">
              <w:t>end of period</w:t>
            </w:r>
          </w:p>
        </w:tc>
        <w:tc>
          <w:tcPr>
            <w:tcW w:w="1559" w:type="dxa"/>
          </w:tcPr>
          <w:p w14:paraId="4DDE5396" w14:textId="77777777" w:rsidR="008F4946" w:rsidRPr="0008397D" w:rsidRDefault="008F4946" w:rsidP="00872B96">
            <w:pPr>
              <w:suppressAutoHyphens/>
              <w:ind w:right="138"/>
              <w:jc w:val="right"/>
              <w:rPr>
                <w:rFonts w:cs="Arial"/>
                <w:spacing w:val="-2"/>
              </w:rPr>
            </w:pPr>
            <w:r w:rsidRPr="0008397D">
              <w:rPr>
                <w:rFonts w:cs="Arial"/>
                <w:spacing w:val="-2"/>
              </w:rPr>
              <w:t>-</w:t>
            </w:r>
          </w:p>
        </w:tc>
        <w:tc>
          <w:tcPr>
            <w:tcW w:w="1417" w:type="dxa"/>
          </w:tcPr>
          <w:p w14:paraId="65397AF4" w14:textId="77777777" w:rsidR="008F4946" w:rsidRPr="0008397D" w:rsidRDefault="008F4946" w:rsidP="00872B96">
            <w:pPr>
              <w:suppressAutoHyphens/>
              <w:ind w:right="138"/>
              <w:jc w:val="right"/>
              <w:rPr>
                <w:rFonts w:cs="Arial"/>
                <w:spacing w:val="-2"/>
              </w:rPr>
            </w:pPr>
            <w:r w:rsidRPr="0008397D">
              <w:rPr>
                <w:rFonts w:cs="Arial"/>
                <w:spacing w:val="-2"/>
              </w:rPr>
              <w:t>-</w:t>
            </w:r>
          </w:p>
        </w:tc>
        <w:tc>
          <w:tcPr>
            <w:tcW w:w="1560" w:type="dxa"/>
          </w:tcPr>
          <w:p w14:paraId="692EDE32" w14:textId="77777777" w:rsidR="008F4946" w:rsidRPr="0008397D" w:rsidRDefault="00605EC0" w:rsidP="00872B96">
            <w:pPr>
              <w:ind w:right="150"/>
              <w:jc w:val="right"/>
            </w:pPr>
            <w:r>
              <w:t>5,824</w:t>
            </w:r>
          </w:p>
        </w:tc>
        <w:tc>
          <w:tcPr>
            <w:tcW w:w="1417" w:type="dxa"/>
          </w:tcPr>
          <w:p w14:paraId="460F1229" w14:textId="77777777" w:rsidR="008F4946" w:rsidRPr="0008397D" w:rsidRDefault="00605EC0" w:rsidP="00872B96">
            <w:pPr>
              <w:ind w:right="150"/>
              <w:jc w:val="right"/>
            </w:pPr>
            <w:r>
              <w:t>5,824</w:t>
            </w:r>
          </w:p>
        </w:tc>
      </w:tr>
      <w:tr w:rsidR="008F4946" w:rsidRPr="0008397D" w14:paraId="428606CE" w14:textId="77777777" w:rsidTr="00FB0405">
        <w:tc>
          <w:tcPr>
            <w:tcW w:w="4503" w:type="dxa"/>
          </w:tcPr>
          <w:p w14:paraId="50DCFD3F" w14:textId="77777777" w:rsidR="008F4946" w:rsidRPr="0008397D" w:rsidRDefault="008F4946" w:rsidP="00872B96">
            <w:pPr>
              <w:ind w:left="546"/>
            </w:pPr>
          </w:p>
        </w:tc>
        <w:tc>
          <w:tcPr>
            <w:tcW w:w="1559" w:type="dxa"/>
          </w:tcPr>
          <w:p w14:paraId="48EC402A" w14:textId="77777777" w:rsidR="008F4946" w:rsidRPr="0008397D" w:rsidRDefault="008F4946" w:rsidP="00872B96">
            <w:pPr>
              <w:suppressAutoHyphens/>
              <w:ind w:right="138"/>
              <w:jc w:val="right"/>
              <w:rPr>
                <w:rFonts w:cs="Arial"/>
                <w:spacing w:val="-2"/>
              </w:rPr>
            </w:pPr>
            <w:r w:rsidRPr="0008397D">
              <w:rPr>
                <w:rFonts w:cs="Arial"/>
                <w:spacing w:val="-2"/>
              </w:rPr>
              <w:t>═════</w:t>
            </w:r>
          </w:p>
        </w:tc>
        <w:tc>
          <w:tcPr>
            <w:tcW w:w="1417" w:type="dxa"/>
          </w:tcPr>
          <w:p w14:paraId="2A6662C7" w14:textId="77777777" w:rsidR="008F4946" w:rsidRPr="0008397D" w:rsidRDefault="008F4946" w:rsidP="00872B96">
            <w:pPr>
              <w:suppressAutoHyphens/>
              <w:ind w:right="138"/>
              <w:jc w:val="right"/>
              <w:rPr>
                <w:rFonts w:cs="Arial"/>
                <w:spacing w:val="-2"/>
              </w:rPr>
            </w:pPr>
            <w:r w:rsidRPr="0008397D">
              <w:rPr>
                <w:rFonts w:cs="Arial"/>
                <w:spacing w:val="-2"/>
              </w:rPr>
              <w:t>═════</w:t>
            </w:r>
          </w:p>
        </w:tc>
        <w:tc>
          <w:tcPr>
            <w:tcW w:w="1560" w:type="dxa"/>
          </w:tcPr>
          <w:p w14:paraId="34E825C4" w14:textId="77777777" w:rsidR="008F4946" w:rsidRPr="0008397D" w:rsidRDefault="008F4946" w:rsidP="00872B96">
            <w:pPr>
              <w:ind w:right="150"/>
              <w:jc w:val="right"/>
              <w:rPr>
                <w:sz w:val="18"/>
                <w:szCs w:val="18"/>
              </w:rPr>
            </w:pPr>
            <w:r w:rsidRPr="0008397D">
              <w:rPr>
                <w:rFonts w:cs="Arial"/>
                <w:spacing w:val="-2"/>
              </w:rPr>
              <w:t>═════</w:t>
            </w:r>
          </w:p>
        </w:tc>
        <w:tc>
          <w:tcPr>
            <w:tcW w:w="1417" w:type="dxa"/>
          </w:tcPr>
          <w:p w14:paraId="48FD8FE4" w14:textId="77777777" w:rsidR="008F4946" w:rsidRPr="0008397D" w:rsidRDefault="008F4946" w:rsidP="00872B96">
            <w:pPr>
              <w:ind w:right="150"/>
              <w:jc w:val="right"/>
              <w:rPr>
                <w:sz w:val="18"/>
                <w:szCs w:val="18"/>
              </w:rPr>
            </w:pPr>
            <w:r w:rsidRPr="0008397D">
              <w:rPr>
                <w:rFonts w:cs="Arial"/>
                <w:spacing w:val="-2"/>
              </w:rPr>
              <w:t>═════</w:t>
            </w:r>
          </w:p>
        </w:tc>
      </w:tr>
    </w:tbl>
    <w:bookmarkEnd w:id="36"/>
    <w:p w14:paraId="2ABFD2AC" w14:textId="77777777" w:rsidR="00605EC0" w:rsidRPr="0085645E" w:rsidRDefault="00605EC0" w:rsidP="00605EC0">
      <w:pPr>
        <w:jc w:val="both"/>
        <w:rPr>
          <w:b/>
        </w:rPr>
      </w:pPr>
      <w:r w:rsidRPr="0085645E">
        <w:rPr>
          <w:b/>
        </w:rPr>
        <w:t>Impairment</w:t>
      </w:r>
    </w:p>
    <w:p w14:paraId="1C01CF0D" w14:textId="77777777" w:rsidR="00605EC0" w:rsidRPr="0085645E" w:rsidRDefault="00605EC0" w:rsidP="00605EC0">
      <w:pPr>
        <w:jc w:val="both"/>
      </w:pPr>
      <w:r w:rsidRPr="0085645E">
        <w:t xml:space="preserve">The City of Edinburgh Council closed the trading element of Transport for Edinburgh Limited in August 2024 as part of their Transport Companies Arm's Length External Organisation (ALEO) reform, the company's balance sheet has been valued at recoverable value as at </w:t>
      </w:r>
      <w:r>
        <w:t>28</w:t>
      </w:r>
      <w:r w:rsidRPr="0085645E">
        <w:t xml:space="preserve"> December 2024.</w:t>
      </w:r>
    </w:p>
    <w:p w14:paraId="0C70F2E7" w14:textId="77777777" w:rsidR="00605EC0" w:rsidRPr="00F45179" w:rsidRDefault="00605EC0" w:rsidP="00605EC0">
      <w:pPr>
        <w:jc w:val="both"/>
      </w:pPr>
    </w:p>
    <w:p w14:paraId="64233ED7" w14:textId="77777777" w:rsidR="00605EC0" w:rsidRPr="00F45179" w:rsidRDefault="00605EC0" w:rsidP="00605EC0">
      <w:pPr>
        <w:jc w:val="both"/>
      </w:pPr>
      <w:r w:rsidRPr="00F45179">
        <w:t xml:space="preserve">An impairment review was carried out and the </w:t>
      </w:r>
      <w:r>
        <w:t xml:space="preserve">above </w:t>
      </w:r>
      <w:r w:rsidRPr="00F45179">
        <w:t xml:space="preserve">provision has been recognised in the </w:t>
      </w:r>
      <w:r w:rsidR="007E1A40">
        <w:t>Income Statement</w:t>
      </w:r>
      <w:r>
        <w:t>.</w:t>
      </w:r>
    </w:p>
    <w:p w14:paraId="372E9D6A" w14:textId="77777777" w:rsidR="009A7722" w:rsidRPr="00F45179" w:rsidRDefault="009A7722" w:rsidP="009A7722">
      <w:pPr>
        <w:jc w:val="center"/>
        <w:rPr>
          <w:b/>
        </w:rPr>
      </w:pPr>
      <w:r>
        <w:br w:type="page"/>
      </w:r>
      <w:r w:rsidRPr="00F45179">
        <w:rPr>
          <w:b/>
        </w:rPr>
        <w:lastRenderedPageBreak/>
        <w:t>TRANSPORT FOR EDINBURGH LIMITED</w:t>
      </w:r>
    </w:p>
    <w:p w14:paraId="1259C726" w14:textId="77777777" w:rsidR="009A7722" w:rsidRPr="00F45179" w:rsidRDefault="009A7722" w:rsidP="009A7722">
      <w:pPr>
        <w:jc w:val="center"/>
        <w:rPr>
          <w:b/>
        </w:rPr>
      </w:pPr>
    </w:p>
    <w:p w14:paraId="1939B5E7" w14:textId="77777777" w:rsidR="009A7722" w:rsidRPr="00F45179" w:rsidRDefault="009A7722" w:rsidP="009A7722">
      <w:pPr>
        <w:jc w:val="center"/>
        <w:rPr>
          <w:b/>
        </w:rPr>
      </w:pPr>
      <w:r w:rsidRPr="00F45179">
        <w:rPr>
          <w:b/>
        </w:rPr>
        <w:t>Notes to the Financial Statements (continued)</w:t>
      </w:r>
    </w:p>
    <w:p w14:paraId="56042221" w14:textId="77777777" w:rsidR="009A7722" w:rsidRPr="00F45179" w:rsidRDefault="009A7722" w:rsidP="009A7722">
      <w:pPr>
        <w:jc w:val="center"/>
        <w:rPr>
          <w:b/>
        </w:rPr>
      </w:pPr>
    </w:p>
    <w:p w14:paraId="779E2334" w14:textId="77777777" w:rsidR="009A7722" w:rsidRDefault="009A7722" w:rsidP="009A7722">
      <w:pPr>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08B96C38" w14:textId="77777777" w:rsidR="009A7722" w:rsidRPr="00F45179" w:rsidRDefault="009A7722" w:rsidP="009A7722">
      <w:pPr>
        <w:jc w:val="both"/>
      </w:pPr>
    </w:p>
    <w:p w14:paraId="4C794A3A" w14:textId="77777777" w:rsidR="009A7722" w:rsidRPr="0008397D" w:rsidRDefault="009A7722" w:rsidP="00A5227C">
      <w:pPr>
        <w:numPr>
          <w:ilvl w:val="0"/>
          <w:numId w:val="40"/>
        </w:numPr>
        <w:ind w:left="360"/>
        <w:jc w:val="both"/>
        <w:rPr>
          <w:b/>
        </w:rPr>
      </w:pPr>
      <w:r w:rsidRPr="0008397D">
        <w:rPr>
          <w:b/>
        </w:rPr>
        <w:t>Investment in subsidiaries</w:t>
      </w:r>
      <w:r>
        <w:rPr>
          <w:b/>
        </w:rPr>
        <w:t xml:space="preserve"> (continued)</w:t>
      </w:r>
    </w:p>
    <w:p w14:paraId="64218183" w14:textId="77777777" w:rsidR="00032ED7" w:rsidRPr="00C328EF" w:rsidRDefault="00032ED7" w:rsidP="008F4946">
      <w:pPr>
        <w:rPr>
          <w:b/>
          <w:highlight w:val="yellow"/>
        </w:rPr>
      </w:pPr>
    </w:p>
    <w:tbl>
      <w:tblPr>
        <w:tblW w:w="10001" w:type="dxa"/>
        <w:tblInd w:w="30" w:type="dxa"/>
        <w:tblLayout w:type="fixed"/>
        <w:tblLook w:val="01E0" w:firstRow="1" w:lastRow="1" w:firstColumn="1" w:lastColumn="1" w:noHBand="0" w:noVBand="0"/>
      </w:tblPr>
      <w:tblGrid>
        <w:gridCol w:w="2964"/>
        <w:gridCol w:w="91"/>
        <w:gridCol w:w="2126"/>
        <w:gridCol w:w="2552"/>
        <w:gridCol w:w="2268"/>
      </w:tblGrid>
      <w:tr w:rsidR="009A7722" w:rsidRPr="00F45179" w14:paraId="48A0C55F" w14:textId="77777777" w:rsidTr="00C42AF1">
        <w:trPr>
          <w:trHeight w:val="303"/>
        </w:trPr>
        <w:tc>
          <w:tcPr>
            <w:tcW w:w="3055" w:type="dxa"/>
            <w:gridSpan w:val="2"/>
          </w:tcPr>
          <w:p w14:paraId="747274C0" w14:textId="77777777" w:rsidR="009A7722" w:rsidRPr="00F45179" w:rsidRDefault="009A7722" w:rsidP="00872B96">
            <w:pPr>
              <w:suppressAutoHyphens/>
              <w:rPr>
                <w:rFonts w:cs="Arial"/>
                <w:b/>
                <w:spacing w:val="-2"/>
              </w:rPr>
            </w:pPr>
          </w:p>
          <w:p w14:paraId="65F5D4BF" w14:textId="77777777" w:rsidR="009A7722" w:rsidRPr="00F45179" w:rsidRDefault="009A7722" w:rsidP="00872B96">
            <w:pPr>
              <w:suppressAutoHyphens/>
              <w:rPr>
                <w:rFonts w:cs="Arial"/>
                <w:b/>
                <w:spacing w:val="-2"/>
              </w:rPr>
            </w:pPr>
            <w:r w:rsidRPr="00F45179">
              <w:rPr>
                <w:rFonts w:cs="Arial"/>
                <w:b/>
                <w:spacing w:val="-2"/>
              </w:rPr>
              <w:t>Subsidiaries:</w:t>
            </w:r>
          </w:p>
        </w:tc>
        <w:tc>
          <w:tcPr>
            <w:tcW w:w="2126" w:type="dxa"/>
          </w:tcPr>
          <w:p w14:paraId="22EF8BEA" w14:textId="77777777" w:rsidR="009A7722" w:rsidRPr="00F45179" w:rsidRDefault="009A7722" w:rsidP="00872B96">
            <w:pPr>
              <w:suppressAutoHyphens/>
              <w:rPr>
                <w:rFonts w:cs="Arial"/>
                <w:b/>
                <w:spacing w:val="-2"/>
              </w:rPr>
            </w:pPr>
            <w:r w:rsidRPr="00F45179">
              <w:rPr>
                <w:rFonts w:cs="Arial"/>
                <w:b/>
                <w:spacing w:val="-2"/>
              </w:rPr>
              <w:t xml:space="preserve">  Country of incorporation</w:t>
            </w:r>
          </w:p>
        </w:tc>
        <w:tc>
          <w:tcPr>
            <w:tcW w:w="2552" w:type="dxa"/>
          </w:tcPr>
          <w:p w14:paraId="5AD75265" w14:textId="77777777" w:rsidR="009A7722" w:rsidRPr="00F45179" w:rsidRDefault="009A7722" w:rsidP="00872B96">
            <w:pPr>
              <w:suppressAutoHyphens/>
              <w:rPr>
                <w:rFonts w:cs="Arial"/>
                <w:b/>
                <w:spacing w:val="-2"/>
              </w:rPr>
            </w:pPr>
          </w:p>
          <w:p w14:paraId="1180C3FC" w14:textId="77777777" w:rsidR="009A7722" w:rsidRPr="00F45179" w:rsidRDefault="009A7722" w:rsidP="00872B96">
            <w:pPr>
              <w:suppressAutoHyphens/>
              <w:rPr>
                <w:rFonts w:cs="Arial"/>
                <w:b/>
                <w:spacing w:val="-2"/>
              </w:rPr>
            </w:pPr>
            <w:r w:rsidRPr="00F45179">
              <w:rPr>
                <w:rFonts w:cs="Arial"/>
                <w:b/>
                <w:spacing w:val="-2"/>
              </w:rPr>
              <w:t xml:space="preserve">  Nature of business</w:t>
            </w:r>
          </w:p>
        </w:tc>
        <w:tc>
          <w:tcPr>
            <w:tcW w:w="2268" w:type="dxa"/>
          </w:tcPr>
          <w:p w14:paraId="13EB657A" w14:textId="77777777" w:rsidR="009A7722" w:rsidRPr="00F45179" w:rsidRDefault="009A7722" w:rsidP="00872B96">
            <w:pPr>
              <w:suppressAutoHyphens/>
              <w:ind w:right="78"/>
              <w:rPr>
                <w:rFonts w:cs="Arial"/>
                <w:b/>
                <w:spacing w:val="-2"/>
              </w:rPr>
            </w:pPr>
            <w:r w:rsidRPr="00F45179">
              <w:rPr>
                <w:rFonts w:cs="Arial"/>
                <w:b/>
                <w:spacing w:val="-2"/>
              </w:rPr>
              <w:t>Proportion of ordinary shares held by parent</w:t>
            </w:r>
          </w:p>
        </w:tc>
      </w:tr>
      <w:tr w:rsidR="009A7722" w:rsidRPr="00F45179" w14:paraId="1AAF7741" w14:textId="77777777" w:rsidTr="00C42AF1">
        <w:tc>
          <w:tcPr>
            <w:tcW w:w="2964" w:type="dxa"/>
          </w:tcPr>
          <w:p w14:paraId="5AC0B55C" w14:textId="77777777" w:rsidR="009A7722" w:rsidRPr="00F45179" w:rsidRDefault="009A7722" w:rsidP="00872B96">
            <w:pPr>
              <w:suppressAutoHyphens/>
              <w:rPr>
                <w:rFonts w:cs="Arial"/>
                <w:spacing w:val="-2"/>
              </w:rPr>
            </w:pPr>
            <w:r w:rsidRPr="00F45179">
              <w:rPr>
                <w:rFonts w:cs="Arial"/>
                <w:spacing w:val="-2"/>
              </w:rPr>
              <w:t>Edinburgh Trams Ltd</w:t>
            </w:r>
          </w:p>
        </w:tc>
        <w:tc>
          <w:tcPr>
            <w:tcW w:w="2217" w:type="dxa"/>
            <w:gridSpan w:val="2"/>
          </w:tcPr>
          <w:p w14:paraId="2DFA812F"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7E3ABE17" w14:textId="77777777" w:rsidR="009A7722" w:rsidRPr="00F45179" w:rsidRDefault="009A7722" w:rsidP="00872B96">
            <w:pPr>
              <w:suppressAutoHyphens/>
              <w:ind w:right="78"/>
              <w:jc w:val="right"/>
              <w:rPr>
                <w:rFonts w:cs="Arial"/>
                <w:spacing w:val="-2"/>
              </w:rPr>
            </w:pPr>
            <w:r w:rsidRPr="00F45179">
              <w:rPr>
                <w:rFonts w:cs="Arial"/>
                <w:spacing w:val="-2"/>
              </w:rPr>
              <w:t>Transport</w:t>
            </w:r>
          </w:p>
        </w:tc>
        <w:tc>
          <w:tcPr>
            <w:tcW w:w="2268" w:type="dxa"/>
          </w:tcPr>
          <w:p w14:paraId="2E9B6647"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19E01B6F" w14:textId="77777777" w:rsidTr="00C42AF1">
        <w:tc>
          <w:tcPr>
            <w:tcW w:w="2964" w:type="dxa"/>
          </w:tcPr>
          <w:p w14:paraId="587EBAB3" w14:textId="77777777" w:rsidR="009A7722" w:rsidRPr="00F45179" w:rsidRDefault="009A7722" w:rsidP="00872B96">
            <w:pPr>
              <w:suppressAutoHyphens/>
              <w:rPr>
                <w:rFonts w:cs="Arial"/>
                <w:spacing w:val="-2"/>
              </w:rPr>
            </w:pPr>
            <w:r w:rsidRPr="00F45179">
              <w:rPr>
                <w:rFonts w:cs="Arial"/>
                <w:spacing w:val="-2"/>
              </w:rPr>
              <w:t>Lothian Buses Ltd</w:t>
            </w:r>
          </w:p>
        </w:tc>
        <w:tc>
          <w:tcPr>
            <w:tcW w:w="2217" w:type="dxa"/>
            <w:gridSpan w:val="2"/>
          </w:tcPr>
          <w:p w14:paraId="10CD46D0"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2E224E9D" w14:textId="77777777" w:rsidR="009A7722" w:rsidRPr="00F45179" w:rsidRDefault="009A7722" w:rsidP="00872B96">
            <w:pPr>
              <w:suppressAutoHyphens/>
              <w:ind w:right="78"/>
              <w:jc w:val="right"/>
              <w:rPr>
                <w:rFonts w:cs="Arial"/>
                <w:spacing w:val="-2"/>
              </w:rPr>
            </w:pPr>
            <w:r w:rsidRPr="00F45179">
              <w:rPr>
                <w:rFonts w:cs="Arial"/>
                <w:spacing w:val="-2"/>
              </w:rPr>
              <w:t>Transport</w:t>
            </w:r>
          </w:p>
        </w:tc>
        <w:tc>
          <w:tcPr>
            <w:tcW w:w="2268" w:type="dxa"/>
          </w:tcPr>
          <w:p w14:paraId="752EA796" w14:textId="77777777" w:rsidR="009A7722" w:rsidRPr="00F45179" w:rsidRDefault="009A7722" w:rsidP="00872B96">
            <w:pPr>
              <w:suppressAutoHyphens/>
              <w:ind w:right="78"/>
              <w:jc w:val="right"/>
              <w:rPr>
                <w:rFonts w:cs="Arial"/>
                <w:spacing w:val="-2"/>
              </w:rPr>
            </w:pPr>
            <w:r w:rsidRPr="00F45179">
              <w:rPr>
                <w:rFonts w:cs="Arial"/>
                <w:spacing w:val="-2"/>
              </w:rPr>
              <w:t>91.01%</w:t>
            </w:r>
          </w:p>
        </w:tc>
      </w:tr>
      <w:tr w:rsidR="009A7722" w:rsidRPr="00F45179" w14:paraId="0D11735A" w14:textId="77777777" w:rsidTr="00C42AF1">
        <w:tc>
          <w:tcPr>
            <w:tcW w:w="2964" w:type="dxa"/>
          </w:tcPr>
          <w:p w14:paraId="45892134" w14:textId="77777777" w:rsidR="009A7722" w:rsidRPr="00F45179" w:rsidRDefault="009A7722" w:rsidP="00872B96">
            <w:pPr>
              <w:suppressAutoHyphens/>
              <w:rPr>
                <w:rFonts w:cs="Arial"/>
                <w:spacing w:val="-2"/>
              </w:rPr>
            </w:pPr>
          </w:p>
        </w:tc>
        <w:tc>
          <w:tcPr>
            <w:tcW w:w="2217" w:type="dxa"/>
            <w:gridSpan w:val="2"/>
          </w:tcPr>
          <w:p w14:paraId="38CBA45A" w14:textId="77777777" w:rsidR="009A7722" w:rsidRPr="00F45179" w:rsidRDefault="009A7722" w:rsidP="00872B96">
            <w:pPr>
              <w:suppressAutoHyphens/>
              <w:ind w:right="78"/>
              <w:jc w:val="right"/>
              <w:rPr>
                <w:rFonts w:cs="Arial"/>
                <w:spacing w:val="-2"/>
              </w:rPr>
            </w:pPr>
          </w:p>
        </w:tc>
        <w:tc>
          <w:tcPr>
            <w:tcW w:w="2552" w:type="dxa"/>
          </w:tcPr>
          <w:p w14:paraId="776CF013" w14:textId="77777777" w:rsidR="009A7722" w:rsidRPr="00F45179" w:rsidRDefault="009A7722" w:rsidP="00872B96">
            <w:pPr>
              <w:suppressAutoHyphens/>
              <w:ind w:right="78"/>
              <w:jc w:val="right"/>
              <w:rPr>
                <w:rFonts w:cs="Arial"/>
                <w:spacing w:val="-2"/>
              </w:rPr>
            </w:pPr>
          </w:p>
        </w:tc>
        <w:tc>
          <w:tcPr>
            <w:tcW w:w="2268" w:type="dxa"/>
          </w:tcPr>
          <w:p w14:paraId="294311DF" w14:textId="77777777" w:rsidR="009A7722" w:rsidRPr="00F45179" w:rsidRDefault="009A7722" w:rsidP="00872B96">
            <w:pPr>
              <w:suppressAutoHyphens/>
              <w:ind w:right="78"/>
              <w:jc w:val="right"/>
              <w:rPr>
                <w:rFonts w:cs="Arial"/>
                <w:spacing w:val="-2"/>
              </w:rPr>
            </w:pPr>
          </w:p>
        </w:tc>
      </w:tr>
      <w:tr w:rsidR="009A7722" w:rsidRPr="00F45179" w14:paraId="188E17D9" w14:textId="77777777" w:rsidTr="00C42AF1">
        <w:tc>
          <w:tcPr>
            <w:tcW w:w="2964" w:type="dxa"/>
          </w:tcPr>
          <w:p w14:paraId="71830747" w14:textId="77777777" w:rsidR="009A7722" w:rsidRPr="00F45179" w:rsidRDefault="009A7722" w:rsidP="00872B96">
            <w:pPr>
              <w:suppressAutoHyphens/>
              <w:rPr>
                <w:rFonts w:cs="Arial"/>
                <w:b/>
                <w:spacing w:val="-2"/>
              </w:rPr>
            </w:pPr>
            <w:r w:rsidRPr="00F45179">
              <w:rPr>
                <w:rFonts w:cs="Arial"/>
                <w:b/>
                <w:spacing w:val="-2"/>
              </w:rPr>
              <w:t>Subsidiaries of Lothian Buses Limited:</w:t>
            </w:r>
          </w:p>
        </w:tc>
        <w:tc>
          <w:tcPr>
            <w:tcW w:w="2217" w:type="dxa"/>
            <w:gridSpan w:val="2"/>
          </w:tcPr>
          <w:p w14:paraId="4ABB28DA" w14:textId="77777777" w:rsidR="009A7722" w:rsidRPr="00F45179" w:rsidRDefault="009A7722" w:rsidP="00872B96">
            <w:pPr>
              <w:suppressAutoHyphens/>
              <w:ind w:right="78"/>
              <w:jc w:val="right"/>
              <w:rPr>
                <w:rFonts w:cs="Arial"/>
                <w:spacing w:val="-2"/>
              </w:rPr>
            </w:pPr>
          </w:p>
        </w:tc>
        <w:tc>
          <w:tcPr>
            <w:tcW w:w="2552" w:type="dxa"/>
          </w:tcPr>
          <w:p w14:paraId="091B08FE" w14:textId="77777777" w:rsidR="009A7722" w:rsidRPr="00F45179" w:rsidRDefault="009A7722" w:rsidP="00872B96">
            <w:pPr>
              <w:suppressAutoHyphens/>
              <w:ind w:right="78"/>
              <w:jc w:val="right"/>
              <w:rPr>
                <w:rFonts w:cs="Arial"/>
                <w:spacing w:val="-2"/>
              </w:rPr>
            </w:pPr>
          </w:p>
        </w:tc>
        <w:tc>
          <w:tcPr>
            <w:tcW w:w="2268" w:type="dxa"/>
          </w:tcPr>
          <w:p w14:paraId="6D34AAEC" w14:textId="77777777" w:rsidR="009A7722" w:rsidRPr="00F45179" w:rsidRDefault="009A7722" w:rsidP="00872B96">
            <w:pPr>
              <w:suppressAutoHyphens/>
              <w:ind w:right="78"/>
              <w:jc w:val="right"/>
              <w:rPr>
                <w:rFonts w:cs="Arial"/>
                <w:spacing w:val="-2"/>
              </w:rPr>
            </w:pPr>
          </w:p>
        </w:tc>
      </w:tr>
      <w:tr w:rsidR="009A7722" w:rsidRPr="00F45179" w14:paraId="190063AB" w14:textId="77777777" w:rsidTr="00C42AF1">
        <w:tc>
          <w:tcPr>
            <w:tcW w:w="2964" w:type="dxa"/>
          </w:tcPr>
          <w:p w14:paraId="1E3599E7" w14:textId="77777777" w:rsidR="009A7722" w:rsidRPr="00F45179" w:rsidRDefault="009A7722" w:rsidP="00872B96">
            <w:pPr>
              <w:suppressAutoHyphens/>
              <w:rPr>
                <w:rFonts w:cs="Arial"/>
                <w:spacing w:val="-2"/>
              </w:rPr>
            </w:pPr>
            <w:bookmarkStart w:id="37" w:name="_Hlk191986963"/>
            <w:r w:rsidRPr="00F45179">
              <w:rPr>
                <w:rFonts w:cs="Arial"/>
                <w:spacing w:val="-2"/>
              </w:rPr>
              <w:t>East Coast Buses Ltd</w:t>
            </w:r>
          </w:p>
        </w:tc>
        <w:tc>
          <w:tcPr>
            <w:tcW w:w="2217" w:type="dxa"/>
            <w:gridSpan w:val="2"/>
          </w:tcPr>
          <w:p w14:paraId="095E03FE"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76CBEF47" w14:textId="77777777" w:rsidR="009A7722" w:rsidRPr="00F45179" w:rsidRDefault="009A7722" w:rsidP="00872B96">
            <w:pPr>
              <w:suppressAutoHyphens/>
              <w:ind w:right="78"/>
              <w:jc w:val="right"/>
              <w:rPr>
                <w:rFonts w:cs="Arial"/>
                <w:spacing w:val="-2"/>
              </w:rPr>
            </w:pPr>
            <w:r w:rsidRPr="00F45179">
              <w:rPr>
                <w:rFonts w:cs="Arial"/>
                <w:spacing w:val="-2"/>
              </w:rPr>
              <w:t>Transport</w:t>
            </w:r>
          </w:p>
        </w:tc>
        <w:tc>
          <w:tcPr>
            <w:tcW w:w="2268" w:type="dxa"/>
          </w:tcPr>
          <w:p w14:paraId="08A765FE" w14:textId="77777777" w:rsidR="009A7722" w:rsidRPr="00F45179" w:rsidRDefault="009A7722" w:rsidP="00872B96">
            <w:pPr>
              <w:suppressAutoHyphens/>
              <w:ind w:right="78"/>
              <w:jc w:val="right"/>
              <w:rPr>
                <w:rFonts w:cs="Arial"/>
                <w:spacing w:val="-2"/>
              </w:rPr>
            </w:pPr>
            <w:r w:rsidRPr="00F45179">
              <w:rPr>
                <w:rFonts w:cs="Arial"/>
                <w:spacing w:val="-2"/>
              </w:rPr>
              <w:t>100%</w:t>
            </w:r>
          </w:p>
        </w:tc>
      </w:tr>
      <w:bookmarkEnd w:id="37"/>
      <w:tr w:rsidR="009A7722" w:rsidRPr="00F45179" w14:paraId="77F17428" w14:textId="77777777" w:rsidTr="00C42AF1">
        <w:tc>
          <w:tcPr>
            <w:tcW w:w="2964" w:type="dxa"/>
          </w:tcPr>
          <w:p w14:paraId="3EFC58E9" w14:textId="77777777" w:rsidR="009A7722" w:rsidRPr="00F45179" w:rsidRDefault="009A7722" w:rsidP="00872B96">
            <w:pPr>
              <w:suppressAutoHyphens/>
              <w:rPr>
                <w:rFonts w:cs="Arial"/>
                <w:spacing w:val="-2"/>
              </w:rPr>
            </w:pPr>
            <w:r w:rsidRPr="00F45179">
              <w:rPr>
                <w:rFonts w:cs="Arial"/>
                <w:spacing w:val="-2"/>
              </w:rPr>
              <w:t>Edinburgh Bus Tours Ltd</w:t>
            </w:r>
          </w:p>
        </w:tc>
        <w:tc>
          <w:tcPr>
            <w:tcW w:w="2217" w:type="dxa"/>
            <w:gridSpan w:val="2"/>
          </w:tcPr>
          <w:p w14:paraId="71EBA88D"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78AE151E" w14:textId="77777777" w:rsidR="009A7722" w:rsidRPr="00F45179" w:rsidRDefault="009A7722" w:rsidP="00872B96">
            <w:pPr>
              <w:suppressAutoHyphens/>
              <w:ind w:right="78"/>
              <w:jc w:val="right"/>
              <w:rPr>
                <w:rFonts w:cs="Arial"/>
                <w:spacing w:val="-2"/>
              </w:rPr>
            </w:pPr>
            <w:r w:rsidRPr="00F45179">
              <w:rPr>
                <w:rFonts w:cs="Arial"/>
                <w:spacing w:val="-2"/>
              </w:rPr>
              <w:t>Transport</w:t>
            </w:r>
          </w:p>
        </w:tc>
        <w:tc>
          <w:tcPr>
            <w:tcW w:w="2268" w:type="dxa"/>
          </w:tcPr>
          <w:p w14:paraId="496D0F51"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03E90B81" w14:textId="77777777" w:rsidTr="00C42AF1">
        <w:tc>
          <w:tcPr>
            <w:tcW w:w="2964" w:type="dxa"/>
          </w:tcPr>
          <w:p w14:paraId="05022BA7" w14:textId="77777777" w:rsidR="009A7722" w:rsidRPr="00F45179" w:rsidRDefault="009A7722" w:rsidP="00872B96">
            <w:pPr>
              <w:suppressAutoHyphens/>
              <w:rPr>
                <w:rFonts w:cs="Arial"/>
                <w:spacing w:val="-2"/>
              </w:rPr>
            </w:pPr>
            <w:r w:rsidRPr="00F45179">
              <w:rPr>
                <w:rFonts w:cs="Arial"/>
                <w:spacing w:val="-2"/>
              </w:rPr>
              <w:t>Eve Coaches Ltd</w:t>
            </w:r>
          </w:p>
        </w:tc>
        <w:tc>
          <w:tcPr>
            <w:tcW w:w="2217" w:type="dxa"/>
            <w:gridSpan w:val="2"/>
          </w:tcPr>
          <w:p w14:paraId="3F5168BB"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312B9737" w14:textId="77777777" w:rsidR="009A7722" w:rsidRPr="00F45179" w:rsidRDefault="009A7722" w:rsidP="00872B96">
            <w:pPr>
              <w:suppressAutoHyphens/>
              <w:ind w:right="78"/>
              <w:jc w:val="right"/>
              <w:rPr>
                <w:rFonts w:cs="Arial"/>
                <w:spacing w:val="-2"/>
              </w:rPr>
            </w:pPr>
            <w:r w:rsidRPr="00F45179">
              <w:rPr>
                <w:rFonts w:cs="Arial"/>
                <w:spacing w:val="-2"/>
              </w:rPr>
              <w:t>Transport</w:t>
            </w:r>
          </w:p>
        </w:tc>
        <w:tc>
          <w:tcPr>
            <w:tcW w:w="2268" w:type="dxa"/>
          </w:tcPr>
          <w:p w14:paraId="7054E52E"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27C2C2A5" w14:textId="77777777" w:rsidTr="00C42AF1">
        <w:tc>
          <w:tcPr>
            <w:tcW w:w="2964" w:type="dxa"/>
          </w:tcPr>
          <w:p w14:paraId="1E6AF5A9" w14:textId="77777777" w:rsidR="009A7722" w:rsidRPr="00F45179" w:rsidRDefault="009A7722" w:rsidP="00872B96">
            <w:pPr>
              <w:suppressAutoHyphens/>
              <w:rPr>
                <w:rFonts w:cs="Arial"/>
                <w:spacing w:val="-2"/>
              </w:rPr>
            </w:pPr>
            <w:r w:rsidRPr="00F45179">
              <w:rPr>
                <w:rFonts w:cs="Arial"/>
                <w:spacing w:val="-2"/>
              </w:rPr>
              <w:t>Lothian Region Transport Ltd</w:t>
            </w:r>
          </w:p>
        </w:tc>
        <w:tc>
          <w:tcPr>
            <w:tcW w:w="2217" w:type="dxa"/>
            <w:gridSpan w:val="2"/>
          </w:tcPr>
          <w:p w14:paraId="085F04CD"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4047ECFC" w14:textId="77777777" w:rsidR="009A7722" w:rsidRPr="00F45179" w:rsidRDefault="009A7722" w:rsidP="00872B96">
            <w:pPr>
              <w:suppressAutoHyphens/>
              <w:ind w:right="78"/>
              <w:jc w:val="right"/>
              <w:rPr>
                <w:rFonts w:cs="Arial"/>
                <w:spacing w:val="-2"/>
              </w:rPr>
            </w:pPr>
            <w:r w:rsidRPr="00F45179">
              <w:rPr>
                <w:rFonts w:cs="Arial"/>
                <w:spacing w:val="-2"/>
              </w:rPr>
              <w:t>Dormant</w:t>
            </w:r>
          </w:p>
        </w:tc>
        <w:tc>
          <w:tcPr>
            <w:tcW w:w="2268" w:type="dxa"/>
          </w:tcPr>
          <w:p w14:paraId="225B6873"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255F7BDA" w14:textId="77777777" w:rsidTr="00C42AF1">
        <w:tc>
          <w:tcPr>
            <w:tcW w:w="2964" w:type="dxa"/>
          </w:tcPr>
          <w:p w14:paraId="75B1F6A0" w14:textId="77777777" w:rsidR="009A7722" w:rsidRPr="00F45179" w:rsidRDefault="009A7722" w:rsidP="00872B96">
            <w:pPr>
              <w:suppressAutoHyphens/>
            </w:pPr>
            <w:r w:rsidRPr="00F45179">
              <w:rPr>
                <w:rFonts w:cs="Arial"/>
                <w:spacing w:val="-2"/>
              </w:rPr>
              <w:t>Majestic Tours Edinburgh Ltd</w:t>
            </w:r>
          </w:p>
        </w:tc>
        <w:tc>
          <w:tcPr>
            <w:tcW w:w="2217" w:type="dxa"/>
            <w:gridSpan w:val="2"/>
          </w:tcPr>
          <w:p w14:paraId="474F4B4A"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480836C4" w14:textId="77777777" w:rsidR="009A7722" w:rsidRPr="00F45179" w:rsidRDefault="009A7722" w:rsidP="00872B96">
            <w:pPr>
              <w:suppressAutoHyphens/>
              <w:ind w:right="78"/>
              <w:jc w:val="right"/>
              <w:rPr>
                <w:rFonts w:cs="Arial"/>
                <w:spacing w:val="-2"/>
              </w:rPr>
            </w:pPr>
            <w:r w:rsidRPr="00F45179">
              <w:rPr>
                <w:rFonts w:cs="Arial"/>
                <w:spacing w:val="-2"/>
              </w:rPr>
              <w:t>Dormant</w:t>
            </w:r>
          </w:p>
        </w:tc>
        <w:tc>
          <w:tcPr>
            <w:tcW w:w="2268" w:type="dxa"/>
          </w:tcPr>
          <w:p w14:paraId="7E29D1B8"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5D3884B9" w14:textId="77777777" w:rsidTr="00C42AF1">
        <w:tc>
          <w:tcPr>
            <w:tcW w:w="2964" w:type="dxa"/>
          </w:tcPr>
          <w:p w14:paraId="5B1F2559" w14:textId="77777777" w:rsidR="009A7722" w:rsidRPr="00F45179" w:rsidRDefault="009A7722" w:rsidP="00872B96">
            <w:pPr>
              <w:suppressAutoHyphens/>
              <w:rPr>
                <w:rFonts w:cs="Arial"/>
                <w:spacing w:val="-2"/>
              </w:rPr>
            </w:pPr>
            <w:r w:rsidRPr="00F45179">
              <w:rPr>
                <w:rFonts w:cs="Arial"/>
                <w:spacing w:val="-2"/>
              </w:rPr>
              <w:t>Edinburgh City Transport Ltd</w:t>
            </w:r>
          </w:p>
        </w:tc>
        <w:tc>
          <w:tcPr>
            <w:tcW w:w="2217" w:type="dxa"/>
            <w:gridSpan w:val="2"/>
          </w:tcPr>
          <w:p w14:paraId="54E8A84A"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7C8CFA5E" w14:textId="77777777" w:rsidR="009A7722" w:rsidRPr="00F45179" w:rsidRDefault="009A7722" w:rsidP="00872B96">
            <w:pPr>
              <w:suppressAutoHyphens/>
              <w:ind w:right="78"/>
              <w:jc w:val="right"/>
              <w:rPr>
                <w:rFonts w:cs="Arial"/>
                <w:spacing w:val="-2"/>
              </w:rPr>
            </w:pPr>
            <w:r w:rsidRPr="00F45179">
              <w:rPr>
                <w:rFonts w:cs="Arial"/>
                <w:spacing w:val="-2"/>
              </w:rPr>
              <w:t>Dormant</w:t>
            </w:r>
          </w:p>
        </w:tc>
        <w:tc>
          <w:tcPr>
            <w:tcW w:w="2268" w:type="dxa"/>
          </w:tcPr>
          <w:p w14:paraId="476DE009"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031A87F8" w14:textId="77777777" w:rsidTr="00C42AF1">
        <w:tc>
          <w:tcPr>
            <w:tcW w:w="2964" w:type="dxa"/>
          </w:tcPr>
          <w:p w14:paraId="5C4883AC" w14:textId="77777777" w:rsidR="009A7722" w:rsidRPr="00F45179" w:rsidRDefault="009A7722" w:rsidP="00872B96">
            <w:pPr>
              <w:suppressAutoHyphens/>
              <w:rPr>
                <w:rFonts w:cs="Arial"/>
                <w:spacing w:val="-2"/>
              </w:rPr>
            </w:pPr>
            <w:r w:rsidRPr="00F45179">
              <w:rPr>
                <w:rFonts w:cs="Arial"/>
                <w:spacing w:val="-2"/>
              </w:rPr>
              <w:t>City Sightseeing Edinburgh Ltd</w:t>
            </w:r>
          </w:p>
        </w:tc>
        <w:tc>
          <w:tcPr>
            <w:tcW w:w="2217" w:type="dxa"/>
            <w:gridSpan w:val="2"/>
          </w:tcPr>
          <w:p w14:paraId="64F04ED9"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720DD437" w14:textId="77777777" w:rsidR="009A7722" w:rsidRPr="00F45179" w:rsidRDefault="009A7722" w:rsidP="00872B96">
            <w:pPr>
              <w:suppressAutoHyphens/>
              <w:ind w:right="78"/>
              <w:jc w:val="right"/>
              <w:rPr>
                <w:rFonts w:cs="Arial"/>
                <w:spacing w:val="-2"/>
              </w:rPr>
            </w:pPr>
            <w:r w:rsidRPr="00F45179">
              <w:rPr>
                <w:rFonts w:cs="Arial"/>
                <w:spacing w:val="-2"/>
              </w:rPr>
              <w:t>Dormant</w:t>
            </w:r>
          </w:p>
        </w:tc>
        <w:tc>
          <w:tcPr>
            <w:tcW w:w="2268" w:type="dxa"/>
          </w:tcPr>
          <w:p w14:paraId="179325B6"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496FB37B" w14:textId="77777777" w:rsidTr="00C42AF1">
        <w:tc>
          <w:tcPr>
            <w:tcW w:w="2964" w:type="dxa"/>
          </w:tcPr>
          <w:p w14:paraId="2BDEE832" w14:textId="77777777" w:rsidR="009A7722" w:rsidRPr="00F45179" w:rsidRDefault="009A7722" w:rsidP="00872B96">
            <w:pPr>
              <w:suppressAutoHyphens/>
              <w:rPr>
                <w:rFonts w:cs="Arial"/>
                <w:spacing w:val="-2"/>
              </w:rPr>
            </w:pPr>
            <w:r w:rsidRPr="00F45179">
              <w:rPr>
                <w:rFonts w:cs="Arial"/>
                <w:spacing w:val="-2"/>
              </w:rPr>
              <w:t>Lothian Coaches Ltd</w:t>
            </w:r>
          </w:p>
        </w:tc>
        <w:tc>
          <w:tcPr>
            <w:tcW w:w="2217" w:type="dxa"/>
            <w:gridSpan w:val="2"/>
          </w:tcPr>
          <w:p w14:paraId="217E9B5D"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111AF70F" w14:textId="77777777" w:rsidR="009A7722" w:rsidRPr="00F45179" w:rsidRDefault="009A7722" w:rsidP="00872B96">
            <w:pPr>
              <w:suppressAutoHyphens/>
              <w:ind w:right="78"/>
              <w:jc w:val="right"/>
              <w:rPr>
                <w:rFonts w:cs="Arial"/>
                <w:spacing w:val="-2"/>
              </w:rPr>
            </w:pPr>
            <w:r w:rsidRPr="00F45179">
              <w:rPr>
                <w:rFonts w:cs="Arial"/>
                <w:spacing w:val="-2"/>
              </w:rPr>
              <w:t>Dormant</w:t>
            </w:r>
          </w:p>
        </w:tc>
        <w:tc>
          <w:tcPr>
            <w:tcW w:w="2268" w:type="dxa"/>
          </w:tcPr>
          <w:p w14:paraId="5284BDBC"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3253F4FB" w14:textId="77777777" w:rsidTr="00C42AF1">
        <w:tc>
          <w:tcPr>
            <w:tcW w:w="2964" w:type="dxa"/>
          </w:tcPr>
          <w:p w14:paraId="5D455BE2" w14:textId="77777777" w:rsidR="009A7722" w:rsidRPr="00F45179" w:rsidRDefault="009A7722" w:rsidP="00872B96">
            <w:pPr>
              <w:suppressAutoHyphens/>
              <w:rPr>
                <w:rFonts w:cs="Arial"/>
                <w:spacing w:val="-2"/>
              </w:rPr>
            </w:pPr>
            <w:r w:rsidRPr="00F45179">
              <w:rPr>
                <w:rFonts w:cs="Arial"/>
                <w:spacing w:val="-2"/>
              </w:rPr>
              <w:t>Lothian Country Buses Ltd</w:t>
            </w:r>
          </w:p>
        </w:tc>
        <w:tc>
          <w:tcPr>
            <w:tcW w:w="2217" w:type="dxa"/>
            <w:gridSpan w:val="2"/>
          </w:tcPr>
          <w:p w14:paraId="48E2E403"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43522B0B" w14:textId="77777777" w:rsidR="009A7722" w:rsidRPr="00F45179" w:rsidRDefault="009A7722" w:rsidP="00872B96">
            <w:pPr>
              <w:suppressAutoHyphens/>
              <w:ind w:right="78"/>
              <w:jc w:val="right"/>
              <w:rPr>
                <w:rFonts w:cs="Arial"/>
                <w:spacing w:val="-2"/>
              </w:rPr>
            </w:pPr>
            <w:r w:rsidRPr="00F45179">
              <w:rPr>
                <w:rFonts w:cs="Arial"/>
                <w:spacing w:val="-2"/>
              </w:rPr>
              <w:t>Dormant</w:t>
            </w:r>
          </w:p>
        </w:tc>
        <w:tc>
          <w:tcPr>
            <w:tcW w:w="2268" w:type="dxa"/>
          </w:tcPr>
          <w:p w14:paraId="424A2AAD"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621A838C" w14:textId="77777777" w:rsidTr="00C42AF1">
        <w:tc>
          <w:tcPr>
            <w:tcW w:w="2964" w:type="dxa"/>
          </w:tcPr>
          <w:p w14:paraId="59EA1B9F" w14:textId="77777777" w:rsidR="009A7722" w:rsidRPr="00F45179" w:rsidRDefault="009A7722" w:rsidP="00872B96">
            <w:pPr>
              <w:suppressAutoHyphens/>
              <w:rPr>
                <w:rFonts w:cs="Arial"/>
                <w:spacing w:val="-2"/>
              </w:rPr>
            </w:pPr>
            <w:r w:rsidRPr="00F45179">
              <w:rPr>
                <w:rFonts w:cs="Arial"/>
                <w:spacing w:val="-2"/>
              </w:rPr>
              <w:t>Leith Walk Property Ltd</w:t>
            </w:r>
          </w:p>
        </w:tc>
        <w:tc>
          <w:tcPr>
            <w:tcW w:w="2217" w:type="dxa"/>
            <w:gridSpan w:val="2"/>
          </w:tcPr>
          <w:p w14:paraId="053285D2"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7E4481B5" w14:textId="77777777" w:rsidR="009A7722" w:rsidRPr="00F45179" w:rsidRDefault="009A7722" w:rsidP="00872B96">
            <w:pPr>
              <w:suppressAutoHyphens/>
              <w:ind w:right="78"/>
              <w:jc w:val="right"/>
              <w:rPr>
                <w:rFonts w:cs="Arial"/>
                <w:spacing w:val="-2"/>
              </w:rPr>
            </w:pPr>
            <w:r w:rsidRPr="00F45179">
              <w:rPr>
                <w:rFonts w:cs="Arial"/>
                <w:spacing w:val="-2"/>
              </w:rPr>
              <w:t>Dormant</w:t>
            </w:r>
          </w:p>
        </w:tc>
        <w:tc>
          <w:tcPr>
            <w:tcW w:w="2268" w:type="dxa"/>
          </w:tcPr>
          <w:p w14:paraId="2530F457"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78197A68" w14:textId="77777777" w:rsidTr="00C42AF1">
        <w:tc>
          <w:tcPr>
            <w:tcW w:w="2964" w:type="dxa"/>
          </w:tcPr>
          <w:p w14:paraId="2E3578D0" w14:textId="77777777" w:rsidR="009A7722" w:rsidRPr="00F45179" w:rsidRDefault="009A7722" w:rsidP="00872B96">
            <w:pPr>
              <w:suppressAutoHyphens/>
              <w:rPr>
                <w:rFonts w:cs="Arial"/>
                <w:spacing w:val="-2"/>
              </w:rPr>
            </w:pPr>
            <w:r w:rsidRPr="00F45179">
              <w:rPr>
                <w:rFonts w:cs="Arial"/>
                <w:spacing w:val="-2"/>
              </w:rPr>
              <w:t>Mactours Ltd</w:t>
            </w:r>
          </w:p>
        </w:tc>
        <w:tc>
          <w:tcPr>
            <w:tcW w:w="2217" w:type="dxa"/>
            <w:gridSpan w:val="2"/>
          </w:tcPr>
          <w:p w14:paraId="54688D11"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49F8A648" w14:textId="77777777" w:rsidR="009A7722" w:rsidRPr="00F45179" w:rsidRDefault="009A7722" w:rsidP="00872B96">
            <w:pPr>
              <w:suppressAutoHyphens/>
              <w:ind w:right="78"/>
              <w:jc w:val="right"/>
              <w:rPr>
                <w:rFonts w:cs="Arial"/>
                <w:spacing w:val="-2"/>
              </w:rPr>
            </w:pPr>
            <w:r w:rsidRPr="00F45179">
              <w:rPr>
                <w:rFonts w:cs="Arial"/>
                <w:spacing w:val="-2"/>
              </w:rPr>
              <w:t>Dormant</w:t>
            </w:r>
          </w:p>
        </w:tc>
        <w:tc>
          <w:tcPr>
            <w:tcW w:w="2268" w:type="dxa"/>
          </w:tcPr>
          <w:p w14:paraId="63100194"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3EA44A8E" w14:textId="77777777" w:rsidTr="00C42AF1">
        <w:tc>
          <w:tcPr>
            <w:tcW w:w="2964" w:type="dxa"/>
          </w:tcPr>
          <w:p w14:paraId="0479DA5A" w14:textId="77777777" w:rsidR="009A7722" w:rsidRPr="00F45179" w:rsidRDefault="009A7722" w:rsidP="00872B96">
            <w:pPr>
              <w:suppressAutoHyphens/>
              <w:rPr>
                <w:rFonts w:cs="Arial"/>
                <w:spacing w:val="-2"/>
              </w:rPr>
            </w:pPr>
            <w:r w:rsidRPr="00F45179">
              <w:rPr>
                <w:rFonts w:cs="Arial"/>
                <w:spacing w:val="-2"/>
              </w:rPr>
              <w:t>Lothian Trams Ltd</w:t>
            </w:r>
          </w:p>
        </w:tc>
        <w:tc>
          <w:tcPr>
            <w:tcW w:w="2217" w:type="dxa"/>
            <w:gridSpan w:val="2"/>
          </w:tcPr>
          <w:p w14:paraId="51BA57D5"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74C85580" w14:textId="77777777" w:rsidR="009A7722" w:rsidRPr="00F45179" w:rsidRDefault="009A7722" w:rsidP="00872B96">
            <w:pPr>
              <w:suppressAutoHyphens/>
              <w:ind w:right="78"/>
              <w:jc w:val="right"/>
              <w:rPr>
                <w:rFonts w:cs="Arial"/>
                <w:spacing w:val="-2"/>
              </w:rPr>
            </w:pPr>
            <w:r w:rsidRPr="00F45179">
              <w:rPr>
                <w:rFonts w:cs="Arial"/>
                <w:spacing w:val="-2"/>
              </w:rPr>
              <w:t>Dormant</w:t>
            </w:r>
          </w:p>
        </w:tc>
        <w:tc>
          <w:tcPr>
            <w:tcW w:w="2268" w:type="dxa"/>
          </w:tcPr>
          <w:p w14:paraId="44850882"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32B604E7" w14:textId="77777777" w:rsidTr="00C42AF1">
        <w:tc>
          <w:tcPr>
            <w:tcW w:w="2964" w:type="dxa"/>
          </w:tcPr>
          <w:p w14:paraId="3FCCEF92" w14:textId="77777777" w:rsidR="009A7722" w:rsidRPr="00F45179" w:rsidRDefault="009A7722" w:rsidP="00872B96">
            <w:pPr>
              <w:suppressAutoHyphens/>
              <w:rPr>
                <w:rFonts w:cs="Arial"/>
                <w:spacing w:val="-2"/>
              </w:rPr>
            </w:pPr>
            <w:r w:rsidRPr="00F45179">
              <w:rPr>
                <w:rFonts w:cs="Arial"/>
                <w:spacing w:val="-2"/>
              </w:rPr>
              <w:t>Lothian Transport Ltd</w:t>
            </w:r>
          </w:p>
        </w:tc>
        <w:tc>
          <w:tcPr>
            <w:tcW w:w="2217" w:type="dxa"/>
            <w:gridSpan w:val="2"/>
          </w:tcPr>
          <w:p w14:paraId="340F808B"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51C3196E" w14:textId="77777777" w:rsidR="009A7722" w:rsidRPr="00F45179" w:rsidRDefault="009A7722" w:rsidP="00872B96">
            <w:pPr>
              <w:suppressAutoHyphens/>
              <w:ind w:right="78"/>
              <w:jc w:val="right"/>
              <w:rPr>
                <w:rFonts w:cs="Arial"/>
                <w:spacing w:val="-2"/>
              </w:rPr>
            </w:pPr>
            <w:r w:rsidRPr="00F45179">
              <w:rPr>
                <w:rFonts w:cs="Arial"/>
                <w:spacing w:val="-2"/>
              </w:rPr>
              <w:t>Dormant</w:t>
            </w:r>
          </w:p>
        </w:tc>
        <w:tc>
          <w:tcPr>
            <w:tcW w:w="2268" w:type="dxa"/>
          </w:tcPr>
          <w:p w14:paraId="44B36EFF"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6D2A0EEA" w14:textId="77777777" w:rsidTr="00C42AF1">
        <w:tc>
          <w:tcPr>
            <w:tcW w:w="2964" w:type="dxa"/>
          </w:tcPr>
          <w:p w14:paraId="0BE6EAB6" w14:textId="77777777" w:rsidR="009A7722" w:rsidRPr="00F45179" w:rsidRDefault="009A7722" w:rsidP="00872B96">
            <w:pPr>
              <w:suppressAutoHyphens/>
              <w:rPr>
                <w:rFonts w:cs="Arial"/>
                <w:spacing w:val="-2"/>
              </w:rPr>
            </w:pPr>
            <w:r w:rsidRPr="00F45179">
              <w:rPr>
                <w:rFonts w:cs="Arial"/>
                <w:spacing w:val="-2"/>
              </w:rPr>
              <w:t>Trams for Edinburgh Ltd</w:t>
            </w:r>
          </w:p>
        </w:tc>
        <w:tc>
          <w:tcPr>
            <w:tcW w:w="2217" w:type="dxa"/>
            <w:gridSpan w:val="2"/>
          </w:tcPr>
          <w:p w14:paraId="34C704F6"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521617B9" w14:textId="77777777" w:rsidR="009A7722" w:rsidRPr="00F45179" w:rsidRDefault="009A7722" w:rsidP="00872B96">
            <w:pPr>
              <w:suppressAutoHyphens/>
              <w:ind w:right="78"/>
              <w:jc w:val="right"/>
              <w:rPr>
                <w:rFonts w:cs="Arial"/>
                <w:spacing w:val="-2"/>
              </w:rPr>
            </w:pPr>
            <w:r w:rsidRPr="00F45179">
              <w:rPr>
                <w:rFonts w:cs="Arial"/>
                <w:spacing w:val="-2"/>
              </w:rPr>
              <w:t>Dormant</w:t>
            </w:r>
          </w:p>
        </w:tc>
        <w:tc>
          <w:tcPr>
            <w:tcW w:w="2268" w:type="dxa"/>
          </w:tcPr>
          <w:p w14:paraId="3499038D"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4A63401C" w14:textId="77777777" w:rsidTr="00C42AF1">
        <w:tc>
          <w:tcPr>
            <w:tcW w:w="2964" w:type="dxa"/>
          </w:tcPr>
          <w:p w14:paraId="018B06EC" w14:textId="77777777" w:rsidR="009A7722" w:rsidRPr="00F45179" w:rsidRDefault="009A7722" w:rsidP="00872B96">
            <w:pPr>
              <w:suppressAutoHyphens/>
              <w:rPr>
                <w:rFonts w:cs="Arial"/>
                <w:spacing w:val="-2"/>
              </w:rPr>
            </w:pPr>
            <w:r w:rsidRPr="00F45179">
              <w:rPr>
                <w:rFonts w:cs="Arial"/>
                <w:spacing w:val="-2"/>
              </w:rPr>
              <w:t>Edinburgh Buses Ltd</w:t>
            </w:r>
          </w:p>
        </w:tc>
        <w:tc>
          <w:tcPr>
            <w:tcW w:w="2217" w:type="dxa"/>
            <w:gridSpan w:val="2"/>
          </w:tcPr>
          <w:p w14:paraId="4D952C07"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6EC6ED65" w14:textId="77777777" w:rsidR="009A7722" w:rsidRPr="00F45179" w:rsidRDefault="009A7722" w:rsidP="00872B96">
            <w:pPr>
              <w:suppressAutoHyphens/>
              <w:ind w:right="78"/>
              <w:jc w:val="right"/>
              <w:rPr>
                <w:rFonts w:cs="Arial"/>
                <w:spacing w:val="-2"/>
              </w:rPr>
            </w:pPr>
            <w:r w:rsidRPr="00F45179">
              <w:rPr>
                <w:rFonts w:cs="Arial"/>
                <w:spacing w:val="-2"/>
              </w:rPr>
              <w:t>Dormant</w:t>
            </w:r>
          </w:p>
        </w:tc>
        <w:tc>
          <w:tcPr>
            <w:tcW w:w="2268" w:type="dxa"/>
          </w:tcPr>
          <w:p w14:paraId="608E33BA" w14:textId="77777777" w:rsidR="009A7722" w:rsidRPr="00F45179" w:rsidRDefault="009A7722" w:rsidP="00872B96">
            <w:pPr>
              <w:suppressAutoHyphens/>
              <w:ind w:right="78"/>
              <w:jc w:val="right"/>
              <w:rPr>
                <w:rFonts w:cs="Arial"/>
                <w:spacing w:val="-2"/>
              </w:rPr>
            </w:pPr>
            <w:r w:rsidRPr="00F45179">
              <w:rPr>
                <w:rFonts w:cs="Arial"/>
                <w:spacing w:val="-2"/>
              </w:rPr>
              <w:t>100%</w:t>
            </w:r>
          </w:p>
        </w:tc>
      </w:tr>
      <w:tr w:rsidR="009A7722" w:rsidRPr="00F45179" w14:paraId="6D50A695" w14:textId="77777777" w:rsidTr="00C42AF1">
        <w:tc>
          <w:tcPr>
            <w:tcW w:w="2964" w:type="dxa"/>
          </w:tcPr>
          <w:p w14:paraId="5C9F4E55" w14:textId="77777777" w:rsidR="009A7722" w:rsidRPr="00F45179" w:rsidRDefault="009A7722" w:rsidP="00872B96">
            <w:pPr>
              <w:suppressAutoHyphens/>
              <w:rPr>
                <w:rFonts w:cs="Arial"/>
                <w:spacing w:val="-2"/>
              </w:rPr>
            </w:pPr>
            <w:r w:rsidRPr="00F45179">
              <w:rPr>
                <w:rFonts w:cs="Arial"/>
                <w:spacing w:val="-2"/>
              </w:rPr>
              <w:t>Edinburgh Bus and Tram Ltd</w:t>
            </w:r>
          </w:p>
        </w:tc>
        <w:tc>
          <w:tcPr>
            <w:tcW w:w="2217" w:type="dxa"/>
            <w:gridSpan w:val="2"/>
          </w:tcPr>
          <w:p w14:paraId="668CFCC0" w14:textId="77777777" w:rsidR="009A7722" w:rsidRPr="00F45179" w:rsidRDefault="009A7722" w:rsidP="00872B96">
            <w:pPr>
              <w:suppressAutoHyphens/>
              <w:ind w:right="78"/>
              <w:jc w:val="right"/>
              <w:rPr>
                <w:rFonts w:cs="Arial"/>
                <w:spacing w:val="-2"/>
              </w:rPr>
            </w:pPr>
            <w:r w:rsidRPr="00F45179">
              <w:rPr>
                <w:rFonts w:cs="Arial"/>
                <w:spacing w:val="-2"/>
              </w:rPr>
              <w:t>UK</w:t>
            </w:r>
          </w:p>
        </w:tc>
        <w:tc>
          <w:tcPr>
            <w:tcW w:w="2552" w:type="dxa"/>
          </w:tcPr>
          <w:p w14:paraId="49C944D7" w14:textId="77777777" w:rsidR="009A7722" w:rsidRPr="00F45179" w:rsidRDefault="009A7722" w:rsidP="00872B96">
            <w:pPr>
              <w:suppressAutoHyphens/>
              <w:ind w:right="78"/>
              <w:jc w:val="right"/>
              <w:rPr>
                <w:rFonts w:cs="Arial"/>
                <w:spacing w:val="-2"/>
              </w:rPr>
            </w:pPr>
            <w:r w:rsidRPr="00F45179">
              <w:rPr>
                <w:rFonts w:cs="Arial"/>
                <w:spacing w:val="-2"/>
              </w:rPr>
              <w:t>Dormant</w:t>
            </w:r>
          </w:p>
        </w:tc>
        <w:tc>
          <w:tcPr>
            <w:tcW w:w="2268" w:type="dxa"/>
          </w:tcPr>
          <w:p w14:paraId="4962C5F2" w14:textId="77777777" w:rsidR="009A7722" w:rsidRPr="00F45179" w:rsidRDefault="009A7722" w:rsidP="00872B96">
            <w:pPr>
              <w:suppressAutoHyphens/>
              <w:ind w:right="78"/>
              <w:jc w:val="right"/>
              <w:rPr>
                <w:rFonts w:cs="Arial"/>
                <w:spacing w:val="-2"/>
              </w:rPr>
            </w:pPr>
            <w:r w:rsidRPr="00F45179">
              <w:rPr>
                <w:rFonts w:cs="Arial"/>
                <w:spacing w:val="-2"/>
              </w:rPr>
              <w:t>100%</w:t>
            </w:r>
          </w:p>
        </w:tc>
      </w:tr>
    </w:tbl>
    <w:p w14:paraId="4A13A1E2" w14:textId="77777777" w:rsidR="009A7722" w:rsidRPr="00C328EF" w:rsidRDefault="009A7722" w:rsidP="009A7722">
      <w:pPr>
        <w:jc w:val="both"/>
        <w:rPr>
          <w:highlight w:val="yellow"/>
        </w:rPr>
      </w:pPr>
    </w:p>
    <w:p w14:paraId="6E362966" w14:textId="77777777" w:rsidR="009A7722" w:rsidRPr="0085645E" w:rsidRDefault="009A7722" w:rsidP="009A7722">
      <w:pPr>
        <w:jc w:val="both"/>
      </w:pPr>
      <w:r w:rsidRPr="0085645E">
        <w:t xml:space="preserve">All subsidiary undertakings are included in the consolidation. The registered address of all of the above subsidiary undertakings is 55 Annandale Street, Edinburgh, </w:t>
      </w:r>
      <w:bookmarkStart w:id="38" w:name="_Hlk192434509"/>
      <w:r w:rsidRPr="0085645E">
        <w:t>EH7 4AZ apart from Eve Coaches Limited which is Spott Road Industrial Estate, Dunbar, EH42 1RR.</w:t>
      </w:r>
      <w:bookmarkEnd w:id="38"/>
      <w:r w:rsidRPr="0085645E">
        <w:t xml:space="preserve"> The proportion of the voting rights in the subsidiary undertakings held directly by the parent company do not differ from the proportion of ordinary shares held.</w:t>
      </w:r>
    </w:p>
    <w:p w14:paraId="2EDF2724" w14:textId="77777777" w:rsidR="009A7722" w:rsidRPr="0008397D" w:rsidRDefault="009A7722" w:rsidP="009A7722">
      <w:pPr>
        <w:jc w:val="both"/>
      </w:pPr>
    </w:p>
    <w:p w14:paraId="41ED57EF" w14:textId="77777777" w:rsidR="009A7722" w:rsidRPr="0008397D" w:rsidRDefault="009A7722" w:rsidP="009A7722">
      <w:pPr>
        <w:jc w:val="both"/>
      </w:pPr>
      <w:r w:rsidRPr="0008397D">
        <w:t>Lothian Buses Limited acquired the entire share capital of Eve Coaches Limited on 12 February 2024. The Directors consider the value of the investments to be supported by their underlying assets.</w:t>
      </w:r>
    </w:p>
    <w:tbl>
      <w:tblPr>
        <w:tblW w:w="10296" w:type="dxa"/>
        <w:tblLayout w:type="fixed"/>
        <w:tblLook w:val="01E0" w:firstRow="1" w:lastRow="1" w:firstColumn="1" w:lastColumn="1" w:noHBand="0" w:noVBand="0"/>
      </w:tblPr>
      <w:tblGrid>
        <w:gridCol w:w="5211"/>
        <w:gridCol w:w="1276"/>
        <w:gridCol w:w="1276"/>
        <w:gridCol w:w="1559"/>
        <w:gridCol w:w="974"/>
      </w:tblGrid>
      <w:tr w:rsidR="009A7722" w:rsidRPr="0008397D" w14:paraId="7CDB6BFE" w14:textId="77777777" w:rsidTr="00FB0405">
        <w:tc>
          <w:tcPr>
            <w:tcW w:w="5211" w:type="dxa"/>
          </w:tcPr>
          <w:p w14:paraId="49534D15" w14:textId="77777777" w:rsidR="009A7722" w:rsidRPr="0008397D" w:rsidRDefault="009A7722" w:rsidP="00872B96">
            <w:pPr>
              <w:suppressAutoHyphens/>
              <w:rPr>
                <w:rFonts w:cs="Arial"/>
                <w:spacing w:val="-2"/>
              </w:rPr>
            </w:pPr>
          </w:p>
        </w:tc>
        <w:tc>
          <w:tcPr>
            <w:tcW w:w="2552" w:type="dxa"/>
            <w:gridSpan w:val="2"/>
          </w:tcPr>
          <w:p w14:paraId="1BC0EFA1" w14:textId="77777777" w:rsidR="009A7722" w:rsidRPr="0008397D" w:rsidRDefault="009A7722" w:rsidP="00872B96">
            <w:pPr>
              <w:ind w:left="60"/>
              <w:jc w:val="center"/>
              <w:rPr>
                <w:b/>
              </w:rPr>
            </w:pPr>
          </w:p>
        </w:tc>
        <w:tc>
          <w:tcPr>
            <w:tcW w:w="2533" w:type="dxa"/>
            <w:gridSpan w:val="2"/>
          </w:tcPr>
          <w:p w14:paraId="53B5B486" w14:textId="77777777" w:rsidR="009A7722" w:rsidRPr="0008397D" w:rsidRDefault="009A7722" w:rsidP="00872B96">
            <w:pPr>
              <w:jc w:val="center"/>
              <w:rPr>
                <w:b/>
              </w:rPr>
            </w:pPr>
          </w:p>
        </w:tc>
      </w:tr>
      <w:tr w:rsidR="009A7722" w:rsidRPr="0008397D" w14:paraId="70340A7D" w14:textId="77777777" w:rsidTr="00FB0405">
        <w:tc>
          <w:tcPr>
            <w:tcW w:w="5211" w:type="dxa"/>
          </w:tcPr>
          <w:p w14:paraId="08CADE05" w14:textId="77777777" w:rsidR="009A7722" w:rsidRPr="0008397D" w:rsidRDefault="009A7722" w:rsidP="00872B96">
            <w:pPr>
              <w:suppressAutoHyphens/>
              <w:rPr>
                <w:rFonts w:cs="Arial"/>
                <w:spacing w:val="-2"/>
              </w:rPr>
            </w:pPr>
          </w:p>
        </w:tc>
        <w:tc>
          <w:tcPr>
            <w:tcW w:w="1276" w:type="dxa"/>
          </w:tcPr>
          <w:p w14:paraId="69B42B46" w14:textId="77777777" w:rsidR="009A7722" w:rsidRPr="0008397D" w:rsidRDefault="009A7722" w:rsidP="00872B96">
            <w:pPr>
              <w:ind w:right="126"/>
              <w:jc w:val="center"/>
              <w:rPr>
                <w:b/>
              </w:rPr>
            </w:pPr>
          </w:p>
        </w:tc>
        <w:tc>
          <w:tcPr>
            <w:tcW w:w="1276" w:type="dxa"/>
          </w:tcPr>
          <w:p w14:paraId="3FED04E1" w14:textId="77777777" w:rsidR="009A7722" w:rsidRPr="0008397D" w:rsidRDefault="009A7722" w:rsidP="00872B96">
            <w:pPr>
              <w:ind w:right="126"/>
              <w:jc w:val="center"/>
              <w:rPr>
                <w:b/>
              </w:rPr>
            </w:pPr>
          </w:p>
        </w:tc>
        <w:tc>
          <w:tcPr>
            <w:tcW w:w="1559" w:type="dxa"/>
          </w:tcPr>
          <w:p w14:paraId="02E10D86" w14:textId="77777777" w:rsidR="009A7722" w:rsidRPr="0008397D" w:rsidRDefault="004037D2" w:rsidP="00872B96">
            <w:pPr>
              <w:ind w:right="126"/>
              <w:jc w:val="center"/>
              <w:rPr>
                <w:b/>
              </w:rPr>
            </w:pPr>
            <w:r>
              <w:rPr>
                <w:b/>
              </w:rPr>
              <w:t>28/12/</w:t>
            </w:r>
            <w:r w:rsidR="009A7722" w:rsidRPr="0008397D">
              <w:rPr>
                <w:b/>
              </w:rPr>
              <w:t>2024</w:t>
            </w:r>
          </w:p>
        </w:tc>
        <w:tc>
          <w:tcPr>
            <w:tcW w:w="974" w:type="dxa"/>
          </w:tcPr>
          <w:p w14:paraId="0ED082BB" w14:textId="77777777" w:rsidR="009A7722" w:rsidRPr="0008397D" w:rsidRDefault="009A7722" w:rsidP="00872B96">
            <w:pPr>
              <w:ind w:right="126"/>
              <w:jc w:val="center"/>
              <w:rPr>
                <w:b/>
              </w:rPr>
            </w:pPr>
          </w:p>
        </w:tc>
      </w:tr>
      <w:tr w:rsidR="009A7722" w:rsidRPr="0008397D" w14:paraId="667260DE" w14:textId="77777777" w:rsidTr="00FB0405">
        <w:tc>
          <w:tcPr>
            <w:tcW w:w="5211" w:type="dxa"/>
          </w:tcPr>
          <w:p w14:paraId="178343FD" w14:textId="77777777" w:rsidR="009A7722" w:rsidRPr="0008397D" w:rsidRDefault="009A7722" w:rsidP="00872B96">
            <w:pPr>
              <w:suppressAutoHyphens/>
              <w:rPr>
                <w:rFonts w:cs="Arial"/>
                <w:spacing w:val="-2"/>
              </w:rPr>
            </w:pPr>
          </w:p>
        </w:tc>
        <w:tc>
          <w:tcPr>
            <w:tcW w:w="1276" w:type="dxa"/>
          </w:tcPr>
          <w:p w14:paraId="21D40E03" w14:textId="77777777" w:rsidR="009A7722" w:rsidRPr="0008397D" w:rsidRDefault="009A7722" w:rsidP="00872B96">
            <w:pPr>
              <w:ind w:right="126"/>
              <w:jc w:val="center"/>
              <w:rPr>
                <w:b/>
              </w:rPr>
            </w:pPr>
          </w:p>
        </w:tc>
        <w:tc>
          <w:tcPr>
            <w:tcW w:w="1276" w:type="dxa"/>
          </w:tcPr>
          <w:p w14:paraId="5F2A5F68" w14:textId="77777777" w:rsidR="009A7722" w:rsidRPr="0008397D" w:rsidRDefault="009A7722" w:rsidP="00872B96">
            <w:pPr>
              <w:ind w:right="126"/>
              <w:jc w:val="center"/>
              <w:rPr>
                <w:b/>
              </w:rPr>
            </w:pPr>
          </w:p>
        </w:tc>
        <w:tc>
          <w:tcPr>
            <w:tcW w:w="1559" w:type="dxa"/>
          </w:tcPr>
          <w:p w14:paraId="779AFC35" w14:textId="77777777" w:rsidR="009A7722" w:rsidRPr="0008397D" w:rsidRDefault="009A7722" w:rsidP="00872B96">
            <w:pPr>
              <w:ind w:right="126"/>
              <w:jc w:val="center"/>
              <w:rPr>
                <w:b/>
              </w:rPr>
            </w:pPr>
            <w:r w:rsidRPr="0008397D">
              <w:rPr>
                <w:b/>
              </w:rPr>
              <w:t>£’000</w:t>
            </w:r>
          </w:p>
        </w:tc>
        <w:tc>
          <w:tcPr>
            <w:tcW w:w="974" w:type="dxa"/>
          </w:tcPr>
          <w:p w14:paraId="0FCA7EE2" w14:textId="77777777" w:rsidR="009A7722" w:rsidRPr="0008397D" w:rsidRDefault="009A7722" w:rsidP="00872B96">
            <w:pPr>
              <w:ind w:right="126"/>
              <w:jc w:val="center"/>
              <w:rPr>
                <w:b/>
              </w:rPr>
            </w:pPr>
          </w:p>
        </w:tc>
      </w:tr>
      <w:tr w:rsidR="009A7722" w:rsidRPr="0008397D" w14:paraId="2216E8DB" w14:textId="77777777" w:rsidTr="00006C5B">
        <w:tc>
          <w:tcPr>
            <w:tcW w:w="5211" w:type="dxa"/>
          </w:tcPr>
          <w:p w14:paraId="4CFB0A67" w14:textId="77777777" w:rsidR="009A7722" w:rsidRPr="0008397D" w:rsidRDefault="009A7722" w:rsidP="00872B96">
            <w:pPr>
              <w:suppressAutoHyphens/>
              <w:rPr>
                <w:rFonts w:cs="Arial"/>
                <w:spacing w:val="-2"/>
              </w:rPr>
            </w:pPr>
          </w:p>
        </w:tc>
        <w:tc>
          <w:tcPr>
            <w:tcW w:w="1276" w:type="dxa"/>
          </w:tcPr>
          <w:p w14:paraId="55CADE85" w14:textId="77777777" w:rsidR="009A7722" w:rsidRPr="0008397D" w:rsidRDefault="009A7722" w:rsidP="00872B96">
            <w:pPr>
              <w:suppressAutoHyphens/>
              <w:ind w:right="138"/>
              <w:jc w:val="right"/>
              <w:rPr>
                <w:rFonts w:cs="Arial"/>
                <w:spacing w:val="-2"/>
              </w:rPr>
            </w:pPr>
          </w:p>
        </w:tc>
        <w:tc>
          <w:tcPr>
            <w:tcW w:w="1276" w:type="dxa"/>
          </w:tcPr>
          <w:p w14:paraId="62C76AA2" w14:textId="77777777" w:rsidR="009A7722" w:rsidRPr="0008397D" w:rsidRDefault="009A7722" w:rsidP="00872B96">
            <w:pPr>
              <w:suppressAutoHyphens/>
              <w:ind w:right="138"/>
              <w:jc w:val="right"/>
              <w:rPr>
                <w:rFonts w:cs="Arial"/>
                <w:spacing w:val="-2"/>
              </w:rPr>
            </w:pPr>
          </w:p>
        </w:tc>
        <w:tc>
          <w:tcPr>
            <w:tcW w:w="1559" w:type="dxa"/>
          </w:tcPr>
          <w:p w14:paraId="1752AC49" w14:textId="77777777" w:rsidR="009A7722" w:rsidRPr="0008397D" w:rsidRDefault="009A7722" w:rsidP="00872B96">
            <w:pPr>
              <w:suppressAutoHyphens/>
              <w:ind w:right="138"/>
              <w:jc w:val="right"/>
              <w:rPr>
                <w:rFonts w:cs="Arial"/>
                <w:spacing w:val="-2"/>
              </w:rPr>
            </w:pPr>
          </w:p>
        </w:tc>
        <w:tc>
          <w:tcPr>
            <w:tcW w:w="974" w:type="dxa"/>
          </w:tcPr>
          <w:p w14:paraId="59A8216B" w14:textId="77777777" w:rsidR="009A7722" w:rsidRPr="0008397D" w:rsidRDefault="009A7722" w:rsidP="00872B96">
            <w:pPr>
              <w:suppressAutoHyphens/>
              <w:ind w:right="138"/>
              <w:jc w:val="right"/>
              <w:rPr>
                <w:rFonts w:cs="Arial"/>
                <w:spacing w:val="-2"/>
              </w:rPr>
            </w:pPr>
          </w:p>
        </w:tc>
      </w:tr>
      <w:tr w:rsidR="009A7722" w:rsidRPr="0008397D" w14:paraId="00FC2015" w14:textId="77777777" w:rsidTr="00006C5B">
        <w:tc>
          <w:tcPr>
            <w:tcW w:w="5211" w:type="dxa"/>
          </w:tcPr>
          <w:p w14:paraId="63EFCB02" w14:textId="77777777" w:rsidR="009A7722" w:rsidRPr="0008397D" w:rsidRDefault="009A7722" w:rsidP="00872B96">
            <w:pPr>
              <w:suppressAutoHyphens/>
              <w:rPr>
                <w:rFonts w:cs="Arial"/>
                <w:spacing w:val="-2"/>
              </w:rPr>
            </w:pPr>
            <w:r w:rsidRPr="0008397D">
              <w:t>Net fair value of the acquiree’s identifiable net assets</w:t>
            </w:r>
          </w:p>
        </w:tc>
        <w:tc>
          <w:tcPr>
            <w:tcW w:w="1276" w:type="dxa"/>
          </w:tcPr>
          <w:p w14:paraId="014C0770" w14:textId="77777777" w:rsidR="009A7722" w:rsidRPr="0008397D" w:rsidRDefault="009A7722" w:rsidP="00872B96">
            <w:pPr>
              <w:suppressAutoHyphens/>
              <w:ind w:right="138"/>
              <w:jc w:val="right"/>
              <w:rPr>
                <w:rFonts w:cs="Arial"/>
                <w:spacing w:val="-2"/>
              </w:rPr>
            </w:pPr>
          </w:p>
        </w:tc>
        <w:tc>
          <w:tcPr>
            <w:tcW w:w="1276" w:type="dxa"/>
          </w:tcPr>
          <w:p w14:paraId="5CC602E4" w14:textId="77777777" w:rsidR="009A7722" w:rsidRPr="0008397D" w:rsidRDefault="009A7722" w:rsidP="00872B96">
            <w:pPr>
              <w:suppressAutoHyphens/>
              <w:ind w:right="138"/>
              <w:jc w:val="right"/>
              <w:rPr>
                <w:rFonts w:cs="Arial"/>
                <w:spacing w:val="-2"/>
              </w:rPr>
            </w:pPr>
          </w:p>
        </w:tc>
        <w:tc>
          <w:tcPr>
            <w:tcW w:w="1559" w:type="dxa"/>
          </w:tcPr>
          <w:p w14:paraId="3369CF4E" w14:textId="77777777" w:rsidR="009A7722" w:rsidRPr="0008397D" w:rsidRDefault="009A7722" w:rsidP="00872B96">
            <w:pPr>
              <w:suppressAutoHyphens/>
              <w:ind w:right="138"/>
              <w:jc w:val="right"/>
              <w:rPr>
                <w:rFonts w:cs="Arial"/>
                <w:spacing w:val="-2"/>
              </w:rPr>
            </w:pPr>
            <w:r w:rsidRPr="0008397D">
              <w:rPr>
                <w:rFonts w:cs="Arial"/>
                <w:spacing w:val="-2"/>
              </w:rPr>
              <w:t>4,359</w:t>
            </w:r>
          </w:p>
        </w:tc>
        <w:tc>
          <w:tcPr>
            <w:tcW w:w="974" w:type="dxa"/>
          </w:tcPr>
          <w:p w14:paraId="7D42A68B" w14:textId="77777777" w:rsidR="009A7722" w:rsidRPr="0008397D" w:rsidRDefault="009A7722" w:rsidP="00872B96">
            <w:pPr>
              <w:suppressAutoHyphens/>
              <w:ind w:right="138"/>
              <w:jc w:val="right"/>
              <w:rPr>
                <w:rFonts w:cs="Arial"/>
                <w:spacing w:val="-2"/>
              </w:rPr>
            </w:pPr>
          </w:p>
        </w:tc>
      </w:tr>
      <w:tr w:rsidR="009A7722" w:rsidRPr="0008397D" w14:paraId="70688557" w14:textId="77777777" w:rsidTr="00006C5B">
        <w:tc>
          <w:tcPr>
            <w:tcW w:w="5211" w:type="dxa"/>
          </w:tcPr>
          <w:p w14:paraId="63676339" w14:textId="77777777" w:rsidR="009A7722" w:rsidRPr="0008397D" w:rsidRDefault="009A7722" w:rsidP="00872B96">
            <w:r w:rsidRPr="0008397D">
              <w:t>Customer contracts (note 9)</w:t>
            </w:r>
          </w:p>
        </w:tc>
        <w:tc>
          <w:tcPr>
            <w:tcW w:w="1276" w:type="dxa"/>
          </w:tcPr>
          <w:p w14:paraId="1056783F" w14:textId="77777777" w:rsidR="009A7722" w:rsidRPr="0008397D" w:rsidRDefault="009A7722" w:rsidP="00872B96">
            <w:pPr>
              <w:suppressAutoHyphens/>
              <w:ind w:right="138"/>
              <w:jc w:val="right"/>
              <w:rPr>
                <w:rFonts w:cs="Arial"/>
                <w:spacing w:val="-2"/>
              </w:rPr>
            </w:pPr>
          </w:p>
        </w:tc>
        <w:tc>
          <w:tcPr>
            <w:tcW w:w="1276" w:type="dxa"/>
          </w:tcPr>
          <w:p w14:paraId="604FD576" w14:textId="77777777" w:rsidR="009A7722" w:rsidRPr="0008397D" w:rsidRDefault="009A7722" w:rsidP="00872B96">
            <w:pPr>
              <w:suppressAutoHyphens/>
              <w:ind w:right="138"/>
              <w:jc w:val="right"/>
              <w:rPr>
                <w:rFonts w:cs="Arial"/>
                <w:spacing w:val="-2"/>
              </w:rPr>
            </w:pPr>
          </w:p>
        </w:tc>
        <w:tc>
          <w:tcPr>
            <w:tcW w:w="1559" w:type="dxa"/>
          </w:tcPr>
          <w:p w14:paraId="71BD0221" w14:textId="77777777" w:rsidR="009A7722" w:rsidRPr="0008397D" w:rsidRDefault="009A7722" w:rsidP="00872B96">
            <w:pPr>
              <w:suppressAutoHyphens/>
              <w:ind w:right="138"/>
              <w:jc w:val="right"/>
              <w:rPr>
                <w:rFonts w:cs="Arial"/>
                <w:spacing w:val="-2"/>
              </w:rPr>
            </w:pPr>
            <w:r w:rsidRPr="0008397D">
              <w:rPr>
                <w:rFonts w:cs="Arial"/>
                <w:spacing w:val="-2"/>
              </w:rPr>
              <w:t>1,875</w:t>
            </w:r>
          </w:p>
        </w:tc>
        <w:tc>
          <w:tcPr>
            <w:tcW w:w="974" w:type="dxa"/>
          </w:tcPr>
          <w:p w14:paraId="7B07AC43" w14:textId="77777777" w:rsidR="009A7722" w:rsidRPr="0008397D" w:rsidRDefault="009A7722" w:rsidP="00872B96">
            <w:pPr>
              <w:suppressAutoHyphens/>
              <w:ind w:right="138"/>
              <w:jc w:val="right"/>
              <w:rPr>
                <w:rFonts w:cs="Arial"/>
                <w:spacing w:val="-2"/>
              </w:rPr>
            </w:pPr>
          </w:p>
        </w:tc>
      </w:tr>
      <w:tr w:rsidR="009A7722" w:rsidRPr="0008397D" w14:paraId="4CDDEDB8" w14:textId="77777777" w:rsidTr="00006C5B">
        <w:tc>
          <w:tcPr>
            <w:tcW w:w="5211" w:type="dxa"/>
          </w:tcPr>
          <w:p w14:paraId="74D0564F" w14:textId="77777777" w:rsidR="009A7722" w:rsidRPr="0008397D" w:rsidRDefault="009A7722" w:rsidP="00872B96">
            <w:r w:rsidRPr="0008397D">
              <w:t>Goodwill (note 9)</w:t>
            </w:r>
          </w:p>
        </w:tc>
        <w:tc>
          <w:tcPr>
            <w:tcW w:w="1276" w:type="dxa"/>
          </w:tcPr>
          <w:p w14:paraId="778C10B4" w14:textId="77777777" w:rsidR="009A7722" w:rsidRPr="0008397D" w:rsidRDefault="009A7722" w:rsidP="00872B96">
            <w:pPr>
              <w:suppressAutoHyphens/>
              <w:ind w:right="138"/>
              <w:jc w:val="right"/>
              <w:rPr>
                <w:rFonts w:cs="Arial"/>
                <w:spacing w:val="-2"/>
              </w:rPr>
            </w:pPr>
          </w:p>
        </w:tc>
        <w:tc>
          <w:tcPr>
            <w:tcW w:w="1276" w:type="dxa"/>
          </w:tcPr>
          <w:p w14:paraId="5369BAE8" w14:textId="77777777" w:rsidR="009A7722" w:rsidRPr="0008397D" w:rsidRDefault="009A7722" w:rsidP="00872B96">
            <w:pPr>
              <w:suppressAutoHyphens/>
              <w:ind w:right="138"/>
              <w:jc w:val="right"/>
              <w:rPr>
                <w:rFonts w:cs="Arial"/>
                <w:spacing w:val="-2"/>
              </w:rPr>
            </w:pPr>
          </w:p>
        </w:tc>
        <w:tc>
          <w:tcPr>
            <w:tcW w:w="1559" w:type="dxa"/>
          </w:tcPr>
          <w:p w14:paraId="1A343751" w14:textId="77777777" w:rsidR="009A7722" w:rsidRPr="0008397D" w:rsidRDefault="009A7722" w:rsidP="00872B96">
            <w:pPr>
              <w:suppressAutoHyphens/>
              <w:ind w:right="138"/>
              <w:jc w:val="right"/>
              <w:rPr>
                <w:rFonts w:cs="Arial"/>
                <w:spacing w:val="-2"/>
              </w:rPr>
            </w:pPr>
            <w:r w:rsidRPr="0008397D">
              <w:rPr>
                <w:rFonts w:cs="Arial"/>
                <w:spacing w:val="-2"/>
              </w:rPr>
              <w:t>(126)</w:t>
            </w:r>
          </w:p>
        </w:tc>
        <w:tc>
          <w:tcPr>
            <w:tcW w:w="974" w:type="dxa"/>
          </w:tcPr>
          <w:p w14:paraId="603ADA84" w14:textId="77777777" w:rsidR="009A7722" w:rsidRPr="0008397D" w:rsidRDefault="009A7722" w:rsidP="00872B96">
            <w:pPr>
              <w:suppressAutoHyphens/>
              <w:ind w:right="138"/>
              <w:jc w:val="right"/>
              <w:rPr>
                <w:rFonts w:cs="Arial"/>
                <w:spacing w:val="-2"/>
              </w:rPr>
            </w:pPr>
          </w:p>
        </w:tc>
      </w:tr>
      <w:tr w:rsidR="009A7722" w:rsidRPr="0008397D" w14:paraId="01A716C2" w14:textId="77777777" w:rsidTr="00006C5B">
        <w:tc>
          <w:tcPr>
            <w:tcW w:w="5211" w:type="dxa"/>
          </w:tcPr>
          <w:p w14:paraId="78F577AB" w14:textId="77777777" w:rsidR="009A7722" w:rsidRPr="0008397D" w:rsidRDefault="009A7722" w:rsidP="00872B96"/>
        </w:tc>
        <w:tc>
          <w:tcPr>
            <w:tcW w:w="1276" w:type="dxa"/>
          </w:tcPr>
          <w:p w14:paraId="7BFCD46D" w14:textId="77777777" w:rsidR="009A7722" w:rsidRPr="0008397D" w:rsidRDefault="009A7722" w:rsidP="00872B96">
            <w:pPr>
              <w:suppressAutoHyphens/>
              <w:ind w:right="138"/>
              <w:jc w:val="right"/>
              <w:rPr>
                <w:rFonts w:cs="Arial"/>
                <w:spacing w:val="-2"/>
              </w:rPr>
            </w:pPr>
          </w:p>
        </w:tc>
        <w:tc>
          <w:tcPr>
            <w:tcW w:w="1276" w:type="dxa"/>
          </w:tcPr>
          <w:p w14:paraId="2D6E5CCC" w14:textId="77777777" w:rsidR="009A7722" w:rsidRPr="0008397D" w:rsidRDefault="009A7722" w:rsidP="00872B96">
            <w:pPr>
              <w:suppressAutoHyphens/>
              <w:ind w:right="138"/>
              <w:jc w:val="right"/>
              <w:rPr>
                <w:rFonts w:cs="Arial"/>
                <w:spacing w:val="-2"/>
              </w:rPr>
            </w:pPr>
          </w:p>
        </w:tc>
        <w:tc>
          <w:tcPr>
            <w:tcW w:w="1559" w:type="dxa"/>
          </w:tcPr>
          <w:p w14:paraId="7DEADA0B" w14:textId="77777777" w:rsidR="009A7722" w:rsidRPr="0008397D" w:rsidRDefault="009A7722" w:rsidP="00872B96">
            <w:pPr>
              <w:ind w:right="150"/>
              <w:jc w:val="right"/>
            </w:pPr>
            <w:r w:rsidRPr="0008397D">
              <w:t>──────</w:t>
            </w:r>
          </w:p>
        </w:tc>
        <w:tc>
          <w:tcPr>
            <w:tcW w:w="974" w:type="dxa"/>
          </w:tcPr>
          <w:p w14:paraId="35BBD354" w14:textId="77777777" w:rsidR="009A7722" w:rsidRPr="0008397D" w:rsidRDefault="009A7722" w:rsidP="00872B96">
            <w:pPr>
              <w:ind w:right="150"/>
              <w:jc w:val="right"/>
            </w:pPr>
          </w:p>
        </w:tc>
      </w:tr>
      <w:tr w:rsidR="009A7722" w:rsidRPr="0008397D" w14:paraId="18B38E89" w14:textId="77777777" w:rsidTr="00006C5B">
        <w:tc>
          <w:tcPr>
            <w:tcW w:w="5211" w:type="dxa"/>
          </w:tcPr>
          <w:p w14:paraId="0220D0C5" w14:textId="77777777" w:rsidR="009A7722" w:rsidRPr="0008397D" w:rsidRDefault="009A7722" w:rsidP="00872B96">
            <w:r w:rsidRPr="0008397D">
              <w:t>Purchase price cash paid (including legal costs)</w:t>
            </w:r>
          </w:p>
        </w:tc>
        <w:tc>
          <w:tcPr>
            <w:tcW w:w="1276" w:type="dxa"/>
          </w:tcPr>
          <w:p w14:paraId="3FF5C333" w14:textId="77777777" w:rsidR="009A7722" w:rsidRPr="0008397D" w:rsidRDefault="009A7722" w:rsidP="00872B96">
            <w:pPr>
              <w:suppressAutoHyphens/>
              <w:ind w:right="138"/>
              <w:jc w:val="right"/>
              <w:rPr>
                <w:rFonts w:cs="Arial"/>
                <w:spacing w:val="-2"/>
              </w:rPr>
            </w:pPr>
          </w:p>
        </w:tc>
        <w:tc>
          <w:tcPr>
            <w:tcW w:w="1276" w:type="dxa"/>
          </w:tcPr>
          <w:p w14:paraId="524E5241" w14:textId="77777777" w:rsidR="009A7722" w:rsidRPr="0008397D" w:rsidRDefault="009A7722" w:rsidP="00872B96">
            <w:pPr>
              <w:suppressAutoHyphens/>
              <w:ind w:right="138"/>
              <w:jc w:val="right"/>
              <w:rPr>
                <w:rFonts w:cs="Arial"/>
                <w:spacing w:val="-2"/>
              </w:rPr>
            </w:pPr>
          </w:p>
        </w:tc>
        <w:tc>
          <w:tcPr>
            <w:tcW w:w="1559" w:type="dxa"/>
          </w:tcPr>
          <w:p w14:paraId="21B66739" w14:textId="77777777" w:rsidR="009A7722" w:rsidRPr="0008397D" w:rsidRDefault="009A7722" w:rsidP="00872B96">
            <w:pPr>
              <w:ind w:right="150"/>
              <w:jc w:val="right"/>
            </w:pPr>
            <w:r w:rsidRPr="0008397D">
              <w:t>6,108</w:t>
            </w:r>
          </w:p>
        </w:tc>
        <w:tc>
          <w:tcPr>
            <w:tcW w:w="974" w:type="dxa"/>
          </w:tcPr>
          <w:p w14:paraId="6DA2C6DA" w14:textId="77777777" w:rsidR="009A7722" w:rsidRPr="0008397D" w:rsidRDefault="009A7722" w:rsidP="00872B96">
            <w:pPr>
              <w:ind w:right="150"/>
              <w:jc w:val="right"/>
            </w:pPr>
          </w:p>
        </w:tc>
      </w:tr>
      <w:tr w:rsidR="009A7722" w:rsidRPr="0008397D" w14:paraId="5609929F" w14:textId="77777777" w:rsidTr="00006C5B">
        <w:tc>
          <w:tcPr>
            <w:tcW w:w="5211" w:type="dxa"/>
          </w:tcPr>
          <w:p w14:paraId="3B6FE2A1" w14:textId="77777777" w:rsidR="009A7722" w:rsidRPr="0008397D" w:rsidRDefault="009A7722" w:rsidP="00872B96">
            <w:pPr>
              <w:ind w:left="546"/>
            </w:pPr>
          </w:p>
        </w:tc>
        <w:tc>
          <w:tcPr>
            <w:tcW w:w="1276" w:type="dxa"/>
          </w:tcPr>
          <w:p w14:paraId="4E56118E" w14:textId="77777777" w:rsidR="009A7722" w:rsidRPr="0008397D" w:rsidRDefault="009A7722" w:rsidP="00872B96">
            <w:pPr>
              <w:suppressAutoHyphens/>
              <w:ind w:right="138"/>
              <w:jc w:val="right"/>
              <w:rPr>
                <w:rFonts w:cs="Arial"/>
                <w:spacing w:val="-2"/>
              </w:rPr>
            </w:pPr>
          </w:p>
        </w:tc>
        <w:tc>
          <w:tcPr>
            <w:tcW w:w="1276" w:type="dxa"/>
          </w:tcPr>
          <w:p w14:paraId="56EC50F9" w14:textId="77777777" w:rsidR="009A7722" w:rsidRPr="0008397D" w:rsidRDefault="009A7722" w:rsidP="00872B96">
            <w:pPr>
              <w:suppressAutoHyphens/>
              <w:ind w:right="138"/>
              <w:jc w:val="right"/>
              <w:rPr>
                <w:rFonts w:cs="Arial"/>
                <w:spacing w:val="-2"/>
              </w:rPr>
            </w:pPr>
          </w:p>
        </w:tc>
        <w:tc>
          <w:tcPr>
            <w:tcW w:w="1559" w:type="dxa"/>
          </w:tcPr>
          <w:p w14:paraId="42EB38DF" w14:textId="77777777" w:rsidR="009A7722" w:rsidRPr="0008397D" w:rsidRDefault="009A7722" w:rsidP="00872B96">
            <w:pPr>
              <w:ind w:right="150"/>
              <w:jc w:val="right"/>
              <w:rPr>
                <w:sz w:val="18"/>
                <w:szCs w:val="18"/>
              </w:rPr>
            </w:pPr>
            <w:r w:rsidRPr="0008397D">
              <w:rPr>
                <w:rFonts w:cs="Arial"/>
                <w:spacing w:val="-2"/>
              </w:rPr>
              <w:t>══════</w:t>
            </w:r>
          </w:p>
        </w:tc>
        <w:tc>
          <w:tcPr>
            <w:tcW w:w="974" w:type="dxa"/>
          </w:tcPr>
          <w:p w14:paraId="54F1A9BD" w14:textId="77777777" w:rsidR="009A7722" w:rsidRPr="0008397D" w:rsidRDefault="009A7722" w:rsidP="00872B96">
            <w:pPr>
              <w:ind w:right="150"/>
              <w:jc w:val="right"/>
              <w:rPr>
                <w:sz w:val="18"/>
                <w:szCs w:val="18"/>
              </w:rPr>
            </w:pPr>
          </w:p>
        </w:tc>
      </w:tr>
    </w:tbl>
    <w:p w14:paraId="484ACB3B" w14:textId="77777777" w:rsidR="009A7722" w:rsidRPr="005461CD" w:rsidRDefault="009A7722" w:rsidP="009A7722"/>
    <w:p w14:paraId="78637EBB" w14:textId="77777777" w:rsidR="009A7722" w:rsidRPr="005461CD" w:rsidRDefault="009A7722" w:rsidP="00A5227C">
      <w:pPr>
        <w:numPr>
          <w:ilvl w:val="0"/>
          <w:numId w:val="40"/>
        </w:numPr>
        <w:tabs>
          <w:tab w:val="num" w:pos="546"/>
        </w:tabs>
        <w:ind w:left="360"/>
        <w:rPr>
          <w:b/>
        </w:rPr>
      </w:pPr>
      <w:r w:rsidRPr="005461CD">
        <w:rPr>
          <w:b/>
        </w:rPr>
        <w:t>Inventories</w:t>
      </w:r>
    </w:p>
    <w:tbl>
      <w:tblPr>
        <w:tblW w:w="10314" w:type="dxa"/>
        <w:tblLayout w:type="fixed"/>
        <w:tblLook w:val="01E0" w:firstRow="1" w:lastRow="1" w:firstColumn="1" w:lastColumn="1" w:noHBand="0" w:noVBand="0"/>
      </w:tblPr>
      <w:tblGrid>
        <w:gridCol w:w="4503"/>
        <w:gridCol w:w="1559"/>
        <w:gridCol w:w="1417"/>
        <w:gridCol w:w="1418"/>
        <w:gridCol w:w="1417"/>
      </w:tblGrid>
      <w:tr w:rsidR="009A7722" w:rsidRPr="00C328EF" w14:paraId="14F7E9F5" w14:textId="77777777" w:rsidTr="00FB0405">
        <w:tc>
          <w:tcPr>
            <w:tcW w:w="4503" w:type="dxa"/>
          </w:tcPr>
          <w:p w14:paraId="1C01C625" w14:textId="77777777" w:rsidR="009A7722" w:rsidRPr="00C328EF" w:rsidRDefault="009A7722" w:rsidP="00872B96">
            <w:pPr>
              <w:suppressAutoHyphens/>
              <w:rPr>
                <w:rFonts w:cs="Arial"/>
                <w:spacing w:val="-2"/>
                <w:highlight w:val="yellow"/>
              </w:rPr>
            </w:pPr>
          </w:p>
        </w:tc>
        <w:tc>
          <w:tcPr>
            <w:tcW w:w="2976" w:type="dxa"/>
            <w:gridSpan w:val="2"/>
          </w:tcPr>
          <w:p w14:paraId="0B1B36D0" w14:textId="77777777" w:rsidR="009A7722" w:rsidRPr="00372501" w:rsidRDefault="009A7722" w:rsidP="00872B96">
            <w:pPr>
              <w:ind w:left="737"/>
              <w:rPr>
                <w:b/>
              </w:rPr>
            </w:pPr>
            <w:r w:rsidRPr="00372501">
              <w:rPr>
                <w:b/>
              </w:rPr>
              <w:t>Consolidated Group</w:t>
            </w:r>
          </w:p>
        </w:tc>
        <w:tc>
          <w:tcPr>
            <w:tcW w:w="2835" w:type="dxa"/>
            <w:gridSpan w:val="2"/>
          </w:tcPr>
          <w:p w14:paraId="2E1273F9" w14:textId="77777777" w:rsidR="009A7722" w:rsidRPr="005B5B2A" w:rsidRDefault="009A7722" w:rsidP="00872B96">
            <w:pPr>
              <w:ind w:left="340"/>
              <w:jc w:val="center"/>
              <w:rPr>
                <w:b/>
              </w:rPr>
            </w:pPr>
            <w:r w:rsidRPr="005B5B2A">
              <w:rPr>
                <w:b/>
              </w:rPr>
              <w:t>Parent Entity</w:t>
            </w:r>
          </w:p>
        </w:tc>
      </w:tr>
      <w:tr w:rsidR="009A7722" w:rsidRPr="00C328EF" w14:paraId="7AA1C987" w14:textId="77777777" w:rsidTr="00FB0405">
        <w:tc>
          <w:tcPr>
            <w:tcW w:w="4503" w:type="dxa"/>
          </w:tcPr>
          <w:p w14:paraId="05D70EF6" w14:textId="77777777" w:rsidR="009A7722" w:rsidRPr="00C328EF" w:rsidRDefault="009A7722" w:rsidP="00872B96">
            <w:pPr>
              <w:suppressAutoHyphens/>
              <w:rPr>
                <w:rFonts w:cs="Arial"/>
                <w:spacing w:val="-2"/>
                <w:highlight w:val="yellow"/>
              </w:rPr>
            </w:pPr>
          </w:p>
        </w:tc>
        <w:tc>
          <w:tcPr>
            <w:tcW w:w="1559" w:type="dxa"/>
          </w:tcPr>
          <w:p w14:paraId="26659443" w14:textId="77777777" w:rsidR="009A7722" w:rsidRPr="00372501" w:rsidRDefault="004037D2" w:rsidP="00872B96">
            <w:pPr>
              <w:ind w:right="126"/>
              <w:jc w:val="right"/>
              <w:rPr>
                <w:b/>
              </w:rPr>
            </w:pPr>
            <w:r>
              <w:rPr>
                <w:b/>
              </w:rPr>
              <w:t>28/12/</w:t>
            </w:r>
            <w:r w:rsidR="009A7722" w:rsidRPr="00372501">
              <w:rPr>
                <w:b/>
              </w:rPr>
              <w:t>2024</w:t>
            </w:r>
          </w:p>
        </w:tc>
        <w:tc>
          <w:tcPr>
            <w:tcW w:w="1417" w:type="dxa"/>
          </w:tcPr>
          <w:p w14:paraId="21F59E37" w14:textId="77777777" w:rsidR="009A7722" w:rsidRPr="00372501" w:rsidRDefault="004037D2" w:rsidP="00872B96">
            <w:pPr>
              <w:ind w:right="126"/>
              <w:jc w:val="right"/>
              <w:rPr>
                <w:b/>
              </w:rPr>
            </w:pPr>
            <w:r>
              <w:rPr>
                <w:b/>
              </w:rPr>
              <w:t>30/12/</w:t>
            </w:r>
            <w:r w:rsidR="009A7722" w:rsidRPr="00372501">
              <w:rPr>
                <w:b/>
              </w:rPr>
              <w:t>2023</w:t>
            </w:r>
          </w:p>
        </w:tc>
        <w:tc>
          <w:tcPr>
            <w:tcW w:w="1418" w:type="dxa"/>
          </w:tcPr>
          <w:p w14:paraId="66C36F95" w14:textId="77777777" w:rsidR="009A7722" w:rsidRPr="005B5B2A" w:rsidRDefault="004037D2" w:rsidP="00872B96">
            <w:pPr>
              <w:ind w:right="126"/>
              <w:jc w:val="right"/>
              <w:rPr>
                <w:b/>
              </w:rPr>
            </w:pPr>
            <w:r>
              <w:rPr>
                <w:b/>
              </w:rPr>
              <w:t>28/12/</w:t>
            </w:r>
            <w:r w:rsidR="009A7722" w:rsidRPr="005B5B2A">
              <w:rPr>
                <w:b/>
              </w:rPr>
              <w:t>202</w:t>
            </w:r>
            <w:r w:rsidR="009A7722">
              <w:rPr>
                <w:b/>
              </w:rPr>
              <w:t>4</w:t>
            </w:r>
          </w:p>
        </w:tc>
        <w:tc>
          <w:tcPr>
            <w:tcW w:w="1417" w:type="dxa"/>
          </w:tcPr>
          <w:p w14:paraId="729C8B88" w14:textId="77777777" w:rsidR="009A7722" w:rsidRPr="005B5B2A" w:rsidRDefault="004037D2" w:rsidP="00872B96">
            <w:pPr>
              <w:ind w:right="126"/>
              <w:jc w:val="right"/>
              <w:rPr>
                <w:b/>
              </w:rPr>
            </w:pPr>
            <w:r>
              <w:rPr>
                <w:b/>
              </w:rPr>
              <w:t>30/12/</w:t>
            </w:r>
            <w:r w:rsidR="009A7722" w:rsidRPr="005B5B2A">
              <w:rPr>
                <w:b/>
              </w:rPr>
              <w:t>202</w:t>
            </w:r>
            <w:r w:rsidR="009A7722">
              <w:rPr>
                <w:b/>
              </w:rPr>
              <w:t>3</w:t>
            </w:r>
          </w:p>
        </w:tc>
      </w:tr>
      <w:tr w:rsidR="009A7722" w:rsidRPr="00C328EF" w14:paraId="673CA22E" w14:textId="77777777" w:rsidTr="00FB0405">
        <w:tc>
          <w:tcPr>
            <w:tcW w:w="4503" w:type="dxa"/>
          </w:tcPr>
          <w:p w14:paraId="2BBD3A41" w14:textId="77777777" w:rsidR="009A7722" w:rsidRPr="00C328EF" w:rsidRDefault="009A7722" w:rsidP="00872B96">
            <w:pPr>
              <w:suppressAutoHyphens/>
              <w:rPr>
                <w:rFonts w:cs="Arial"/>
                <w:spacing w:val="-2"/>
                <w:highlight w:val="yellow"/>
              </w:rPr>
            </w:pPr>
          </w:p>
        </w:tc>
        <w:tc>
          <w:tcPr>
            <w:tcW w:w="1559" w:type="dxa"/>
          </w:tcPr>
          <w:p w14:paraId="15708CFC" w14:textId="77777777" w:rsidR="009A7722" w:rsidRPr="00372501" w:rsidRDefault="009A7722" w:rsidP="00872B96">
            <w:pPr>
              <w:ind w:right="126"/>
              <w:jc w:val="right"/>
              <w:rPr>
                <w:b/>
              </w:rPr>
            </w:pPr>
            <w:r w:rsidRPr="00372501">
              <w:rPr>
                <w:b/>
              </w:rPr>
              <w:t>£’000</w:t>
            </w:r>
          </w:p>
        </w:tc>
        <w:tc>
          <w:tcPr>
            <w:tcW w:w="1417" w:type="dxa"/>
          </w:tcPr>
          <w:p w14:paraId="19DD49F5" w14:textId="77777777" w:rsidR="009A7722" w:rsidRPr="00372501" w:rsidRDefault="009A7722" w:rsidP="00872B96">
            <w:pPr>
              <w:ind w:right="126"/>
              <w:jc w:val="right"/>
              <w:rPr>
                <w:b/>
              </w:rPr>
            </w:pPr>
            <w:r w:rsidRPr="00372501">
              <w:rPr>
                <w:b/>
              </w:rPr>
              <w:t>£’000</w:t>
            </w:r>
          </w:p>
        </w:tc>
        <w:tc>
          <w:tcPr>
            <w:tcW w:w="1418" w:type="dxa"/>
          </w:tcPr>
          <w:p w14:paraId="596B0E80" w14:textId="77777777" w:rsidR="009A7722" w:rsidRPr="005B5B2A" w:rsidRDefault="009A7722" w:rsidP="00872B96">
            <w:pPr>
              <w:ind w:right="126"/>
              <w:jc w:val="right"/>
              <w:rPr>
                <w:b/>
              </w:rPr>
            </w:pPr>
            <w:r w:rsidRPr="005B5B2A">
              <w:rPr>
                <w:b/>
              </w:rPr>
              <w:t>£’000</w:t>
            </w:r>
          </w:p>
        </w:tc>
        <w:tc>
          <w:tcPr>
            <w:tcW w:w="1417" w:type="dxa"/>
          </w:tcPr>
          <w:p w14:paraId="7B181DD0" w14:textId="77777777" w:rsidR="009A7722" w:rsidRPr="005B5B2A" w:rsidRDefault="009A7722" w:rsidP="00872B96">
            <w:pPr>
              <w:ind w:right="126"/>
              <w:jc w:val="right"/>
              <w:rPr>
                <w:b/>
              </w:rPr>
            </w:pPr>
            <w:r w:rsidRPr="005B5B2A">
              <w:rPr>
                <w:b/>
              </w:rPr>
              <w:t>£’000</w:t>
            </w:r>
          </w:p>
        </w:tc>
      </w:tr>
      <w:tr w:rsidR="009A7722" w:rsidRPr="00C328EF" w14:paraId="39C00BFD" w14:textId="77777777" w:rsidTr="00FB0405">
        <w:tc>
          <w:tcPr>
            <w:tcW w:w="4503" w:type="dxa"/>
          </w:tcPr>
          <w:p w14:paraId="1C26B506" w14:textId="77777777" w:rsidR="009A7722" w:rsidRPr="00C328EF" w:rsidRDefault="009A7722" w:rsidP="00872B96">
            <w:pPr>
              <w:suppressAutoHyphens/>
              <w:ind w:left="546"/>
              <w:rPr>
                <w:rFonts w:cs="Arial"/>
                <w:spacing w:val="-2"/>
                <w:highlight w:val="yellow"/>
              </w:rPr>
            </w:pPr>
          </w:p>
        </w:tc>
        <w:tc>
          <w:tcPr>
            <w:tcW w:w="1559" w:type="dxa"/>
          </w:tcPr>
          <w:p w14:paraId="13FB79C1" w14:textId="77777777" w:rsidR="009A7722" w:rsidRPr="00C328EF" w:rsidRDefault="009A7722" w:rsidP="00872B96">
            <w:pPr>
              <w:ind w:right="126"/>
              <w:jc w:val="right"/>
              <w:rPr>
                <w:b/>
                <w:highlight w:val="yellow"/>
              </w:rPr>
            </w:pPr>
          </w:p>
        </w:tc>
        <w:tc>
          <w:tcPr>
            <w:tcW w:w="1417" w:type="dxa"/>
          </w:tcPr>
          <w:p w14:paraId="317A9B09" w14:textId="77777777" w:rsidR="009A7722" w:rsidRPr="00372501" w:rsidRDefault="009A7722" w:rsidP="00872B96">
            <w:pPr>
              <w:suppressAutoHyphens/>
              <w:ind w:right="138"/>
              <w:jc w:val="right"/>
              <w:rPr>
                <w:rFonts w:cs="Arial"/>
                <w:spacing w:val="-2"/>
              </w:rPr>
            </w:pPr>
          </w:p>
        </w:tc>
        <w:tc>
          <w:tcPr>
            <w:tcW w:w="1418" w:type="dxa"/>
          </w:tcPr>
          <w:p w14:paraId="479A6B68" w14:textId="77777777" w:rsidR="009A7722" w:rsidRPr="005B5B2A" w:rsidRDefault="009A7722" w:rsidP="00872B96">
            <w:pPr>
              <w:suppressAutoHyphens/>
              <w:ind w:right="138"/>
              <w:jc w:val="right"/>
              <w:rPr>
                <w:rFonts w:cs="Arial"/>
                <w:spacing w:val="-2"/>
              </w:rPr>
            </w:pPr>
          </w:p>
        </w:tc>
        <w:tc>
          <w:tcPr>
            <w:tcW w:w="1417" w:type="dxa"/>
          </w:tcPr>
          <w:p w14:paraId="0A174508" w14:textId="77777777" w:rsidR="009A7722" w:rsidRPr="005B5B2A" w:rsidRDefault="009A7722" w:rsidP="00872B96">
            <w:pPr>
              <w:suppressAutoHyphens/>
              <w:ind w:right="138"/>
              <w:jc w:val="right"/>
              <w:rPr>
                <w:rFonts w:cs="Arial"/>
                <w:spacing w:val="-2"/>
              </w:rPr>
            </w:pPr>
          </w:p>
        </w:tc>
      </w:tr>
      <w:tr w:rsidR="009A7722" w:rsidRPr="00C328EF" w14:paraId="1DCBFB1C" w14:textId="77777777" w:rsidTr="00FB0405">
        <w:trPr>
          <w:trHeight w:val="222"/>
        </w:trPr>
        <w:tc>
          <w:tcPr>
            <w:tcW w:w="4503" w:type="dxa"/>
          </w:tcPr>
          <w:p w14:paraId="1798B8B6" w14:textId="77777777" w:rsidR="009A7722" w:rsidRPr="00E40EC5" w:rsidRDefault="009A7722" w:rsidP="009A7722">
            <w:pPr>
              <w:suppressAutoHyphens/>
              <w:rPr>
                <w:rFonts w:cs="Arial"/>
                <w:spacing w:val="-2"/>
              </w:rPr>
            </w:pPr>
            <w:r w:rsidRPr="00E40EC5">
              <w:rPr>
                <w:rFonts w:cs="Arial"/>
                <w:spacing w:val="-2"/>
              </w:rPr>
              <w:t>Raw materials (fuel)</w:t>
            </w:r>
          </w:p>
        </w:tc>
        <w:tc>
          <w:tcPr>
            <w:tcW w:w="1559" w:type="dxa"/>
          </w:tcPr>
          <w:p w14:paraId="58F2E2C0" w14:textId="77777777" w:rsidR="009A7722" w:rsidRPr="00372501" w:rsidRDefault="009A7722" w:rsidP="00872B96">
            <w:pPr>
              <w:tabs>
                <w:tab w:val="left" w:pos="1243"/>
              </w:tabs>
              <w:ind w:right="126"/>
              <w:jc w:val="right"/>
            </w:pPr>
            <w:r w:rsidRPr="00372501">
              <w:t>516</w:t>
            </w:r>
          </w:p>
        </w:tc>
        <w:tc>
          <w:tcPr>
            <w:tcW w:w="1417" w:type="dxa"/>
          </w:tcPr>
          <w:p w14:paraId="78F1C846" w14:textId="77777777" w:rsidR="009A7722" w:rsidRPr="00372501" w:rsidRDefault="009A7722" w:rsidP="00872B96">
            <w:pPr>
              <w:tabs>
                <w:tab w:val="left" w:pos="1243"/>
              </w:tabs>
              <w:ind w:right="126"/>
              <w:jc w:val="right"/>
            </w:pPr>
            <w:r w:rsidRPr="00372501">
              <w:t>583</w:t>
            </w:r>
          </w:p>
        </w:tc>
        <w:tc>
          <w:tcPr>
            <w:tcW w:w="1418" w:type="dxa"/>
          </w:tcPr>
          <w:p w14:paraId="6E9D0E2D" w14:textId="77777777" w:rsidR="009A7722" w:rsidRPr="005B5B2A" w:rsidRDefault="009A7722" w:rsidP="00872B96">
            <w:pPr>
              <w:suppressAutoHyphens/>
              <w:ind w:right="138"/>
              <w:jc w:val="right"/>
              <w:rPr>
                <w:rFonts w:cs="Arial"/>
                <w:spacing w:val="-2"/>
              </w:rPr>
            </w:pPr>
            <w:r w:rsidRPr="005B5B2A">
              <w:rPr>
                <w:rFonts w:cs="Arial"/>
                <w:spacing w:val="-2"/>
              </w:rPr>
              <w:t>-</w:t>
            </w:r>
          </w:p>
        </w:tc>
        <w:tc>
          <w:tcPr>
            <w:tcW w:w="1417" w:type="dxa"/>
          </w:tcPr>
          <w:p w14:paraId="1A35D228" w14:textId="77777777" w:rsidR="009A7722" w:rsidRPr="005B5B2A" w:rsidRDefault="009A7722" w:rsidP="00872B96">
            <w:pPr>
              <w:suppressAutoHyphens/>
              <w:ind w:right="138"/>
              <w:jc w:val="right"/>
              <w:rPr>
                <w:rFonts w:cs="Arial"/>
                <w:spacing w:val="-2"/>
              </w:rPr>
            </w:pPr>
            <w:r w:rsidRPr="005B5B2A">
              <w:rPr>
                <w:rFonts w:cs="Arial"/>
                <w:spacing w:val="-2"/>
              </w:rPr>
              <w:t>-</w:t>
            </w:r>
          </w:p>
        </w:tc>
      </w:tr>
      <w:tr w:rsidR="009A7722" w:rsidRPr="00C328EF" w14:paraId="11942276" w14:textId="77777777" w:rsidTr="00FB0405">
        <w:tc>
          <w:tcPr>
            <w:tcW w:w="4503" w:type="dxa"/>
          </w:tcPr>
          <w:p w14:paraId="356D2BF4" w14:textId="77777777" w:rsidR="009A7722" w:rsidRPr="00E40EC5" w:rsidRDefault="009A7722" w:rsidP="009A7722">
            <w:r w:rsidRPr="00E40EC5">
              <w:t>Finished goods</w:t>
            </w:r>
          </w:p>
        </w:tc>
        <w:tc>
          <w:tcPr>
            <w:tcW w:w="1559" w:type="dxa"/>
          </w:tcPr>
          <w:p w14:paraId="383BEDC2" w14:textId="77777777" w:rsidR="009A7722" w:rsidRPr="00372501" w:rsidRDefault="009A7722" w:rsidP="00872B96">
            <w:pPr>
              <w:tabs>
                <w:tab w:val="left" w:pos="1243"/>
              </w:tabs>
              <w:ind w:right="126"/>
              <w:jc w:val="right"/>
            </w:pPr>
            <w:r w:rsidRPr="00372501">
              <w:t>731</w:t>
            </w:r>
          </w:p>
        </w:tc>
        <w:tc>
          <w:tcPr>
            <w:tcW w:w="1417" w:type="dxa"/>
          </w:tcPr>
          <w:p w14:paraId="6E1CF534" w14:textId="77777777" w:rsidR="009A7722" w:rsidRPr="00372501" w:rsidRDefault="009A7722" w:rsidP="00872B96">
            <w:pPr>
              <w:tabs>
                <w:tab w:val="left" w:pos="1243"/>
              </w:tabs>
              <w:ind w:right="126"/>
              <w:jc w:val="right"/>
            </w:pPr>
            <w:r w:rsidRPr="00372501">
              <w:t>406</w:t>
            </w:r>
          </w:p>
        </w:tc>
        <w:tc>
          <w:tcPr>
            <w:tcW w:w="1418" w:type="dxa"/>
          </w:tcPr>
          <w:p w14:paraId="67F7C1E7" w14:textId="77777777" w:rsidR="009A7722" w:rsidRPr="005B5B2A" w:rsidRDefault="009A7722" w:rsidP="00872B96">
            <w:pPr>
              <w:suppressAutoHyphens/>
              <w:ind w:right="138"/>
              <w:jc w:val="right"/>
              <w:rPr>
                <w:rFonts w:cs="Arial"/>
                <w:spacing w:val="-2"/>
              </w:rPr>
            </w:pPr>
            <w:r w:rsidRPr="005B5B2A">
              <w:rPr>
                <w:rFonts w:cs="Arial"/>
                <w:spacing w:val="-2"/>
              </w:rPr>
              <w:t>-</w:t>
            </w:r>
          </w:p>
        </w:tc>
        <w:tc>
          <w:tcPr>
            <w:tcW w:w="1417" w:type="dxa"/>
          </w:tcPr>
          <w:p w14:paraId="26D6980E" w14:textId="77777777" w:rsidR="009A7722" w:rsidRPr="005B5B2A" w:rsidRDefault="009A7722" w:rsidP="00872B96">
            <w:pPr>
              <w:suppressAutoHyphens/>
              <w:ind w:right="138"/>
              <w:jc w:val="right"/>
              <w:rPr>
                <w:rFonts w:cs="Arial"/>
                <w:spacing w:val="-2"/>
              </w:rPr>
            </w:pPr>
            <w:r w:rsidRPr="005B5B2A">
              <w:rPr>
                <w:rFonts w:cs="Arial"/>
                <w:spacing w:val="-2"/>
              </w:rPr>
              <w:t>-</w:t>
            </w:r>
          </w:p>
        </w:tc>
      </w:tr>
      <w:tr w:rsidR="009A7722" w:rsidRPr="00C328EF" w14:paraId="1CDEA406" w14:textId="77777777" w:rsidTr="00FB0405">
        <w:tc>
          <w:tcPr>
            <w:tcW w:w="4503" w:type="dxa"/>
          </w:tcPr>
          <w:p w14:paraId="7AFAC661" w14:textId="77777777" w:rsidR="009A7722" w:rsidRPr="00C328EF" w:rsidRDefault="009A7722" w:rsidP="00872B96">
            <w:pPr>
              <w:ind w:left="546"/>
              <w:rPr>
                <w:highlight w:val="yellow"/>
              </w:rPr>
            </w:pPr>
          </w:p>
        </w:tc>
        <w:tc>
          <w:tcPr>
            <w:tcW w:w="1559" w:type="dxa"/>
          </w:tcPr>
          <w:p w14:paraId="01997C51" w14:textId="77777777" w:rsidR="009A7722" w:rsidRPr="00372501" w:rsidRDefault="009A7722" w:rsidP="00872B96">
            <w:pPr>
              <w:tabs>
                <w:tab w:val="left" w:pos="1243"/>
              </w:tabs>
              <w:ind w:right="126"/>
              <w:jc w:val="right"/>
            </w:pPr>
            <w:r w:rsidRPr="00372501">
              <w:t>──────</w:t>
            </w:r>
          </w:p>
        </w:tc>
        <w:tc>
          <w:tcPr>
            <w:tcW w:w="1417" w:type="dxa"/>
          </w:tcPr>
          <w:p w14:paraId="7842D350" w14:textId="77777777" w:rsidR="009A7722" w:rsidRPr="00372501" w:rsidRDefault="009A7722" w:rsidP="00872B96">
            <w:pPr>
              <w:tabs>
                <w:tab w:val="left" w:pos="1243"/>
              </w:tabs>
              <w:ind w:right="126"/>
              <w:jc w:val="right"/>
            </w:pPr>
            <w:r w:rsidRPr="00372501">
              <w:t>──────</w:t>
            </w:r>
          </w:p>
        </w:tc>
        <w:tc>
          <w:tcPr>
            <w:tcW w:w="1418" w:type="dxa"/>
          </w:tcPr>
          <w:p w14:paraId="36B1A47E" w14:textId="77777777" w:rsidR="009A7722" w:rsidRPr="005B5B2A" w:rsidRDefault="009A7722" w:rsidP="00872B96">
            <w:pPr>
              <w:jc w:val="right"/>
            </w:pPr>
            <w:r w:rsidRPr="005B5B2A">
              <w:t>──────</w:t>
            </w:r>
          </w:p>
        </w:tc>
        <w:tc>
          <w:tcPr>
            <w:tcW w:w="1417" w:type="dxa"/>
          </w:tcPr>
          <w:p w14:paraId="58004186" w14:textId="77777777" w:rsidR="009A7722" w:rsidRPr="005B5B2A" w:rsidRDefault="009A7722" w:rsidP="00872B96">
            <w:pPr>
              <w:jc w:val="right"/>
            </w:pPr>
            <w:r w:rsidRPr="005B5B2A">
              <w:t>──────</w:t>
            </w:r>
          </w:p>
        </w:tc>
      </w:tr>
      <w:tr w:rsidR="009A7722" w:rsidRPr="00C328EF" w14:paraId="7E852ABD" w14:textId="77777777" w:rsidTr="00FB0405">
        <w:tc>
          <w:tcPr>
            <w:tcW w:w="4503" w:type="dxa"/>
          </w:tcPr>
          <w:p w14:paraId="244734B3" w14:textId="77777777" w:rsidR="009A7722" w:rsidRPr="00C328EF" w:rsidRDefault="009A7722" w:rsidP="00872B96">
            <w:pPr>
              <w:ind w:left="546"/>
              <w:rPr>
                <w:highlight w:val="yellow"/>
              </w:rPr>
            </w:pPr>
          </w:p>
        </w:tc>
        <w:tc>
          <w:tcPr>
            <w:tcW w:w="1559" w:type="dxa"/>
          </w:tcPr>
          <w:p w14:paraId="5ABD8B8C" w14:textId="77777777" w:rsidR="009A7722" w:rsidRPr="00372501" w:rsidRDefault="009A7722" w:rsidP="00872B96">
            <w:pPr>
              <w:tabs>
                <w:tab w:val="left" w:pos="1243"/>
              </w:tabs>
              <w:ind w:right="126"/>
              <w:jc w:val="right"/>
            </w:pPr>
            <w:r w:rsidRPr="00372501">
              <w:t>1,247</w:t>
            </w:r>
          </w:p>
        </w:tc>
        <w:tc>
          <w:tcPr>
            <w:tcW w:w="1417" w:type="dxa"/>
          </w:tcPr>
          <w:p w14:paraId="349F4F81" w14:textId="77777777" w:rsidR="009A7722" w:rsidRPr="00372501" w:rsidRDefault="009A7722" w:rsidP="00872B96">
            <w:pPr>
              <w:tabs>
                <w:tab w:val="left" w:pos="1243"/>
              </w:tabs>
              <w:ind w:right="126"/>
              <w:jc w:val="right"/>
            </w:pPr>
            <w:r w:rsidRPr="00372501">
              <w:t>989</w:t>
            </w:r>
          </w:p>
        </w:tc>
        <w:tc>
          <w:tcPr>
            <w:tcW w:w="1418" w:type="dxa"/>
          </w:tcPr>
          <w:p w14:paraId="5EB9D2F1" w14:textId="77777777" w:rsidR="009A7722" w:rsidRPr="005B5B2A" w:rsidRDefault="009A7722" w:rsidP="00872B96">
            <w:pPr>
              <w:ind w:right="150"/>
              <w:jc w:val="right"/>
            </w:pPr>
            <w:r w:rsidRPr="005B5B2A">
              <w:t>-</w:t>
            </w:r>
          </w:p>
        </w:tc>
        <w:tc>
          <w:tcPr>
            <w:tcW w:w="1417" w:type="dxa"/>
          </w:tcPr>
          <w:p w14:paraId="19DE418B" w14:textId="77777777" w:rsidR="009A7722" w:rsidRPr="005B5B2A" w:rsidRDefault="009A7722" w:rsidP="00872B96">
            <w:pPr>
              <w:ind w:right="150"/>
              <w:jc w:val="right"/>
            </w:pPr>
            <w:r w:rsidRPr="005B5B2A">
              <w:t>-</w:t>
            </w:r>
          </w:p>
        </w:tc>
      </w:tr>
      <w:tr w:rsidR="009A7722" w:rsidRPr="00C328EF" w14:paraId="621C77B1" w14:textId="77777777" w:rsidTr="00FB0405">
        <w:tc>
          <w:tcPr>
            <w:tcW w:w="4503" w:type="dxa"/>
          </w:tcPr>
          <w:p w14:paraId="55C58C2B" w14:textId="77777777" w:rsidR="009A7722" w:rsidRPr="00C328EF" w:rsidRDefault="009A7722" w:rsidP="00872B96">
            <w:pPr>
              <w:ind w:left="546"/>
              <w:rPr>
                <w:highlight w:val="yellow"/>
              </w:rPr>
            </w:pPr>
          </w:p>
        </w:tc>
        <w:tc>
          <w:tcPr>
            <w:tcW w:w="1559" w:type="dxa"/>
          </w:tcPr>
          <w:p w14:paraId="169F4309" w14:textId="77777777" w:rsidR="009A7722" w:rsidRPr="00372501" w:rsidRDefault="009A7722" w:rsidP="00872B96">
            <w:pPr>
              <w:tabs>
                <w:tab w:val="left" w:pos="1243"/>
              </w:tabs>
              <w:jc w:val="center"/>
            </w:pPr>
            <w:r w:rsidRPr="00372501">
              <w:rPr>
                <w:rFonts w:cs="Arial"/>
                <w:spacing w:val="-2"/>
              </w:rPr>
              <w:t xml:space="preserve">    ══════</w:t>
            </w:r>
          </w:p>
        </w:tc>
        <w:tc>
          <w:tcPr>
            <w:tcW w:w="1417" w:type="dxa"/>
          </w:tcPr>
          <w:p w14:paraId="76DB7BF2" w14:textId="77777777" w:rsidR="009A7722" w:rsidRPr="00372501" w:rsidRDefault="009A7722" w:rsidP="00872B96">
            <w:pPr>
              <w:tabs>
                <w:tab w:val="left" w:pos="1243"/>
              </w:tabs>
              <w:jc w:val="center"/>
            </w:pPr>
            <w:r w:rsidRPr="00372501">
              <w:rPr>
                <w:rFonts w:cs="Arial"/>
                <w:spacing w:val="-2"/>
              </w:rPr>
              <w:t xml:space="preserve">    ══════</w:t>
            </w:r>
          </w:p>
        </w:tc>
        <w:tc>
          <w:tcPr>
            <w:tcW w:w="1418" w:type="dxa"/>
          </w:tcPr>
          <w:p w14:paraId="5D2EDE49" w14:textId="77777777" w:rsidR="009A7722" w:rsidRPr="005B5B2A" w:rsidRDefault="009A7722" w:rsidP="00872B96">
            <w:pPr>
              <w:jc w:val="right"/>
            </w:pPr>
            <w:r w:rsidRPr="005B5B2A">
              <w:rPr>
                <w:rFonts w:cs="Arial"/>
                <w:spacing w:val="-2"/>
              </w:rPr>
              <w:t>══════</w:t>
            </w:r>
          </w:p>
        </w:tc>
        <w:tc>
          <w:tcPr>
            <w:tcW w:w="1417" w:type="dxa"/>
          </w:tcPr>
          <w:p w14:paraId="6A127B98" w14:textId="77777777" w:rsidR="009A7722" w:rsidRPr="005B5B2A" w:rsidRDefault="009A7722" w:rsidP="00872B96">
            <w:pPr>
              <w:jc w:val="right"/>
            </w:pPr>
            <w:r w:rsidRPr="005B5B2A">
              <w:rPr>
                <w:rFonts w:cs="Arial"/>
                <w:spacing w:val="-2"/>
              </w:rPr>
              <w:t>══════</w:t>
            </w:r>
          </w:p>
        </w:tc>
      </w:tr>
    </w:tbl>
    <w:p w14:paraId="7928BCB4" w14:textId="77777777" w:rsidR="00032ED7" w:rsidRPr="005B5B2A" w:rsidRDefault="007C3FD2" w:rsidP="00032ED7">
      <w:pPr>
        <w:ind w:left="78"/>
        <w:jc w:val="center"/>
        <w:rPr>
          <w:b/>
        </w:rPr>
      </w:pPr>
      <w:r w:rsidRPr="00C328EF">
        <w:rPr>
          <w:b/>
          <w:highlight w:val="yellow"/>
        </w:rPr>
        <w:br w:type="page"/>
      </w:r>
      <w:r w:rsidR="00032ED7" w:rsidRPr="005B5B2A">
        <w:rPr>
          <w:b/>
        </w:rPr>
        <w:lastRenderedPageBreak/>
        <w:t>TRANSPORT FOR EDINBURGH LIMITED</w:t>
      </w:r>
    </w:p>
    <w:p w14:paraId="2ADC4BD0" w14:textId="77777777" w:rsidR="00032ED7" w:rsidRPr="005B5B2A" w:rsidRDefault="00032ED7" w:rsidP="00032ED7">
      <w:pPr>
        <w:jc w:val="center"/>
        <w:rPr>
          <w:b/>
        </w:rPr>
      </w:pPr>
    </w:p>
    <w:p w14:paraId="60553F4E" w14:textId="77777777" w:rsidR="00032ED7" w:rsidRPr="005B5B2A" w:rsidRDefault="00032ED7" w:rsidP="00032ED7">
      <w:pPr>
        <w:jc w:val="center"/>
        <w:rPr>
          <w:b/>
        </w:rPr>
      </w:pPr>
      <w:r w:rsidRPr="005B5B2A">
        <w:rPr>
          <w:b/>
        </w:rPr>
        <w:t>Notes to the Financial Statements (continued)</w:t>
      </w:r>
    </w:p>
    <w:p w14:paraId="416A7DE2" w14:textId="77777777" w:rsidR="00032ED7" w:rsidRPr="005B5B2A" w:rsidRDefault="00032ED7" w:rsidP="00032ED7">
      <w:pPr>
        <w:jc w:val="center"/>
        <w:rPr>
          <w:b/>
        </w:rPr>
      </w:pPr>
    </w:p>
    <w:p w14:paraId="2D6C2C2E" w14:textId="77777777" w:rsidR="00032ED7" w:rsidRPr="005461CD" w:rsidRDefault="00D90B89" w:rsidP="00032ED7">
      <w:pPr>
        <w:jc w:val="center"/>
      </w:pPr>
      <w:r w:rsidRPr="005461CD">
        <w:rPr>
          <w:b/>
        </w:rPr>
        <w:t>For the period ended 28 December 2024</w:t>
      </w:r>
    </w:p>
    <w:p w14:paraId="29E7BBD3" w14:textId="77777777" w:rsidR="008F4946" w:rsidRPr="005461CD" w:rsidRDefault="008F4946" w:rsidP="008F4946"/>
    <w:p w14:paraId="3A1D62B2" w14:textId="77777777" w:rsidR="008F4946" w:rsidRPr="005461CD" w:rsidRDefault="008F4946" w:rsidP="00A5227C">
      <w:pPr>
        <w:numPr>
          <w:ilvl w:val="0"/>
          <w:numId w:val="40"/>
        </w:numPr>
        <w:tabs>
          <w:tab w:val="num" w:pos="546"/>
        </w:tabs>
        <w:ind w:left="360"/>
        <w:rPr>
          <w:b/>
        </w:rPr>
      </w:pPr>
      <w:r w:rsidRPr="005461CD">
        <w:rPr>
          <w:b/>
        </w:rPr>
        <w:t xml:space="preserve">Trade and other receivables </w:t>
      </w:r>
    </w:p>
    <w:tbl>
      <w:tblPr>
        <w:tblW w:w="10296" w:type="dxa"/>
        <w:tblLayout w:type="fixed"/>
        <w:tblLook w:val="01E0" w:firstRow="1" w:lastRow="1" w:firstColumn="1" w:lastColumn="1" w:noHBand="0" w:noVBand="0"/>
      </w:tblPr>
      <w:tblGrid>
        <w:gridCol w:w="4644"/>
        <w:gridCol w:w="1418"/>
        <w:gridCol w:w="1417"/>
        <w:gridCol w:w="1418"/>
        <w:gridCol w:w="1399"/>
      </w:tblGrid>
      <w:tr w:rsidR="008F4946" w:rsidRPr="005461CD" w14:paraId="3D83A6F3" w14:textId="77777777" w:rsidTr="00E57CC1">
        <w:tc>
          <w:tcPr>
            <w:tcW w:w="4644" w:type="dxa"/>
          </w:tcPr>
          <w:p w14:paraId="146026BA" w14:textId="77777777" w:rsidR="008F4946" w:rsidRPr="005461CD" w:rsidRDefault="008F4946" w:rsidP="00872B96">
            <w:pPr>
              <w:suppressAutoHyphens/>
              <w:rPr>
                <w:rFonts w:cs="Arial"/>
                <w:spacing w:val="-2"/>
              </w:rPr>
            </w:pPr>
          </w:p>
        </w:tc>
        <w:tc>
          <w:tcPr>
            <w:tcW w:w="2835" w:type="dxa"/>
            <w:gridSpan w:val="2"/>
          </w:tcPr>
          <w:p w14:paraId="47BA5BCD" w14:textId="77777777" w:rsidR="008F4946" w:rsidRPr="005461CD" w:rsidRDefault="008F4946" w:rsidP="00872B96">
            <w:pPr>
              <w:ind w:left="567"/>
              <w:rPr>
                <w:b/>
              </w:rPr>
            </w:pPr>
            <w:r w:rsidRPr="005461CD">
              <w:rPr>
                <w:b/>
              </w:rPr>
              <w:t>Consolidated Group</w:t>
            </w:r>
          </w:p>
        </w:tc>
        <w:tc>
          <w:tcPr>
            <w:tcW w:w="2817" w:type="dxa"/>
            <w:gridSpan w:val="2"/>
          </w:tcPr>
          <w:p w14:paraId="5360A415" w14:textId="77777777" w:rsidR="008F4946" w:rsidRPr="005461CD" w:rsidRDefault="008F4946" w:rsidP="00872B96">
            <w:pPr>
              <w:ind w:left="397"/>
              <w:jc w:val="center"/>
              <w:rPr>
                <w:b/>
              </w:rPr>
            </w:pPr>
            <w:r w:rsidRPr="005461CD">
              <w:rPr>
                <w:b/>
              </w:rPr>
              <w:t>Parent Entity</w:t>
            </w:r>
          </w:p>
        </w:tc>
      </w:tr>
      <w:tr w:rsidR="008F4946" w:rsidRPr="00C328EF" w14:paraId="57356766" w14:textId="77777777" w:rsidTr="00E57CC1">
        <w:tc>
          <w:tcPr>
            <w:tcW w:w="4644" w:type="dxa"/>
          </w:tcPr>
          <w:p w14:paraId="7EA892A3" w14:textId="77777777" w:rsidR="008F4946" w:rsidRPr="00C328EF" w:rsidRDefault="008F4946" w:rsidP="00872B96">
            <w:pPr>
              <w:suppressAutoHyphens/>
              <w:rPr>
                <w:rFonts w:cs="Arial"/>
                <w:spacing w:val="-2"/>
                <w:highlight w:val="yellow"/>
              </w:rPr>
            </w:pPr>
          </w:p>
        </w:tc>
        <w:tc>
          <w:tcPr>
            <w:tcW w:w="1418" w:type="dxa"/>
          </w:tcPr>
          <w:p w14:paraId="240E79AB" w14:textId="77777777" w:rsidR="008F4946" w:rsidRPr="00372501" w:rsidRDefault="004037D2" w:rsidP="00872B96">
            <w:pPr>
              <w:ind w:right="126"/>
              <w:jc w:val="right"/>
              <w:rPr>
                <w:b/>
              </w:rPr>
            </w:pPr>
            <w:r>
              <w:rPr>
                <w:b/>
              </w:rPr>
              <w:t>28/12/</w:t>
            </w:r>
            <w:r w:rsidR="008F4946" w:rsidRPr="00372501">
              <w:rPr>
                <w:b/>
              </w:rPr>
              <w:t>2024</w:t>
            </w:r>
          </w:p>
        </w:tc>
        <w:tc>
          <w:tcPr>
            <w:tcW w:w="1417" w:type="dxa"/>
          </w:tcPr>
          <w:p w14:paraId="5A5E51BD" w14:textId="77777777" w:rsidR="008F4946" w:rsidRPr="00372501" w:rsidRDefault="004037D2" w:rsidP="00872B96">
            <w:pPr>
              <w:ind w:right="126"/>
              <w:jc w:val="right"/>
              <w:rPr>
                <w:b/>
              </w:rPr>
            </w:pPr>
            <w:r>
              <w:rPr>
                <w:b/>
              </w:rPr>
              <w:t>30/12/</w:t>
            </w:r>
            <w:r w:rsidR="008F4946" w:rsidRPr="00372501">
              <w:rPr>
                <w:b/>
              </w:rPr>
              <w:t>2023</w:t>
            </w:r>
          </w:p>
        </w:tc>
        <w:tc>
          <w:tcPr>
            <w:tcW w:w="1418" w:type="dxa"/>
          </w:tcPr>
          <w:p w14:paraId="6F729779" w14:textId="77777777" w:rsidR="008F4946" w:rsidRPr="00372501" w:rsidRDefault="004037D2" w:rsidP="00872B96">
            <w:pPr>
              <w:ind w:right="126"/>
              <w:jc w:val="right"/>
              <w:rPr>
                <w:b/>
              </w:rPr>
            </w:pPr>
            <w:r>
              <w:rPr>
                <w:b/>
              </w:rPr>
              <w:t>28/12/</w:t>
            </w:r>
            <w:r w:rsidR="008F4946" w:rsidRPr="00372501">
              <w:rPr>
                <w:b/>
              </w:rPr>
              <w:t>2024</w:t>
            </w:r>
          </w:p>
        </w:tc>
        <w:tc>
          <w:tcPr>
            <w:tcW w:w="1399" w:type="dxa"/>
          </w:tcPr>
          <w:p w14:paraId="1A29F8AB" w14:textId="77777777" w:rsidR="008F4946" w:rsidRPr="00372501" w:rsidRDefault="004037D2" w:rsidP="00872B96">
            <w:pPr>
              <w:ind w:right="126"/>
              <w:jc w:val="right"/>
              <w:rPr>
                <w:b/>
              </w:rPr>
            </w:pPr>
            <w:r>
              <w:rPr>
                <w:b/>
              </w:rPr>
              <w:t>30/12</w:t>
            </w:r>
            <w:r w:rsidR="00224ABC">
              <w:rPr>
                <w:b/>
              </w:rPr>
              <w:t>/</w:t>
            </w:r>
            <w:r w:rsidR="008F4946" w:rsidRPr="00372501">
              <w:rPr>
                <w:b/>
              </w:rPr>
              <w:t>2023</w:t>
            </w:r>
          </w:p>
        </w:tc>
      </w:tr>
      <w:tr w:rsidR="008F4946" w:rsidRPr="00C328EF" w14:paraId="7D69D1AF" w14:textId="77777777" w:rsidTr="00E57CC1">
        <w:tc>
          <w:tcPr>
            <w:tcW w:w="4644" w:type="dxa"/>
          </w:tcPr>
          <w:p w14:paraId="36CCA57F" w14:textId="77777777" w:rsidR="008F4946" w:rsidRPr="00C328EF" w:rsidRDefault="008F4946" w:rsidP="00872B96">
            <w:pPr>
              <w:suppressAutoHyphens/>
              <w:rPr>
                <w:rFonts w:cs="Arial"/>
                <w:spacing w:val="-2"/>
                <w:highlight w:val="yellow"/>
              </w:rPr>
            </w:pPr>
          </w:p>
        </w:tc>
        <w:tc>
          <w:tcPr>
            <w:tcW w:w="1418" w:type="dxa"/>
          </w:tcPr>
          <w:p w14:paraId="63F5D320" w14:textId="77777777" w:rsidR="008F4946" w:rsidRPr="00372501" w:rsidRDefault="008F4946" w:rsidP="00872B96">
            <w:pPr>
              <w:ind w:right="126"/>
              <w:jc w:val="right"/>
              <w:rPr>
                <w:b/>
              </w:rPr>
            </w:pPr>
            <w:r w:rsidRPr="00372501">
              <w:rPr>
                <w:b/>
              </w:rPr>
              <w:t>£’000</w:t>
            </w:r>
          </w:p>
        </w:tc>
        <w:tc>
          <w:tcPr>
            <w:tcW w:w="1417" w:type="dxa"/>
          </w:tcPr>
          <w:p w14:paraId="68B1523B" w14:textId="77777777" w:rsidR="008F4946" w:rsidRPr="00372501" w:rsidRDefault="008F4946" w:rsidP="00872B96">
            <w:pPr>
              <w:ind w:right="126"/>
              <w:jc w:val="right"/>
              <w:rPr>
                <w:b/>
              </w:rPr>
            </w:pPr>
            <w:r w:rsidRPr="00372501">
              <w:rPr>
                <w:b/>
              </w:rPr>
              <w:t>£’000</w:t>
            </w:r>
          </w:p>
        </w:tc>
        <w:tc>
          <w:tcPr>
            <w:tcW w:w="1418" w:type="dxa"/>
          </w:tcPr>
          <w:p w14:paraId="75AC98F1" w14:textId="77777777" w:rsidR="008F4946" w:rsidRPr="00372501" w:rsidRDefault="008F4946" w:rsidP="00872B96">
            <w:pPr>
              <w:ind w:right="126"/>
              <w:jc w:val="right"/>
              <w:rPr>
                <w:b/>
              </w:rPr>
            </w:pPr>
            <w:r w:rsidRPr="00372501">
              <w:rPr>
                <w:b/>
              </w:rPr>
              <w:t>£’000</w:t>
            </w:r>
          </w:p>
        </w:tc>
        <w:tc>
          <w:tcPr>
            <w:tcW w:w="1399" w:type="dxa"/>
          </w:tcPr>
          <w:p w14:paraId="79744AE3" w14:textId="77777777" w:rsidR="008F4946" w:rsidRPr="00372501" w:rsidRDefault="008F4946" w:rsidP="00872B96">
            <w:pPr>
              <w:ind w:right="126"/>
              <w:jc w:val="right"/>
              <w:rPr>
                <w:b/>
              </w:rPr>
            </w:pPr>
            <w:r w:rsidRPr="00372501">
              <w:rPr>
                <w:b/>
              </w:rPr>
              <w:t>£’000</w:t>
            </w:r>
          </w:p>
        </w:tc>
      </w:tr>
      <w:tr w:rsidR="008F4946" w:rsidRPr="00C328EF" w14:paraId="41C44DD8" w14:textId="77777777" w:rsidTr="00E57CC1">
        <w:tc>
          <w:tcPr>
            <w:tcW w:w="4644" w:type="dxa"/>
          </w:tcPr>
          <w:p w14:paraId="5F9E2414" w14:textId="77777777" w:rsidR="008F4946" w:rsidRPr="00C328EF" w:rsidRDefault="008F4946" w:rsidP="00872B96">
            <w:pPr>
              <w:suppressAutoHyphens/>
              <w:ind w:left="546"/>
              <w:rPr>
                <w:rFonts w:cs="Arial"/>
                <w:spacing w:val="-2"/>
                <w:highlight w:val="yellow"/>
              </w:rPr>
            </w:pPr>
          </w:p>
        </w:tc>
        <w:tc>
          <w:tcPr>
            <w:tcW w:w="1418" w:type="dxa"/>
          </w:tcPr>
          <w:p w14:paraId="50DAF6B2" w14:textId="77777777" w:rsidR="008F4946" w:rsidRPr="00C328EF" w:rsidRDefault="008F4946" w:rsidP="00872B96">
            <w:pPr>
              <w:suppressAutoHyphens/>
              <w:ind w:right="138"/>
              <w:jc w:val="right"/>
              <w:rPr>
                <w:rFonts w:cs="Arial"/>
                <w:spacing w:val="-2"/>
                <w:highlight w:val="yellow"/>
              </w:rPr>
            </w:pPr>
          </w:p>
        </w:tc>
        <w:tc>
          <w:tcPr>
            <w:tcW w:w="1417" w:type="dxa"/>
          </w:tcPr>
          <w:p w14:paraId="7B36E5EC" w14:textId="77777777" w:rsidR="008F4946" w:rsidRPr="00C328EF" w:rsidRDefault="008F4946" w:rsidP="00872B96">
            <w:pPr>
              <w:suppressAutoHyphens/>
              <w:ind w:right="138"/>
              <w:jc w:val="right"/>
              <w:rPr>
                <w:rFonts w:cs="Arial"/>
                <w:spacing w:val="-2"/>
                <w:highlight w:val="yellow"/>
              </w:rPr>
            </w:pPr>
          </w:p>
        </w:tc>
        <w:tc>
          <w:tcPr>
            <w:tcW w:w="1418" w:type="dxa"/>
          </w:tcPr>
          <w:p w14:paraId="041F9815" w14:textId="77777777" w:rsidR="008F4946" w:rsidRPr="00372501" w:rsidRDefault="008F4946" w:rsidP="00872B96">
            <w:pPr>
              <w:suppressAutoHyphens/>
              <w:ind w:right="138"/>
              <w:jc w:val="right"/>
              <w:rPr>
                <w:rFonts w:cs="Arial"/>
                <w:spacing w:val="-2"/>
              </w:rPr>
            </w:pPr>
          </w:p>
        </w:tc>
        <w:tc>
          <w:tcPr>
            <w:tcW w:w="1399" w:type="dxa"/>
          </w:tcPr>
          <w:p w14:paraId="4B1A0F28" w14:textId="77777777" w:rsidR="008F4946" w:rsidRPr="00372501" w:rsidRDefault="008F4946" w:rsidP="00872B96">
            <w:pPr>
              <w:suppressAutoHyphens/>
              <w:ind w:right="138"/>
              <w:jc w:val="right"/>
              <w:rPr>
                <w:rFonts w:cs="Arial"/>
                <w:spacing w:val="-2"/>
              </w:rPr>
            </w:pPr>
          </w:p>
        </w:tc>
      </w:tr>
      <w:tr w:rsidR="008F4946" w:rsidRPr="00C328EF" w14:paraId="4F43599F" w14:textId="77777777" w:rsidTr="00E57CC1">
        <w:tc>
          <w:tcPr>
            <w:tcW w:w="4644" w:type="dxa"/>
          </w:tcPr>
          <w:p w14:paraId="22EB28EB" w14:textId="77777777" w:rsidR="008F4946" w:rsidRPr="00E40EC5" w:rsidRDefault="008F4946" w:rsidP="00872B96">
            <w:pPr>
              <w:suppressAutoHyphens/>
              <w:ind w:left="546"/>
              <w:rPr>
                <w:rFonts w:cs="Arial"/>
                <w:spacing w:val="-2"/>
              </w:rPr>
            </w:pPr>
            <w:r w:rsidRPr="00E40EC5">
              <w:rPr>
                <w:rFonts w:cs="Arial"/>
                <w:spacing w:val="-2"/>
              </w:rPr>
              <w:t>Trade receivables</w:t>
            </w:r>
          </w:p>
        </w:tc>
        <w:tc>
          <w:tcPr>
            <w:tcW w:w="1418" w:type="dxa"/>
          </w:tcPr>
          <w:p w14:paraId="328D83DB" w14:textId="77777777" w:rsidR="008F4946" w:rsidRPr="00E44847" w:rsidRDefault="008F4946" w:rsidP="00872B96">
            <w:pPr>
              <w:suppressAutoHyphens/>
              <w:ind w:right="138"/>
              <w:jc w:val="right"/>
              <w:rPr>
                <w:rFonts w:cs="Arial"/>
                <w:spacing w:val="-2"/>
              </w:rPr>
            </w:pPr>
            <w:r w:rsidRPr="00E44847">
              <w:rPr>
                <w:rFonts w:cs="Arial"/>
                <w:spacing w:val="-2"/>
              </w:rPr>
              <w:t>1,020</w:t>
            </w:r>
          </w:p>
        </w:tc>
        <w:tc>
          <w:tcPr>
            <w:tcW w:w="1417" w:type="dxa"/>
          </w:tcPr>
          <w:p w14:paraId="7A084325" w14:textId="77777777" w:rsidR="008F4946" w:rsidRPr="00E44847" w:rsidRDefault="008F4946" w:rsidP="00872B96">
            <w:pPr>
              <w:suppressAutoHyphens/>
              <w:ind w:right="138"/>
              <w:jc w:val="right"/>
              <w:rPr>
                <w:rFonts w:cs="Arial"/>
                <w:spacing w:val="-2"/>
              </w:rPr>
            </w:pPr>
            <w:r w:rsidRPr="00E44847">
              <w:rPr>
                <w:rFonts w:cs="Arial"/>
                <w:spacing w:val="-2"/>
              </w:rPr>
              <w:t>1,094</w:t>
            </w:r>
          </w:p>
        </w:tc>
        <w:tc>
          <w:tcPr>
            <w:tcW w:w="1418" w:type="dxa"/>
          </w:tcPr>
          <w:p w14:paraId="2A04D36F" w14:textId="77777777" w:rsidR="008F4946" w:rsidRPr="00E44847" w:rsidRDefault="008F4946" w:rsidP="00872B96">
            <w:pPr>
              <w:suppressAutoHyphens/>
              <w:ind w:right="138"/>
              <w:jc w:val="right"/>
              <w:rPr>
                <w:rFonts w:cs="Arial"/>
                <w:spacing w:val="-2"/>
              </w:rPr>
            </w:pPr>
            <w:r w:rsidRPr="00E44847">
              <w:rPr>
                <w:rFonts w:cs="Arial"/>
                <w:spacing w:val="-2"/>
              </w:rPr>
              <w:t>46</w:t>
            </w:r>
          </w:p>
        </w:tc>
        <w:tc>
          <w:tcPr>
            <w:tcW w:w="1399" w:type="dxa"/>
          </w:tcPr>
          <w:p w14:paraId="16301FDF" w14:textId="77777777" w:rsidR="008F4946" w:rsidRPr="00372501" w:rsidRDefault="008F4946" w:rsidP="00872B96">
            <w:pPr>
              <w:suppressAutoHyphens/>
              <w:ind w:right="138"/>
              <w:jc w:val="right"/>
              <w:rPr>
                <w:rFonts w:cs="Arial"/>
                <w:spacing w:val="-2"/>
              </w:rPr>
            </w:pPr>
            <w:r w:rsidRPr="00372501">
              <w:rPr>
                <w:rFonts w:cs="Arial"/>
                <w:spacing w:val="-2"/>
              </w:rPr>
              <w:t>-</w:t>
            </w:r>
          </w:p>
        </w:tc>
      </w:tr>
      <w:tr w:rsidR="008F4946" w:rsidRPr="00C328EF" w14:paraId="6F0B4D3B" w14:textId="77777777" w:rsidTr="00E57CC1">
        <w:tc>
          <w:tcPr>
            <w:tcW w:w="4644" w:type="dxa"/>
          </w:tcPr>
          <w:p w14:paraId="65D1F7A9" w14:textId="77777777" w:rsidR="008F4946" w:rsidRPr="00E40EC5" w:rsidRDefault="008F4946" w:rsidP="00872B96">
            <w:pPr>
              <w:ind w:left="546"/>
            </w:pPr>
            <w:r w:rsidRPr="00E40EC5">
              <w:t>Other receivables</w:t>
            </w:r>
          </w:p>
        </w:tc>
        <w:tc>
          <w:tcPr>
            <w:tcW w:w="1418" w:type="dxa"/>
          </w:tcPr>
          <w:p w14:paraId="4316F280" w14:textId="77777777" w:rsidR="008F4946" w:rsidRPr="00E44847" w:rsidRDefault="008F4946" w:rsidP="00872B96">
            <w:pPr>
              <w:suppressAutoHyphens/>
              <w:ind w:right="138"/>
              <w:jc w:val="right"/>
              <w:rPr>
                <w:rFonts w:cs="Arial"/>
                <w:spacing w:val="-2"/>
              </w:rPr>
            </w:pPr>
            <w:r w:rsidRPr="00E44847">
              <w:rPr>
                <w:rFonts w:cs="Arial"/>
                <w:spacing w:val="-2"/>
              </w:rPr>
              <w:t>5</w:t>
            </w:r>
            <w:r w:rsidR="00A84B35">
              <w:rPr>
                <w:rFonts w:cs="Arial"/>
                <w:spacing w:val="-2"/>
              </w:rPr>
              <w:t>79</w:t>
            </w:r>
          </w:p>
        </w:tc>
        <w:tc>
          <w:tcPr>
            <w:tcW w:w="1417" w:type="dxa"/>
          </w:tcPr>
          <w:p w14:paraId="6261E5C0" w14:textId="77777777" w:rsidR="008F4946" w:rsidRPr="00E44847" w:rsidRDefault="008F4946" w:rsidP="00872B96">
            <w:pPr>
              <w:suppressAutoHyphens/>
              <w:ind w:right="138"/>
              <w:jc w:val="right"/>
              <w:rPr>
                <w:rFonts w:cs="Arial"/>
                <w:spacing w:val="-2"/>
              </w:rPr>
            </w:pPr>
            <w:r w:rsidRPr="00E44847">
              <w:rPr>
                <w:rFonts w:cs="Arial"/>
                <w:spacing w:val="-2"/>
              </w:rPr>
              <w:t>562</w:t>
            </w:r>
          </w:p>
        </w:tc>
        <w:tc>
          <w:tcPr>
            <w:tcW w:w="1418" w:type="dxa"/>
          </w:tcPr>
          <w:p w14:paraId="60B7DB01" w14:textId="77777777" w:rsidR="008F4946" w:rsidRPr="00E44847" w:rsidRDefault="008F4946" w:rsidP="00872B96">
            <w:pPr>
              <w:suppressAutoHyphens/>
              <w:ind w:right="138"/>
              <w:jc w:val="right"/>
              <w:rPr>
                <w:rFonts w:cs="Arial"/>
                <w:spacing w:val="-2"/>
              </w:rPr>
            </w:pPr>
            <w:r w:rsidRPr="00E44847">
              <w:rPr>
                <w:rFonts w:cs="Arial"/>
                <w:spacing w:val="-2"/>
              </w:rPr>
              <w:t>-</w:t>
            </w:r>
          </w:p>
        </w:tc>
        <w:tc>
          <w:tcPr>
            <w:tcW w:w="1399" w:type="dxa"/>
          </w:tcPr>
          <w:p w14:paraId="0859908E" w14:textId="77777777" w:rsidR="008F4946" w:rsidRPr="00372501" w:rsidRDefault="008F4946" w:rsidP="00872B96">
            <w:pPr>
              <w:suppressAutoHyphens/>
              <w:ind w:right="138"/>
              <w:jc w:val="right"/>
              <w:rPr>
                <w:rFonts w:cs="Arial"/>
                <w:spacing w:val="-2"/>
              </w:rPr>
            </w:pPr>
            <w:r w:rsidRPr="00372501">
              <w:rPr>
                <w:rFonts w:cs="Arial"/>
                <w:spacing w:val="-2"/>
              </w:rPr>
              <w:t>2,912</w:t>
            </w:r>
          </w:p>
        </w:tc>
      </w:tr>
      <w:tr w:rsidR="008F4946" w:rsidRPr="00C328EF" w14:paraId="6834F8A7" w14:textId="77777777" w:rsidTr="00E57CC1">
        <w:tc>
          <w:tcPr>
            <w:tcW w:w="4644" w:type="dxa"/>
          </w:tcPr>
          <w:p w14:paraId="1F9ED2BC" w14:textId="77777777" w:rsidR="008F4946" w:rsidRPr="00E40EC5" w:rsidRDefault="008F4946" w:rsidP="00872B96">
            <w:pPr>
              <w:ind w:left="546"/>
            </w:pPr>
            <w:r w:rsidRPr="00E40EC5">
              <w:rPr>
                <w:rFonts w:cs="Arial"/>
                <w:spacing w:val="-2"/>
              </w:rPr>
              <w:t>Prepayments and accrued income</w:t>
            </w:r>
          </w:p>
        </w:tc>
        <w:tc>
          <w:tcPr>
            <w:tcW w:w="1418" w:type="dxa"/>
          </w:tcPr>
          <w:p w14:paraId="2B074B58" w14:textId="77777777" w:rsidR="008F4946" w:rsidRPr="00E44847" w:rsidRDefault="008F4946" w:rsidP="00872B96">
            <w:pPr>
              <w:suppressAutoHyphens/>
              <w:ind w:right="138"/>
              <w:jc w:val="right"/>
              <w:rPr>
                <w:rFonts w:cs="Arial"/>
                <w:spacing w:val="-2"/>
              </w:rPr>
            </w:pPr>
            <w:r w:rsidRPr="00E44847">
              <w:rPr>
                <w:rFonts w:cs="Arial"/>
                <w:spacing w:val="-2"/>
              </w:rPr>
              <w:t>2,545</w:t>
            </w:r>
          </w:p>
        </w:tc>
        <w:tc>
          <w:tcPr>
            <w:tcW w:w="1417" w:type="dxa"/>
          </w:tcPr>
          <w:p w14:paraId="51E228AA" w14:textId="77777777" w:rsidR="008F4946" w:rsidRPr="00E44847" w:rsidRDefault="008F4946" w:rsidP="00872B96">
            <w:pPr>
              <w:suppressAutoHyphens/>
              <w:ind w:right="138"/>
              <w:jc w:val="right"/>
              <w:rPr>
                <w:rFonts w:cs="Arial"/>
                <w:spacing w:val="-2"/>
              </w:rPr>
            </w:pPr>
            <w:r w:rsidRPr="00E44847">
              <w:rPr>
                <w:rFonts w:cs="Arial"/>
                <w:spacing w:val="-2"/>
              </w:rPr>
              <w:t>2,007</w:t>
            </w:r>
          </w:p>
        </w:tc>
        <w:tc>
          <w:tcPr>
            <w:tcW w:w="1418" w:type="dxa"/>
          </w:tcPr>
          <w:p w14:paraId="6C3ED659" w14:textId="77777777" w:rsidR="008F4946" w:rsidRPr="00E44847" w:rsidRDefault="008F4946" w:rsidP="00872B96">
            <w:pPr>
              <w:suppressAutoHyphens/>
              <w:ind w:right="138"/>
              <w:jc w:val="right"/>
              <w:rPr>
                <w:rFonts w:cs="Arial"/>
                <w:spacing w:val="-2"/>
              </w:rPr>
            </w:pPr>
            <w:r w:rsidRPr="00E44847">
              <w:rPr>
                <w:rFonts w:cs="Arial"/>
                <w:spacing w:val="-2"/>
              </w:rPr>
              <w:t>8</w:t>
            </w:r>
          </w:p>
        </w:tc>
        <w:tc>
          <w:tcPr>
            <w:tcW w:w="1399" w:type="dxa"/>
          </w:tcPr>
          <w:p w14:paraId="41B2174F" w14:textId="77777777" w:rsidR="008F4946" w:rsidRPr="00372501" w:rsidRDefault="008F4946" w:rsidP="00872B96">
            <w:pPr>
              <w:suppressAutoHyphens/>
              <w:ind w:right="138"/>
              <w:jc w:val="right"/>
              <w:rPr>
                <w:rFonts w:cs="Arial"/>
                <w:spacing w:val="-2"/>
              </w:rPr>
            </w:pPr>
            <w:r w:rsidRPr="00372501">
              <w:rPr>
                <w:rFonts w:cs="Arial"/>
                <w:spacing w:val="-2"/>
              </w:rPr>
              <w:t>11</w:t>
            </w:r>
          </w:p>
        </w:tc>
      </w:tr>
      <w:tr w:rsidR="008F4946" w:rsidRPr="00C328EF" w14:paraId="40A621CD" w14:textId="77777777" w:rsidTr="00E57CC1">
        <w:tc>
          <w:tcPr>
            <w:tcW w:w="4644" w:type="dxa"/>
          </w:tcPr>
          <w:p w14:paraId="53341F65" w14:textId="77777777" w:rsidR="008F4946" w:rsidRPr="00E40EC5" w:rsidRDefault="008F4946" w:rsidP="00872B96">
            <w:pPr>
              <w:ind w:left="546"/>
            </w:pPr>
            <w:r w:rsidRPr="00E40EC5">
              <w:t>VAT recoverable</w:t>
            </w:r>
          </w:p>
        </w:tc>
        <w:tc>
          <w:tcPr>
            <w:tcW w:w="1418" w:type="dxa"/>
          </w:tcPr>
          <w:p w14:paraId="11A541C8" w14:textId="77777777" w:rsidR="008F4946" w:rsidRPr="00E44847" w:rsidRDefault="008F4946" w:rsidP="00872B96">
            <w:pPr>
              <w:suppressAutoHyphens/>
              <w:ind w:right="138"/>
              <w:jc w:val="right"/>
              <w:rPr>
                <w:rFonts w:cs="Arial"/>
                <w:spacing w:val="-2"/>
              </w:rPr>
            </w:pPr>
            <w:r w:rsidRPr="00E44847">
              <w:rPr>
                <w:rFonts w:cs="Arial"/>
                <w:spacing w:val="-2"/>
              </w:rPr>
              <w:t>4,698</w:t>
            </w:r>
          </w:p>
        </w:tc>
        <w:tc>
          <w:tcPr>
            <w:tcW w:w="1417" w:type="dxa"/>
          </w:tcPr>
          <w:p w14:paraId="0BD95234" w14:textId="77777777" w:rsidR="008F4946" w:rsidRPr="00E44847" w:rsidRDefault="008F4946" w:rsidP="00872B96">
            <w:pPr>
              <w:suppressAutoHyphens/>
              <w:ind w:right="138"/>
              <w:jc w:val="right"/>
              <w:rPr>
                <w:rFonts w:cs="Arial"/>
                <w:spacing w:val="-2"/>
              </w:rPr>
            </w:pPr>
            <w:r w:rsidRPr="00E44847">
              <w:rPr>
                <w:rFonts w:cs="Arial"/>
                <w:spacing w:val="-2"/>
              </w:rPr>
              <w:t>4,250</w:t>
            </w:r>
          </w:p>
        </w:tc>
        <w:tc>
          <w:tcPr>
            <w:tcW w:w="1418" w:type="dxa"/>
          </w:tcPr>
          <w:p w14:paraId="2B333F60" w14:textId="77777777" w:rsidR="008F4946" w:rsidRPr="00E44847" w:rsidRDefault="008F4946" w:rsidP="00872B96">
            <w:pPr>
              <w:suppressAutoHyphens/>
              <w:ind w:right="138"/>
              <w:jc w:val="right"/>
              <w:rPr>
                <w:rFonts w:cs="Arial"/>
                <w:spacing w:val="-2"/>
              </w:rPr>
            </w:pPr>
            <w:r w:rsidRPr="00E44847">
              <w:rPr>
                <w:rFonts w:cs="Arial"/>
                <w:spacing w:val="-2"/>
              </w:rPr>
              <w:t>-</w:t>
            </w:r>
          </w:p>
        </w:tc>
        <w:tc>
          <w:tcPr>
            <w:tcW w:w="1399" w:type="dxa"/>
          </w:tcPr>
          <w:p w14:paraId="68131F56" w14:textId="77777777" w:rsidR="008F4946" w:rsidRPr="00372501" w:rsidRDefault="008F4946" w:rsidP="00872B96">
            <w:pPr>
              <w:suppressAutoHyphens/>
              <w:ind w:right="138"/>
              <w:jc w:val="right"/>
              <w:rPr>
                <w:rFonts w:cs="Arial"/>
                <w:spacing w:val="-2"/>
              </w:rPr>
            </w:pPr>
            <w:r w:rsidRPr="00372501">
              <w:rPr>
                <w:rFonts w:cs="Arial"/>
                <w:spacing w:val="-2"/>
              </w:rPr>
              <w:t>-</w:t>
            </w:r>
          </w:p>
        </w:tc>
      </w:tr>
      <w:tr w:rsidR="008F4946" w:rsidRPr="00C328EF" w14:paraId="5A09B395" w14:textId="77777777" w:rsidTr="00E57CC1">
        <w:tc>
          <w:tcPr>
            <w:tcW w:w="4644" w:type="dxa"/>
          </w:tcPr>
          <w:p w14:paraId="406B7D1B" w14:textId="77777777" w:rsidR="008F4946" w:rsidRPr="00E40EC5" w:rsidRDefault="008F4946" w:rsidP="00872B96">
            <w:pPr>
              <w:ind w:left="546"/>
              <w:rPr>
                <w:rFonts w:cs="Arial"/>
                <w:spacing w:val="-2"/>
              </w:rPr>
            </w:pPr>
            <w:r w:rsidRPr="00E40EC5">
              <w:t>Corporation tax recoverable</w:t>
            </w:r>
          </w:p>
        </w:tc>
        <w:tc>
          <w:tcPr>
            <w:tcW w:w="1418" w:type="dxa"/>
          </w:tcPr>
          <w:p w14:paraId="76AB4128" w14:textId="77777777" w:rsidR="008F4946" w:rsidRPr="00E44847" w:rsidRDefault="008F4946" w:rsidP="00872B96">
            <w:pPr>
              <w:suppressAutoHyphens/>
              <w:ind w:right="138"/>
              <w:jc w:val="right"/>
              <w:rPr>
                <w:rFonts w:cs="Arial"/>
                <w:spacing w:val="-2"/>
              </w:rPr>
            </w:pPr>
            <w:r w:rsidRPr="00E44847">
              <w:rPr>
                <w:rFonts w:cs="Arial"/>
                <w:spacing w:val="-2"/>
              </w:rPr>
              <w:t>330</w:t>
            </w:r>
          </w:p>
        </w:tc>
        <w:tc>
          <w:tcPr>
            <w:tcW w:w="1417" w:type="dxa"/>
          </w:tcPr>
          <w:p w14:paraId="22EF9F42" w14:textId="77777777" w:rsidR="008F4946" w:rsidRPr="00E44847" w:rsidRDefault="008F4946" w:rsidP="00872B96">
            <w:pPr>
              <w:suppressAutoHyphens/>
              <w:ind w:right="138"/>
              <w:jc w:val="right"/>
              <w:rPr>
                <w:rFonts w:cs="Arial"/>
                <w:spacing w:val="-2"/>
              </w:rPr>
            </w:pPr>
            <w:r w:rsidRPr="00E44847">
              <w:rPr>
                <w:rFonts w:cs="Arial"/>
                <w:spacing w:val="-2"/>
              </w:rPr>
              <w:t>-</w:t>
            </w:r>
          </w:p>
        </w:tc>
        <w:tc>
          <w:tcPr>
            <w:tcW w:w="1418" w:type="dxa"/>
          </w:tcPr>
          <w:p w14:paraId="5DBD670A" w14:textId="77777777" w:rsidR="008F4946" w:rsidRPr="00E44847" w:rsidRDefault="008F4946" w:rsidP="00872B96">
            <w:pPr>
              <w:suppressAutoHyphens/>
              <w:ind w:right="138"/>
              <w:jc w:val="right"/>
              <w:rPr>
                <w:rFonts w:cs="Arial"/>
                <w:spacing w:val="-2"/>
              </w:rPr>
            </w:pPr>
            <w:r w:rsidRPr="00E44847">
              <w:rPr>
                <w:rFonts w:cs="Arial"/>
                <w:spacing w:val="-2"/>
              </w:rPr>
              <w:t>60</w:t>
            </w:r>
          </w:p>
        </w:tc>
        <w:tc>
          <w:tcPr>
            <w:tcW w:w="1399" w:type="dxa"/>
          </w:tcPr>
          <w:p w14:paraId="4626D016" w14:textId="77777777" w:rsidR="008F4946" w:rsidRPr="00372501" w:rsidRDefault="008F4946" w:rsidP="00872B96">
            <w:pPr>
              <w:suppressAutoHyphens/>
              <w:ind w:right="138"/>
              <w:jc w:val="right"/>
              <w:rPr>
                <w:rFonts w:cs="Arial"/>
                <w:spacing w:val="-2"/>
              </w:rPr>
            </w:pPr>
            <w:r w:rsidRPr="00372501">
              <w:rPr>
                <w:rFonts w:cs="Arial"/>
                <w:spacing w:val="-2"/>
              </w:rPr>
              <w:t>40</w:t>
            </w:r>
          </w:p>
        </w:tc>
      </w:tr>
      <w:tr w:rsidR="008F4946" w:rsidRPr="00C328EF" w14:paraId="21BD556A" w14:textId="77777777" w:rsidTr="00E57CC1">
        <w:tc>
          <w:tcPr>
            <w:tcW w:w="4644" w:type="dxa"/>
          </w:tcPr>
          <w:p w14:paraId="413B41EE" w14:textId="77777777" w:rsidR="008F4946" w:rsidRPr="00E40EC5" w:rsidRDefault="008F4946" w:rsidP="00872B96">
            <w:pPr>
              <w:ind w:left="546"/>
            </w:pPr>
            <w:r w:rsidRPr="00E40EC5">
              <w:t>Amounts due from City of Edinburgh Council</w:t>
            </w:r>
          </w:p>
        </w:tc>
        <w:tc>
          <w:tcPr>
            <w:tcW w:w="1418" w:type="dxa"/>
          </w:tcPr>
          <w:p w14:paraId="195D2965" w14:textId="77777777" w:rsidR="008F4946" w:rsidRPr="00E44847" w:rsidRDefault="008F4946" w:rsidP="00872B96">
            <w:pPr>
              <w:ind w:right="138"/>
              <w:jc w:val="right"/>
              <w:rPr>
                <w:rFonts w:cs="Arial"/>
                <w:spacing w:val="-2"/>
              </w:rPr>
            </w:pPr>
            <w:r w:rsidRPr="00E44847">
              <w:rPr>
                <w:rFonts w:cs="Arial"/>
                <w:spacing w:val="-2"/>
              </w:rPr>
              <w:t>4,820</w:t>
            </w:r>
          </w:p>
        </w:tc>
        <w:tc>
          <w:tcPr>
            <w:tcW w:w="1417" w:type="dxa"/>
          </w:tcPr>
          <w:p w14:paraId="2609CAAE" w14:textId="77777777" w:rsidR="008F4946" w:rsidRPr="00E44847" w:rsidRDefault="008F4946" w:rsidP="00872B96">
            <w:pPr>
              <w:ind w:right="138"/>
              <w:jc w:val="right"/>
              <w:rPr>
                <w:rFonts w:cs="Arial"/>
                <w:spacing w:val="-2"/>
              </w:rPr>
            </w:pPr>
            <w:r w:rsidRPr="00E44847">
              <w:rPr>
                <w:rFonts w:cs="Arial"/>
                <w:spacing w:val="-2"/>
              </w:rPr>
              <w:t>3,415</w:t>
            </w:r>
          </w:p>
        </w:tc>
        <w:tc>
          <w:tcPr>
            <w:tcW w:w="1418" w:type="dxa"/>
          </w:tcPr>
          <w:p w14:paraId="60B13785" w14:textId="77777777" w:rsidR="008F4946" w:rsidRPr="00E44847" w:rsidRDefault="008F4946" w:rsidP="00872B96">
            <w:pPr>
              <w:suppressAutoHyphens/>
              <w:ind w:right="138"/>
              <w:jc w:val="right"/>
              <w:rPr>
                <w:rFonts w:cs="Arial"/>
                <w:spacing w:val="-2"/>
              </w:rPr>
            </w:pPr>
            <w:r w:rsidRPr="00E44847">
              <w:rPr>
                <w:rFonts w:cs="Arial"/>
                <w:spacing w:val="-2"/>
              </w:rPr>
              <w:t>-</w:t>
            </w:r>
          </w:p>
        </w:tc>
        <w:tc>
          <w:tcPr>
            <w:tcW w:w="1399" w:type="dxa"/>
          </w:tcPr>
          <w:p w14:paraId="09ABE002" w14:textId="77777777" w:rsidR="008F4946" w:rsidRPr="00372501" w:rsidRDefault="008F4946" w:rsidP="00872B96">
            <w:pPr>
              <w:suppressAutoHyphens/>
              <w:ind w:right="138"/>
              <w:jc w:val="right"/>
              <w:rPr>
                <w:rFonts w:cs="Arial"/>
                <w:spacing w:val="-2"/>
              </w:rPr>
            </w:pPr>
            <w:r w:rsidRPr="00372501">
              <w:rPr>
                <w:rFonts w:cs="Arial"/>
                <w:spacing w:val="-2"/>
              </w:rPr>
              <w:t>-</w:t>
            </w:r>
          </w:p>
        </w:tc>
      </w:tr>
      <w:tr w:rsidR="008F4946" w:rsidRPr="00C328EF" w14:paraId="081FE74A" w14:textId="77777777" w:rsidTr="00E57CC1">
        <w:tc>
          <w:tcPr>
            <w:tcW w:w="4644" w:type="dxa"/>
          </w:tcPr>
          <w:p w14:paraId="77828F2F" w14:textId="77777777" w:rsidR="008F4946" w:rsidRPr="00E40EC5" w:rsidRDefault="008F4946" w:rsidP="00872B96">
            <w:pPr>
              <w:ind w:left="546"/>
            </w:pPr>
            <w:r w:rsidRPr="00E40EC5">
              <w:t>Amounts due from West Lothian Council</w:t>
            </w:r>
          </w:p>
        </w:tc>
        <w:tc>
          <w:tcPr>
            <w:tcW w:w="1418" w:type="dxa"/>
          </w:tcPr>
          <w:p w14:paraId="66BBE972" w14:textId="77777777" w:rsidR="008F4946" w:rsidRPr="00E44847" w:rsidRDefault="008F4946" w:rsidP="00872B96">
            <w:pPr>
              <w:ind w:right="138"/>
              <w:jc w:val="right"/>
              <w:rPr>
                <w:rFonts w:cs="Arial"/>
                <w:spacing w:val="-2"/>
              </w:rPr>
            </w:pPr>
            <w:r w:rsidRPr="00E44847">
              <w:rPr>
                <w:rFonts w:cs="Arial"/>
                <w:spacing w:val="-2"/>
              </w:rPr>
              <w:t>79</w:t>
            </w:r>
          </w:p>
        </w:tc>
        <w:tc>
          <w:tcPr>
            <w:tcW w:w="1417" w:type="dxa"/>
          </w:tcPr>
          <w:p w14:paraId="51F79F7E" w14:textId="77777777" w:rsidR="008F4946" w:rsidRPr="00E44847" w:rsidRDefault="008F4946" w:rsidP="00872B96">
            <w:pPr>
              <w:ind w:right="138"/>
              <w:jc w:val="right"/>
              <w:rPr>
                <w:rFonts w:cs="Arial"/>
                <w:spacing w:val="-2"/>
              </w:rPr>
            </w:pPr>
            <w:r w:rsidRPr="00E44847">
              <w:rPr>
                <w:rFonts w:cs="Arial"/>
                <w:spacing w:val="-2"/>
              </w:rPr>
              <w:t>64</w:t>
            </w:r>
          </w:p>
        </w:tc>
        <w:tc>
          <w:tcPr>
            <w:tcW w:w="1418" w:type="dxa"/>
          </w:tcPr>
          <w:p w14:paraId="23AE7FE3" w14:textId="77777777" w:rsidR="008F4946" w:rsidRPr="00E44847" w:rsidRDefault="008F4946" w:rsidP="00872B96">
            <w:pPr>
              <w:suppressAutoHyphens/>
              <w:ind w:right="138"/>
              <w:jc w:val="right"/>
              <w:rPr>
                <w:rFonts w:cs="Arial"/>
                <w:spacing w:val="-2"/>
              </w:rPr>
            </w:pPr>
            <w:r w:rsidRPr="00E44847">
              <w:rPr>
                <w:rFonts w:cs="Arial"/>
                <w:spacing w:val="-2"/>
              </w:rPr>
              <w:t>-</w:t>
            </w:r>
          </w:p>
        </w:tc>
        <w:tc>
          <w:tcPr>
            <w:tcW w:w="1399" w:type="dxa"/>
          </w:tcPr>
          <w:p w14:paraId="786CFC81" w14:textId="77777777" w:rsidR="008F4946" w:rsidRPr="00372501" w:rsidRDefault="008F4946" w:rsidP="00872B96">
            <w:pPr>
              <w:suppressAutoHyphens/>
              <w:ind w:right="138"/>
              <w:jc w:val="right"/>
              <w:rPr>
                <w:rFonts w:cs="Arial"/>
                <w:spacing w:val="-2"/>
              </w:rPr>
            </w:pPr>
            <w:r w:rsidRPr="00372501">
              <w:rPr>
                <w:rFonts w:cs="Arial"/>
                <w:spacing w:val="-2"/>
              </w:rPr>
              <w:t>-</w:t>
            </w:r>
          </w:p>
        </w:tc>
      </w:tr>
      <w:tr w:rsidR="008F4946" w:rsidRPr="00C328EF" w14:paraId="5029A58A" w14:textId="77777777" w:rsidTr="00E57CC1">
        <w:tc>
          <w:tcPr>
            <w:tcW w:w="4644" w:type="dxa"/>
          </w:tcPr>
          <w:p w14:paraId="4AF8B043" w14:textId="77777777" w:rsidR="008F4946" w:rsidRPr="00E40EC5" w:rsidRDefault="008F4946" w:rsidP="00872B96">
            <w:pPr>
              <w:ind w:left="546"/>
            </w:pPr>
            <w:r w:rsidRPr="00E40EC5">
              <w:t>Amounts due from East Lothian Council</w:t>
            </w:r>
          </w:p>
        </w:tc>
        <w:tc>
          <w:tcPr>
            <w:tcW w:w="1418" w:type="dxa"/>
          </w:tcPr>
          <w:p w14:paraId="418EE4E3" w14:textId="77777777" w:rsidR="008F4946" w:rsidRPr="00E44847" w:rsidRDefault="008F4946" w:rsidP="00872B96">
            <w:pPr>
              <w:ind w:right="138"/>
              <w:jc w:val="right"/>
              <w:rPr>
                <w:rFonts w:cs="Arial"/>
                <w:spacing w:val="-2"/>
              </w:rPr>
            </w:pPr>
            <w:r w:rsidRPr="00E44847">
              <w:rPr>
                <w:rFonts w:cs="Arial"/>
                <w:spacing w:val="-2"/>
              </w:rPr>
              <w:t>33</w:t>
            </w:r>
          </w:p>
        </w:tc>
        <w:tc>
          <w:tcPr>
            <w:tcW w:w="1417" w:type="dxa"/>
          </w:tcPr>
          <w:p w14:paraId="21EFBD8C" w14:textId="77777777" w:rsidR="008F4946" w:rsidRPr="00E44847" w:rsidRDefault="008F4946" w:rsidP="00872B96">
            <w:pPr>
              <w:ind w:right="138"/>
              <w:jc w:val="right"/>
              <w:rPr>
                <w:rFonts w:cs="Arial"/>
                <w:spacing w:val="-2"/>
              </w:rPr>
            </w:pPr>
            <w:r w:rsidRPr="00E44847">
              <w:rPr>
                <w:rFonts w:cs="Arial"/>
                <w:spacing w:val="-2"/>
              </w:rPr>
              <w:t>44</w:t>
            </w:r>
          </w:p>
        </w:tc>
        <w:tc>
          <w:tcPr>
            <w:tcW w:w="1418" w:type="dxa"/>
          </w:tcPr>
          <w:p w14:paraId="0547589D" w14:textId="77777777" w:rsidR="008F4946" w:rsidRPr="00E44847" w:rsidRDefault="008F4946" w:rsidP="00872B96">
            <w:pPr>
              <w:suppressAutoHyphens/>
              <w:ind w:right="138"/>
              <w:jc w:val="right"/>
              <w:rPr>
                <w:rFonts w:cs="Arial"/>
                <w:spacing w:val="-2"/>
              </w:rPr>
            </w:pPr>
            <w:r w:rsidRPr="00E44847">
              <w:rPr>
                <w:rFonts w:cs="Arial"/>
                <w:spacing w:val="-2"/>
              </w:rPr>
              <w:t>-</w:t>
            </w:r>
          </w:p>
        </w:tc>
        <w:tc>
          <w:tcPr>
            <w:tcW w:w="1399" w:type="dxa"/>
          </w:tcPr>
          <w:p w14:paraId="1D1F2DB8" w14:textId="77777777" w:rsidR="008F4946" w:rsidRPr="00372501" w:rsidRDefault="008F4946" w:rsidP="00872B96">
            <w:pPr>
              <w:suppressAutoHyphens/>
              <w:ind w:right="138"/>
              <w:jc w:val="right"/>
              <w:rPr>
                <w:rFonts w:cs="Arial"/>
                <w:spacing w:val="-2"/>
              </w:rPr>
            </w:pPr>
            <w:r w:rsidRPr="00372501">
              <w:rPr>
                <w:rFonts w:cs="Arial"/>
                <w:spacing w:val="-2"/>
              </w:rPr>
              <w:t>-</w:t>
            </w:r>
          </w:p>
        </w:tc>
      </w:tr>
      <w:tr w:rsidR="008F4946" w:rsidRPr="009F0A6C" w14:paraId="56AA8412" w14:textId="77777777" w:rsidTr="00E57CC1">
        <w:tc>
          <w:tcPr>
            <w:tcW w:w="4644" w:type="dxa"/>
          </w:tcPr>
          <w:p w14:paraId="68C073BA" w14:textId="77777777" w:rsidR="008F4946" w:rsidRPr="009F0A6C" w:rsidRDefault="008F4946" w:rsidP="00872B96">
            <w:pPr>
              <w:suppressAutoHyphens/>
              <w:rPr>
                <w:rFonts w:cs="Arial"/>
                <w:spacing w:val="-2"/>
              </w:rPr>
            </w:pPr>
          </w:p>
        </w:tc>
        <w:tc>
          <w:tcPr>
            <w:tcW w:w="1418" w:type="dxa"/>
          </w:tcPr>
          <w:p w14:paraId="3A24832F" w14:textId="77777777" w:rsidR="008F4946" w:rsidRPr="00E44847" w:rsidRDefault="008F4946" w:rsidP="00872B96">
            <w:pPr>
              <w:ind w:right="138"/>
              <w:jc w:val="right"/>
              <w:rPr>
                <w:b/>
              </w:rPr>
            </w:pPr>
            <w:r w:rsidRPr="00E44847">
              <w:rPr>
                <w:b/>
              </w:rPr>
              <w:t>─────</w:t>
            </w:r>
          </w:p>
        </w:tc>
        <w:tc>
          <w:tcPr>
            <w:tcW w:w="1417" w:type="dxa"/>
          </w:tcPr>
          <w:p w14:paraId="25C96909" w14:textId="77777777" w:rsidR="008F4946" w:rsidRPr="00E44847" w:rsidRDefault="008F4946" w:rsidP="00872B96">
            <w:pPr>
              <w:ind w:right="138"/>
              <w:jc w:val="right"/>
              <w:rPr>
                <w:b/>
              </w:rPr>
            </w:pPr>
            <w:r w:rsidRPr="00E44847">
              <w:rPr>
                <w:b/>
              </w:rPr>
              <w:t>─────</w:t>
            </w:r>
          </w:p>
        </w:tc>
        <w:tc>
          <w:tcPr>
            <w:tcW w:w="1418" w:type="dxa"/>
          </w:tcPr>
          <w:p w14:paraId="3ACF3245" w14:textId="77777777" w:rsidR="008F4946" w:rsidRPr="00E44847" w:rsidRDefault="008F4946" w:rsidP="00872B96">
            <w:pPr>
              <w:suppressAutoHyphens/>
              <w:ind w:right="138"/>
              <w:jc w:val="right"/>
              <w:rPr>
                <w:rFonts w:cs="Arial"/>
                <w:spacing w:val="-2"/>
              </w:rPr>
            </w:pPr>
            <w:r w:rsidRPr="00E44847">
              <w:rPr>
                <w:rFonts w:cs="Arial"/>
                <w:spacing w:val="-2"/>
              </w:rPr>
              <w:t>─────</w:t>
            </w:r>
          </w:p>
        </w:tc>
        <w:tc>
          <w:tcPr>
            <w:tcW w:w="1399" w:type="dxa"/>
          </w:tcPr>
          <w:p w14:paraId="39C85D27" w14:textId="77777777" w:rsidR="008F4946" w:rsidRPr="009F0A6C" w:rsidRDefault="008F4946" w:rsidP="00872B96">
            <w:pPr>
              <w:suppressAutoHyphens/>
              <w:ind w:right="138"/>
              <w:jc w:val="right"/>
              <w:rPr>
                <w:rFonts w:cs="Arial"/>
                <w:spacing w:val="-2"/>
              </w:rPr>
            </w:pPr>
            <w:r w:rsidRPr="009F0A6C">
              <w:rPr>
                <w:rFonts w:cs="Arial"/>
                <w:spacing w:val="-2"/>
              </w:rPr>
              <w:t>─────</w:t>
            </w:r>
          </w:p>
        </w:tc>
      </w:tr>
      <w:tr w:rsidR="008F4946" w:rsidRPr="009F0A6C" w14:paraId="53437E21" w14:textId="77777777" w:rsidTr="00E57CC1">
        <w:tc>
          <w:tcPr>
            <w:tcW w:w="4644" w:type="dxa"/>
          </w:tcPr>
          <w:p w14:paraId="66999DBF" w14:textId="77777777" w:rsidR="008F4946" w:rsidRPr="009F0A6C" w:rsidRDefault="008F4946" w:rsidP="00872B96">
            <w:pPr>
              <w:suppressAutoHyphens/>
              <w:rPr>
                <w:rFonts w:cs="Arial"/>
                <w:spacing w:val="-2"/>
              </w:rPr>
            </w:pPr>
          </w:p>
        </w:tc>
        <w:tc>
          <w:tcPr>
            <w:tcW w:w="1418" w:type="dxa"/>
          </w:tcPr>
          <w:p w14:paraId="2E45A837" w14:textId="77777777" w:rsidR="008F4946" w:rsidRPr="009F0A6C" w:rsidRDefault="008F4946" w:rsidP="00872B96">
            <w:pPr>
              <w:suppressAutoHyphens/>
              <w:ind w:right="138"/>
              <w:jc w:val="right"/>
            </w:pPr>
            <w:r w:rsidRPr="009F0A6C">
              <w:t>14,</w:t>
            </w:r>
            <w:r w:rsidR="00A84B35">
              <w:t>104</w:t>
            </w:r>
          </w:p>
        </w:tc>
        <w:tc>
          <w:tcPr>
            <w:tcW w:w="1417" w:type="dxa"/>
          </w:tcPr>
          <w:p w14:paraId="41531B2D" w14:textId="77777777" w:rsidR="008F4946" w:rsidRPr="009F0A6C" w:rsidRDefault="008F4946" w:rsidP="00872B96">
            <w:pPr>
              <w:suppressAutoHyphens/>
              <w:ind w:right="138"/>
              <w:jc w:val="right"/>
            </w:pPr>
            <w:r w:rsidRPr="009F0A6C">
              <w:t>11,436</w:t>
            </w:r>
          </w:p>
        </w:tc>
        <w:tc>
          <w:tcPr>
            <w:tcW w:w="1418" w:type="dxa"/>
          </w:tcPr>
          <w:p w14:paraId="2C4654FB" w14:textId="77777777" w:rsidR="008F4946" w:rsidRPr="009F0A6C" w:rsidRDefault="008F4946" w:rsidP="00872B96">
            <w:pPr>
              <w:suppressAutoHyphens/>
              <w:ind w:right="138"/>
              <w:jc w:val="right"/>
              <w:rPr>
                <w:rFonts w:cs="Arial"/>
                <w:spacing w:val="-2"/>
              </w:rPr>
            </w:pPr>
            <w:r w:rsidRPr="009F0A6C">
              <w:rPr>
                <w:rFonts w:cs="Arial"/>
                <w:spacing w:val="-2"/>
              </w:rPr>
              <w:t>114</w:t>
            </w:r>
          </w:p>
        </w:tc>
        <w:tc>
          <w:tcPr>
            <w:tcW w:w="1399" w:type="dxa"/>
          </w:tcPr>
          <w:p w14:paraId="2136ED8A" w14:textId="77777777" w:rsidR="008F4946" w:rsidRPr="009F0A6C" w:rsidRDefault="008F4946" w:rsidP="00872B96">
            <w:pPr>
              <w:suppressAutoHyphens/>
              <w:ind w:right="138"/>
              <w:jc w:val="right"/>
              <w:rPr>
                <w:rFonts w:cs="Arial"/>
                <w:spacing w:val="-2"/>
              </w:rPr>
            </w:pPr>
            <w:r w:rsidRPr="009F0A6C">
              <w:rPr>
                <w:rFonts w:cs="Arial"/>
                <w:spacing w:val="-2"/>
              </w:rPr>
              <w:t>2,963</w:t>
            </w:r>
          </w:p>
        </w:tc>
      </w:tr>
      <w:tr w:rsidR="008F4946" w:rsidRPr="009F0A6C" w14:paraId="3CE408BD" w14:textId="77777777" w:rsidTr="00E57CC1">
        <w:trPr>
          <w:trHeight w:val="231"/>
        </w:trPr>
        <w:tc>
          <w:tcPr>
            <w:tcW w:w="4644" w:type="dxa"/>
          </w:tcPr>
          <w:p w14:paraId="5F4A9E44" w14:textId="77777777" w:rsidR="008F4946" w:rsidRPr="009F0A6C" w:rsidRDefault="008F4946" w:rsidP="00872B96">
            <w:pPr>
              <w:suppressAutoHyphens/>
              <w:rPr>
                <w:rFonts w:cs="Arial"/>
                <w:spacing w:val="-2"/>
              </w:rPr>
            </w:pPr>
          </w:p>
        </w:tc>
        <w:tc>
          <w:tcPr>
            <w:tcW w:w="1418" w:type="dxa"/>
          </w:tcPr>
          <w:p w14:paraId="4CA66E38" w14:textId="77777777" w:rsidR="008F4946" w:rsidRPr="009F0A6C" w:rsidRDefault="008F4946" w:rsidP="00872B96">
            <w:pPr>
              <w:ind w:right="138"/>
              <w:jc w:val="right"/>
            </w:pPr>
            <w:r w:rsidRPr="009F0A6C">
              <w:rPr>
                <w:rFonts w:cs="Arial"/>
                <w:spacing w:val="-2"/>
              </w:rPr>
              <w:t>═════</w:t>
            </w:r>
          </w:p>
        </w:tc>
        <w:tc>
          <w:tcPr>
            <w:tcW w:w="1417" w:type="dxa"/>
          </w:tcPr>
          <w:p w14:paraId="27DF3A2E" w14:textId="77777777" w:rsidR="008F4946" w:rsidRPr="009F0A6C" w:rsidRDefault="008F4946" w:rsidP="00872B96">
            <w:pPr>
              <w:ind w:right="138"/>
              <w:jc w:val="right"/>
            </w:pPr>
            <w:r w:rsidRPr="009F0A6C">
              <w:rPr>
                <w:rFonts w:cs="Arial"/>
                <w:spacing w:val="-2"/>
              </w:rPr>
              <w:t>═════</w:t>
            </w:r>
          </w:p>
        </w:tc>
        <w:tc>
          <w:tcPr>
            <w:tcW w:w="1418" w:type="dxa"/>
          </w:tcPr>
          <w:p w14:paraId="39C7B667" w14:textId="77777777" w:rsidR="008F4946" w:rsidRPr="009F0A6C" w:rsidRDefault="008F4946" w:rsidP="00872B96">
            <w:pPr>
              <w:ind w:right="138"/>
              <w:jc w:val="right"/>
            </w:pPr>
            <w:r w:rsidRPr="009F0A6C">
              <w:rPr>
                <w:rFonts w:cs="Arial"/>
                <w:spacing w:val="-2"/>
              </w:rPr>
              <w:t>═════</w:t>
            </w:r>
          </w:p>
        </w:tc>
        <w:tc>
          <w:tcPr>
            <w:tcW w:w="1399" w:type="dxa"/>
          </w:tcPr>
          <w:p w14:paraId="3DAD5008" w14:textId="77777777" w:rsidR="008F4946" w:rsidRPr="009F0A6C" w:rsidRDefault="008F4946" w:rsidP="00872B96">
            <w:pPr>
              <w:ind w:right="138"/>
              <w:jc w:val="right"/>
            </w:pPr>
            <w:r w:rsidRPr="009F0A6C">
              <w:rPr>
                <w:rFonts w:cs="Arial"/>
                <w:spacing w:val="-2"/>
              </w:rPr>
              <w:t>═════</w:t>
            </w:r>
          </w:p>
        </w:tc>
      </w:tr>
    </w:tbl>
    <w:p w14:paraId="13301F97" w14:textId="77777777" w:rsidR="008F4946" w:rsidRPr="009F0A6C" w:rsidRDefault="008F4946" w:rsidP="008F4946">
      <w:pPr>
        <w:tabs>
          <w:tab w:val="left" w:pos="567"/>
          <w:tab w:val="left" w:pos="1134"/>
        </w:tabs>
        <w:rPr>
          <w:b/>
        </w:rPr>
      </w:pPr>
    </w:p>
    <w:tbl>
      <w:tblPr>
        <w:tblW w:w="10314" w:type="dxa"/>
        <w:tblLayout w:type="fixed"/>
        <w:tblLook w:val="0000" w:firstRow="0" w:lastRow="0" w:firstColumn="0" w:lastColumn="0" w:noHBand="0" w:noVBand="0"/>
      </w:tblPr>
      <w:tblGrid>
        <w:gridCol w:w="4644"/>
        <w:gridCol w:w="1418"/>
        <w:gridCol w:w="1417"/>
        <w:gridCol w:w="1418"/>
        <w:gridCol w:w="1417"/>
      </w:tblGrid>
      <w:tr w:rsidR="008F4946" w:rsidRPr="009F0A6C" w14:paraId="6AAC1F9A" w14:textId="77777777" w:rsidTr="00E57CC1">
        <w:tc>
          <w:tcPr>
            <w:tcW w:w="4644" w:type="dxa"/>
          </w:tcPr>
          <w:p w14:paraId="3838B108" w14:textId="77777777" w:rsidR="008F4946" w:rsidRPr="009F0A6C" w:rsidRDefault="008F4946" w:rsidP="00872B96">
            <w:pPr>
              <w:ind w:left="574"/>
              <w:jc w:val="both"/>
            </w:pPr>
            <w:r w:rsidRPr="009F0A6C">
              <w:t>Non-current</w:t>
            </w:r>
          </w:p>
        </w:tc>
        <w:tc>
          <w:tcPr>
            <w:tcW w:w="1418" w:type="dxa"/>
          </w:tcPr>
          <w:p w14:paraId="71EC5D30" w14:textId="77777777" w:rsidR="008F4946" w:rsidRPr="009F0A6C" w:rsidRDefault="008F4946" w:rsidP="00872B96">
            <w:pPr>
              <w:suppressAutoHyphens/>
              <w:ind w:right="138"/>
              <w:jc w:val="right"/>
              <w:rPr>
                <w:rFonts w:cs="Arial"/>
                <w:spacing w:val="-2"/>
              </w:rPr>
            </w:pPr>
            <w:r w:rsidRPr="009F0A6C">
              <w:rPr>
                <w:rFonts w:cs="Arial"/>
                <w:spacing w:val="-2"/>
              </w:rPr>
              <w:t>-</w:t>
            </w:r>
          </w:p>
        </w:tc>
        <w:tc>
          <w:tcPr>
            <w:tcW w:w="1417" w:type="dxa"/>
          </w:tcPr>
          <w:p w14:paraId="13C0001D" w14:textId="77777777" w:rsidR="008F4946" w:rsidRPr="009F0A6C" w:rsidRDefault="008F4946" w:rsidP="00872B96">
            <w:pPr>
              <w:suppressAutoHyphens/>
              <w:ind w:right="138"/>
              <w:jc w:val="right"/>
              <w:rPr>
                <w:rFonts w:cs="Arial"/>
                <w:spacing w:val="-2"/>
              </w:rPr>
            </w:pPr>
            <w:r w:rsidRPr="009F0A6C">
              <w:rPr>
                <w:rFonts w:cs="Arial"/>
                <w:spacing w:val="-2"/>
              </w:rPr>
              <w:t>-</w:t>
            </w:r>
          </w:p>
        </w:tc>
        <w:tc>
          <w:tcPr>
            <w:tcW w:w="1418" w:type="dxa"/>
          </w:tcPr>
          <w:p w14:paraId="47D10DCF" w14:textId="77777777" w:rsidR="008F4946" w:rsidRPr="009F0A6C" w:rsidRDefault="008F4946" w:rsidP="00872B96">
            <w:pPr>
              <w:suppressAutoHyphens/>
              <w:ind w:right="138"/>
              <w:jc w:val="right"/>
              <w:rPr>
                <w:rFonts w:cs="Arial"/>
                <w:spacing w:val="-2"/>
              </w:rPr>
            </w:pPr>
            <w:r w:rsidRPr="009F0A6C">
              <w:rPr>
                <w:rFonts w:cs="Arial"/>
                <w:spacing w:val="-2"/>
              </w:rPr>
              <w:t>-</w:t>
            </w:r>
          </w:p>
        </w:tc>
        <w:tc>
          <w:tcPr>
            <w:tcW w:w="1417" w:type="dxa"/>
          </w:tcPr>
          <w:p w14:paraId="3A0B9DA9" w14:textId="77777777" w:rsidR="008F4946" w:rsidRPr="009F0A6C" w:rsidRDefault="008F4946" w:rsidP="00872B96">
            <w:pPr>
              <w:suppressAutoHyphens/>
              <w:ind w:right="138"/>
              <w:jc w:val="right"/>
              <w:rPr>
                <w:rFonts w:cs="Arial"/>
                <w:spacing w:val="-2"/>
              </w:rPr>
            </w:pPr>
            <w:r w:rsidRPr="009F0A6C">
              <w:rPr>
                <w:rFonts w:cs="Arial"/>
                <w:spacing w:val="-2"/>
              </w:rPr>
              <w:t>-</w:t>
            </w:r>
          </w:p>
        </w:tc>
      </w:tr>
      <w:tr w:rsidR="008F4946" w:rsidRPr="009F0A6C" w14:paraId="4D666575" w14:textId="77777777" w:rsidTr="00E57CC1">
        <w:tc>
          <w:tcPr>
            <w:tcW w:w="4644" w:type="dxa"/>
          </w:tcPr>
          <w:p w14:paraId="68455486" w14:textId="77777777" w:rsidR="008F4946" w:rsidRPr="009F0A6C" w:rsidRDefault="008F4946" w:rsidP="00872B96">
            <w:pPr>
              <w:ind w:left="574"/>
              <w:jc w:val="both"/>
            </w:pPr>
            <w:r w:rsidRPr="009F0A6C">
              <w:t>Current</w:t>
            </w:r>
          </w:p>
        </w:tc>
        <w:tc>
          <w:tcPr>
            <w:tcW w:w="1418" w:type="dxa"/>
          </w:tcPr>
          <w:p w14:paraId="46C88301" w14:textId="77777777" w:rsidR="008F4946" w:rsidRPr="009F0A6C" w:rsidRDefault="008F4946" w:rsidP="00872B96">
            <w:pPr>
              <w:suppressAutoHyphens/>
              <w:ind w:right="138"/>
              <w:jc w:val="right"/>
              <w:rPr>
                <w:rFonts w:cs="Arial"/>
                <w:spacing w:val="-2"/>
              </w:rPr>
            </w:pPr>
            <w:r w:rsidRPr="009F0A6C">
              <w:rPr>
                <w:rFonts w:cs="Arial"/>
                <w:spacing w:val="-2"/>
              </w:rPr>
              <w:t>14,</w:t>
            </w:r>
            <w:r w:rsidR="00A84B35">
              <w:rPr>
                <w:rFonts w:cs="Arial"/>
                <w:spacing w:val="-2"/>
              </w:rPr>
              <w:t>104</w:t>
            </w:r>
          </w:p>
        </w:tc>
        <w:tc>
          <w:tcPr>
            <w:tcW w:w="1417" w:type="dxa"/>
          </w:tcPr>
          <w:p w14:paraId="15568D8A" w14:textId="77777777" w:rsidR="008F4946" w:rsidRPr="009F0A6C" w:rsidRDefault="008F4946" w:rsidP="00872B96">
            <w:pPr>
              <w:suppressAutoHyphens/>
              <w:ind w:right="138"/>
              <w:jc w:val="right"/>
              <w:rPr>
                <w:rFonts w:cs="Arial"/>
                <w:spacing w:val="-2"/>
              </w:rPr>
            </w:pPr>
            <w:r w:rsidRPr="009F0A6C">
              <w:rPr>
                <w:rFonts w:cs="Arial"/>
                <w:spacing w:val="-2"/>
              </w:rPr>
              <w:t>11,436</w:t>
            </w:r>
          </w:p>
        </w:tc>
        <w:tc>
          <w:tcPr>
            <w:tcW w:w="1418" w:type="dxa"/>
          </w:tcPr>
          <w:p w14:paraId="3480A83F" w14:textId="77777777" w:rsidR="008F4946" w:rsidRPr="009F0A6C" w:rsidRDefault="008F4946" w:rsidP="00872B96">
            <w:pPr>
              <w:suppressAutoHyphens/>
              <w:ind w:right="138"/>
              <w:jc w:val="right"/>
              <w:rPr>
                <w:rFonts w:cs="Arial"/>
                <w:spacing w:val="-2"/>
              </w:rPr>
            </w:pPr>
            <w:r w:rsidRPr="009F0A6C">
              <w:rPr>
                <w:rFonts w:cs="Arial"/>
                <w:spacing w:val="-2"/>
              </w:rPr>
              <w:t>114</w:t>
            </w:r>
          </w:p>
        </w:tc>
        <w:tc>
          <w:tcPr>
            <w:tcW w:w="1417" w:type="dxa"/>
          </w:tcPr>
          <w:p w14:paraId="46C34CCE" w14:textId="77777777" w:rsidR="008F4946" w:rsidRPr="009F0A6C" w:rsidRDefault="008F4946" w:rsidP="00872B96">
            <w:pPr>
              <w:suppressAutoHyphens/>
              <w:ind w:right="138"/>
              <w:jc w:val="right"/>
              <w:rPr>
                <w:rFonts w:cs="Arial"/>
                <w:spacing w:val="-2"/>
              </w:rPr>
            </w:pPr>
            <w:r w:rsidRPr="009F0A6C">
              <w:rPr>
                <w:rFonts w:cs="Arial"/>
                <w:spacing w:val="-2"/>
              </w:rPr>
              <w:t>2,963</w:t>
            </w:r>
          </w:p>
        </w:tc>
      </w:tr>
      <w:tr w:rsidR="008F4946" w:rsidRPr="009F0A6C" w14:paraId="6EF35003" w14:textId="77777777" w:rsidTr="00E57CC1">
        <w:tc>
          <w:tcPr>
            <w:tcW w:w="4644" w:type="dxa"/>
          </w:tcPr>
          <w:p w14:paraId="6C4F258C" w14:textId="77777777" w:rsidR="008F4946" w:rsidRPr="009F0A6C" w:rsidRDefault="008F4946" w:rsidP="00872B96">
            <w:pPr>
              <w:jc w:val="both"/>
            </w:pPr>
          </w:p>
        </w:tc>
        <w:tc>
          <w:tcPr>
            <w:tcW w:w="1418" w:type="dxa"/>
          </w:tcPr>
          <w:p w14:paraId="33606937" w14:textId="77777777" w:rsidR="008F4946" w:rsidRPr="009F0A6C" w:rsidRDefault="008F4946" w:rsidP="00872B96">
            <w:pPr>
              <w:jc w:val="right"/>
            </w:pPr>
            <w:r w:rsidRPr="009F0A6C">
              <w:t>─────</w:t>
            </w:r>
          </w:p>
        </w:tc>
        <w:tc>
          <w:tcPr>
            <w:tcW w:w="1417" w:type="dxa"/>
          </w:tcPr>
          <w:p w14:paraId="14B1387A" w14:textId="77777777" w:rsidR="008F4946" w:rsidRPr="009F0A6C" w:rsidRDefault="008F4946" w:rsidP="00872B96">
            <w:pPr>
              <w:ind w:right="113"/>
              <w:jc w:val="right"/>
            </w:pPr>
            <w:r w:rsidRPr="009F0A6C">
              <w:t>─────</w:t>
            </w:r>
          </w:p>
        </w:tc>
        <w:tc>
          <w:tcPr>
            <w:tcW w:w="1418" w:type="dxa"/>
          </w:tcPr>
          <w:p w14:paraId="6DD05D76" w14:textId="77777777" w:rsidR="008F4946" w:rsidRPr="009F0A6C" w:rsidRDefault="008F4946" w:rsidP="00872B96">
            <w:pPr>
              <w:suppressAutoHyphens/>
              <w:ind w:right="138"/>
              <w:jc w:val="right"/>
              <w:rPr>
                <w:rFonts w:cs="Arial"/>
                <w:spacing w:val="-2"/>
              </w:rPr>
            </w:pPr>
            <w:r w:rsidRPr="009F0A6C">
              <w:rPr>
                <w:rFonts w:cs="Arial"/>
                <w:spacing w:val="-2"/>
              </w:rPr>
              <w:t>─────</w:t>
            </w:r>
          </w:p>
        </w:tc>
        <w:tc>
          <w:tcPr>
            <w:tcW w:w="1417" w:type="dxa"/>
          </w:tcPr>
          <w:p w14:paraId="6D9E5A19" w14:textId="77777777" w:rsidR="008F4946" w:rsidRPr="009F0A6C" w:rsidRDefault="008F4946" w:rsidP="00872B96">
            <w:pPr>
              <w:suppressAutoHyphens/>
              <w:ind w:right="138"/>
              <w:jc w:val="right"/>
              <w:rPr>
                <w:rFonts w:cs="Arial"/>
                <w:spacing w:val="-2"/>
              </w:rPr>
            </w:pPr>
            <w:r w:rsidRPr="009F0A6C">
              <w:rPr>
                <w:rFonts w:cs="Arial"/>
                <w:spacing w:val="-2"/>
              </w:rPr>
              <w:t>─────</w:t>
            </w:r>
          </w:p>
        </w:tc>
      </w:tr>
      <w:tr w:rsidR="008F4946" w:rsidRPr="009F0A6C" w14:paraId="2B9B3E13" w14:textId="77777777" w:rsidTr="00E57CC1">
        <w:tc>
          <w:tcPr>
            <w:tcW w:w="4644" w:type="dxa"/>
          </w:tcPr>
          <w:p w14:paraId="075188B1" w14:textId="77777777" w:rsidR="008F4946" w:rsidRPr="009F0A6C" w:rsidRDefault="008F4946" w:rsidP="00872B96">
            <w:pPr>
              <w:jc w:val="both"/>
            </w:pPr>
          </w:p>
        </w:tc>
        <w:tc>
          <w:tcPr>
            <w:tcW w:w="1418" w:type="dxa"/>
          </w:tcPr>
          <w:p w14:paraId="5DF59CAE" w14:textId="77777777" w:rsidR="008F4946" w:rsidRPr="009F0A6C" w:rsidRDefault="008F4946" w:rsidP="00872B96">
            <w:pPr>
              <w:suppressAutoHyphens/>
              <w:jc w:val="right"/>
              <w:rPr>
                <w:rFonts w:cs="Arial"/>
                <w:spacing w:val="-2"/>
              </w:rPr>
            </w:pPr>
            <w:r w:rsidRPr="009F0A6C">
              <w:rPr>
                <w:rFonts w:cs="Arial"/>
                <w:spacing w:val="-2"/>
              </w:rPr>
              <w:t>14,029</w:t>
            </w:r>
          </w:p>
        </w:tc>
        <w:tc>
          <w:tcPr>
            <w:tcW w:w="1417" w:type="dxa"/>
          </w:tcPr>
          <w:p w14:paraId="3288A9C3" w14:textId="77777777" w:rsidR="008F4946" w:rsidRPr="009F0A6C" w:rsidRDefault="008F4946" w:rsidP="00872B96">
            <w:pPr>
              <w:suppressAutoHyphens/>
              <w:ind w:right="138"/>
              <w:jc w:val="right"/>
              <w:rPr>
                <w:rFonts w:cs="Arial"/>
                <w:spacing w:val="-2"/>
              </w:rPr>
            </w:pPr>
            <w:r w:rsidRPr="009F0A6C">
              <w:rPr>
                <w:rFonts w:cs="Arial"/>
                <w:spacing w:val="-2"/>
              </w:rPr>
              <w:t>11,436</w:t>
            </w:r>
          </w:p>
        </w:tc>
        <w:tc>
          <w:tcPr>
            <w:tcW w:w="1418" w:type="dxa"/>
          </w:tcPr>
          <w:p w14:paraId="3FE55C8E" w14:textId="77777777" w:rsidR="008F4946" w:rsidRPr="009F0A6C" w:rsidRDefault="008F4946" w:rsidP="00872B96">
            <w:pPr>
              <w:suppressAutoHyphens/>
              <w:ind w:right="138"/>
              <w:jc w:val="right"/>
              <w:rPr>
                <w:rFonts w:cs="Arial"/>
                <w:spacing w:val="-2"/>
              </w:rPr>
            </w:pPr>
            <w:r w:rsidRPr="009F0A6C">
              <w:rPr>
                <w:rFonts w:cs="Arial"/>
                <w:spacing w:val="-2"/>
              </w:rPr>
              <w:t>114</w:t>
            </w:r>
          </w:p>
        </w:tc>
        <w:tc>
          <w:tcPr>
            <w:tcW w:w="1417" w:type="dxa"/>
          </w:tcPr>
          <w:p w14:paraId="5D1C8EB3" w14:textId="77777777" w:rsidR="008F4946" w:rsidRPr="009F0A6C" w:rsidRDefault="008F4946" w:rsidP="00872B96">
            <w:pPr>
              <w:suppressAutoHyphens/>
              <w:ind w:right="138"/>
              <w:jc w:val="right"/>
              <w:rPr>
                <w:rFonts w:cs="Arial"/>
                <w:spacing w:val="-2"/>
              </w:rPr>
            </w:pPr>
            <w:r w:rsidRPr="009F0A6C">
              <w:rPr>
                <w:rFonts w:cs="Arial"/>
                <w:spacing w:val="-2"/>
              </w:rPr>
              <w:t>2,963</w:t>
            </w:r>
          </w:p>
        </w:tc>
      </w:tr>
      <w:tr w:rsidR="008F4946" w:rsidRPr="009F0A6C" w14:paraId="77C3363D" w14:textId="77777777" w:rsidTr="00E57CC1">
        <w:tc>
          <w:tcPr>
            <w:tcW w:w="4644" w:type="dxa"/>
          </w:tcPr>
          <w:p w14:paraId="7DA91898" w14:textId="77777777" w:rsidR="008F4946" w:rsidRPr="009F0A6C" w:rsidRDefault="008F4946" w:rsidP="00872B96">
            <w:pPr>
              <w:jc w:val="both"/>
            </w:pPr>
          </w:p>
        </w:tc>
        <w:tc>
          <w:tcPr>
            <w:tcW w:w="1418" w:type="dxa"/>
          </w:tcPr>
          <w:p w14:paraId="5B217A2D" w14:textId="77777777" w:rsidR="008F4946" w:rsidRPr="009F0A6C" w:rsidRDefault="008F4946" w:rsidP="00872B96">
            <w:pPr>
              <w:jc w:val="right"/>
            </w:pPr>
            <w:r w:rsidRPr="009F0A6C">
              <w:rPr>
                <w:rFonts w:cs="Arial"/>
                <w:spacing w:val="-2"/>
              </w:rPr>
              <w:t>═════</w:t>
            </w:r>
          </w:p>
        </w:tc>
        <w:tc>
          <w:tcPr>
            <w:tcW w:w="1417" w:type="dxa"/>
          </w:tcPr>
          <w:p w14:paraId="2E58ED09" w14:textId="77777777" w:rsidR="008F4946" w:rsidRPr="009F0A6C" w:rsidRDefault="008F4946" w:rsidP="00872B96">
            <w:pPr>
              <w:ind w:right="113"/>
              <w:jc w:val="right"/>
            </w:pPr>
            <w:r w:rsidRPr="009F0A6C">
              <w:rPr>
                <w:rFonts w:cs="Arial"/>
                <w:spacing w:val="-2"/>
              </w:rPr>
              <w:t>═════</w:t>
            </w:r>
          </w:p>
        </w:tc>
        <w:tc>
          <w:tcPr>
            <w:tcW w:w="1418" w:type="dxa"/>
          </w:tcPr>
          <w:p w14:paraId="248A4032" w14:textId="77777777" w:rsidR="008F4946" w:rsidRPr="009F0A6C" w:rsidRDefault="008F4946" w:rsidP="00872B96">
            <w:pPr>
              <w:suppressAutoHyphens/>
              <w:ind w:right="138"/>
              <w:jc w:val="right"/>
              <w:rPr>
                <w:rFonts w:cs="Arial"/>
                <w:spacing w:val="-2"/>
              </w:rPr>
            </w:pPr>
            <w:r w:rsidRPr="009F0A6C">
              <w:rPr>
                <w:rFonts w:cs="Arial"/>
                <w:spacing w:val="-2"/>
              </w:rPr>
              <w:t>═════</w:t>
            </w:r>
          </w:p>
        </w:tc>
        <w:tc>
          <w:tcPr>
            <w:tcW w:w="1417" w:type="dxa"/>
          </w:tcPr>
          <w:p w14:paraId="66CD9468" w14:textId="77777777" w:rsidR="008F4946" w:rsidRPr="009F0A6C" w:rsidRDefault="008F4946" w:rsidP="00872B96">
            <w:pPr>
              <w:suppressAutoHyphens/>
              <w:ind w:right="138"/>
              <w:jc w:val="right"/>
              <w:rPr>
                <w:rFonts w:cs="Arial"/>
                <w:spacing w:val="-2"/>
              </w:rPr>
            </w:pPr>
            <w:r w:rsidRPr="009F0A6C">
              <w:rPr>
                <w:rFonts w:cs="Arial"/>
                <w:spacing w:val="-2"/>
              </w:rPr>
              <w:t>═════</w:t>
            </w:r>
          </w:p>
        </w:tc>
      </w:tr>
    </w:tbl>
    <w:p w14:paraId="1704C7E9" w14:textId="77777777" w:rsidR="008F4946" w:rsidRPr="00372501" w:rsidRDefault="008F4946" w:rsidP="008F4946">
      <w:pPr>
        <w:tabs>
          <w:tab w:val="left" w:pos="567"/>
          <w:tab w:val="left" w:pos="1134"/>
        </w:tabs>
        <w:ind w:left="567" w:hanging="567"/>
        <w:rPr>
          <w:b/>
        </w:rPr>
      </w:pPr>
    </w:p>
    <w:p w14:paraId="2D75F1F7" w14:textId="77777777" w:rsidR="008F4946" w:rsidRPr="00372501" w:rsidRDefault="008F4946" w:rsidP="008F4946">
      <w:pPr>
        <w:tabs>
          <w:tab w:val="left" w:pos="567"/>
          <w:tab w:val="left" w:pos="1134"/>
        </w:tabs>
        <w:ind w:left="567" w:hanging="567"/>
      </w:pPr>
      <w:r w:rsidRPr="00372501">
        <w:tab/>
        <w:t>The Directors consider the fair value of receivables to be in line with carrying values.</w:t>
      </w:r>
    </w:p>
    <w:p w14:paraId="20D04CAD" w14:textId="77777777" w:rsidR="008F4946" w:rsidRDefault="008F4946" w:rsidP="008F4946"/>
    <w:p w14:paraId="721A484F" w14:textId="77777777" w:rsidR="00605EC0" w:rsidRPr="005461CD" w:rsidRDefault="00605EC0" w:rsidP="00A5227C">
      <w:pPr>
        <w:numPr>
          <w:ilvl w:val="0"/>
          <w:numId w:val="40"/>
        </w:numPr>
        <w:tabs>
          <w:tab w:val="num" w:pos="546"/>
        </w:tabs>
        <w:ind w:left="360"/>
        <w:rPr>
          <w:b/>
        </w:rPr>
      </w:pPr>
      <w:r w:rsidRPr="005461CD">
        <w:rPr>
          <w:b/>
        </w:rPr>
        <w:t>Cash and cash equivalents</w:t>
      </w:r>
    </w:p>
    <w:p w14:paraId="7554F921" w14:textId="77777777" w:rsidR="00605EC0" w:rsidRPr="005461CD" w:rsidRDefault="00605EC0" w:rsidP="00605EC0">
      <w:pPr>
        <w:tabs>
          <w:tab w:val="left" w:pos="1134"/>
        </w:tabs>
        <w:ind w:left="360"/>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418"/>
        <w:gridCol w:w="1417"/>
        <w:gridCol w:w="1418"/>
        <w:gridCol w:w="1417"/>
      </w:tblGrid>
      <w:tr w:rsidR="00605EC0" w:rsidRPr="005461CD" w14:paraId="0C259D2D" w14:textId="77777777" w:rsidTr="00672ACD">
        <w:tc>
          <w:tcPr>
            <w:tcW w:w="4644" w:type="dxa"/>
            <w:tcBorders>
              <w:top w:val="nil"/>
              <w:left w:val="nil"/>
              <w:bottom w:val="nil"/>
              <w:right w:val="nil"/>
            </w:tcBorders>
          </w:tcPr>
          <w:p w14:paraId="57E65FB2" w14:textId="77777777" w:rsidR="00605EC0" w:rsidRPr="005461CD" w:rsidRDefault="00605EC0" w:rsidP="00872B96">
            <w:pPr>
              <w:suppressAutoHyphens/>
              <w:rPr>
                <w:rFonts w:cs="Arial"/>
                <w:spacing w:val="-2"/>
              </w:rPr>
            </w:pPr>
          </w:p>
        </w:tc>
        <w:tc>
          <w:tcPr>
            <w:tcW w:w="2835" w:type="dxa"/>
            <w:gridSpan w:val="2"/>
            <w:tcBorders>
              <w:top w:val="nil"/>
              <w:left w:val="nil"/>
              <w:bottom w:val="nil"/>
              <w:right w:val="nil"/>
            </w:tcBorders>
          </w:tcPr>
          <w:p w14:paraId="3BF2217B" w14:textId="77777777" w:rsidR="00605EC0" w:rsidRPr="005461CD" w:rsidRDefault="00605EC0" w:rsidP="00872B96">
            <w:pPr>
              <w:ind w:left="282"/>
              <w:jc w:val="center"/>
              <w:rPr>
                <w:b/>
              </w:rPr>
            </w:pPr>
            <w:r w:rsidRPr="005461CD">
              <w:rPr>
                <w:b/>
              </w:rPr>
              <w:t xml:space="preserve"> Consolidated Group</w:t>
            </w:r>
          </w:p>
        </w:tc>
        <w:tc>
          <w:tcPr>
            <w:tcW w:w="2835" w:type="dxa"/>
            <w:gridSpan w:val="2"/>
            <w:tcBorders>
              <w:top w:val="nil"/>
              <w:left w:val="nil"/>
              <w:bottom w:val="nil"/>
              <w:right w:val="nil"/>
            </w:tcBorders>
          </w:tcPr>
          <w:p w14:paraId="52FB4226" w14:textId="77777777" w:rsidR="00605EC0" w:rsidRPr="005461CD" w:rsidRDefault="00605EC0" w:rsidP="00872B96">
            <w:pPr>
              <w:ind w:left="238"/>
              <w:jc w:val="center"/>
              <w:rPr>
                <w:b/>
              </w:rPr>
            </w:pPr>
            <w:r w:rsidRPr="005461CD">
              <w:rPr>
                <w:b/>
              </w:rPr>
              <w:t>Parent Entity</w:t>
            </w:r>
          </w:p>
        </w:tc>
      </w:tr>
      <w:tr w:rsidR="00605EC0" w:rsidRPr="00C328EF" w14:paraId="3A3FD5DC" w14:textId="77777777" w:rsidTr="00672ACD">
        <w:tc>
          <w:tcPr>
            <w:tcW w:w="4644" w:type="dxa"/>
            <w:tcBorders>
              <w:top w:val="nil"/>
              <w:left w:val="nil"/>
              <w:bottom w:val="nil"/>
              <w:right w:val="nil"/>
            </w:tcBorders>
          </w:tcPr>
          <w:p w14:paraId="1A0B7402" w14:textId="77777777" w:rsidR="00605EC0" w:rsidRPr="003114B6" w:rsidRDefault="00605EC0" w:rsidP="00872B96">
            <w:pPr>
              <w:suppressAutoHyphens/>
              <w:rPr>
                <w:rFonts w:cs="Arial"/>
                <w:spacing w:val="-2"/>
              </w:rPr>
            </w:pPr>
          </w:p>
        </w:tc>
        <w:tc>
          <w:tcPr>
            <w:tcW w:w="1418" w:type="dxa"/>
            <w:tcBorders>
              <w:top w:val="nil"/>
              <w:left w:val="nil"/>
              <w:bottom w:val="nil"/>
              <w:right w:val="nil"/>
            </w:tcBorders>
          </w:tcPr>
          <w:p w14:paraId="446E2E18" w14:textId="77777777" w:rsidR="00605EC0" w:rsidRPr="003114B6" w:rsidRDefault="004037D2" w:rsidP="00872B96">
            <w:pPr>
              <w:suppressAutoHyphens/>
              <w:ind w:right="127"/>
              <w:jc w:val="right"/>
              <w:rPr>
                <w:rFonts w:cs="Arial"/>
                <w:b/>
                <w:spacing w:val="-2"/>
              </w:rPr>
            </w:pPr>
            <w:r>
              <w:rPr>
                <w:rFonts w:cs="Arial"/>
                <w:b/>
                <w:spacing w:val="-2"/>
              </w:rPr>
              <w:t>28/12/</w:t>
            </w:r>
            <w:r w:rsidR="00605EC0" w:rsidRPr="003114B6">
              <w:rPr>
                <w:rFonts w:cs="Arial"/>
                <w:b/>
                <w:spacing w:val="-2"/>
              </w:rPr>
              <w:t>202</w:t>
            </w:r>
            <w:r w:rsidR="00605EC0">
              <w:rPr>
                <w:rFonts w:cs="Arial"/>
                <w:b/>
                <w:spacing w:val="-2"/>
              </w:rPr>
              <w:t>4</w:t>
            </w:r>
          </w:p>
        </w:tc>
        <w:tc>
          <w:tcPr>
            <w:tcW w:w="1417" w:type="dxa"/>
            <w:tcBorders>
              <w:top w:val="nil"/>
              <w:left w:val="nil"/>
              <w:bottom w:val="nil"/>
              <w:right w:val="nil"/>
            </w:tcBorders>
          </w:tcPr>
          <w:p w14:paraId="51EB1F7E" w14:textId="77777777" w:rsidR="00605EC0" w:rsidRPr="003114B6" w:rsidRDefault="004037D2" w:rsidP="00872B96">
            <w:pPr>
              <w:suppressAutoHyphens/>
              <w:ind w:right="127"/>
              <w:jc w:val="right"/>
              <w:rPr>
                <w:rFonts w:cs="Arial"/>
                <w:b/>
                <w:spacing w:val="-2"/>
              </w:rPr>
            </w:pPr>
            <w:r>
              <w:rPr>
                <w:rFonts w:cs="Arial"/>
                <w:b/>
                <w:spacing w:val="-2"/>
              </w:rPr>
              <w:t>30/12/</w:t>
            </w:r>
            <w:r w:rsidR="00605EC0" w:rsidRPr="003114B6">
              <w:rPr>
                <w:rFonts w:cs="Arial"/>
                <w:b/>
                <w:spacing w:val="-2"/>
              </w:rPr>
              <w:t>202</w:t>
            </w:r>
            <w:r w:rsidR="00605EC0">
              <w:rPr>
                <w:rFonts w:cs="Arial"/>
                <w:b/>
                <w:spacing w:val="-2"/>
              </w:rPr>
              <w:t>3</w:t>
            </w:r>
          </w:p>
        </w:tc>
        <w:tc>
          <w:tcPr>
            <w:tcW w:w="1418" w:type="dxa"/>
            <w:tcBorders>
              <w:top w:val="nil"/>
              <w:left w:val="nil"/>
              <w:bottom w:val="nil"/>
              <w:right w:val="nil"/>
            </w:tcBorders>
          </w:tcPr>
          <w:p w14:paraId="4423F745" w14:textId="77777777" w:rsidR="00605EC0" w:rsidRPr="003114B6" w:rsidRDefault="004037D2" w:rsidP="00872B96">
            <w:pPr>
              <w:suppressAutoHyphens/>
              <w:ind w:right="81"/>
              <w:jc w:val="right"/>
              <w:rPr>
                <w:rFonts w:cs="Arial"/>
                <w:b/>
                <w:spacing w:val="-2"/>
              </w:rPr>
            </w:pPr>
            <w:r>
              <w:rPr>
                <w:rFonts w:cs="Arial"/>
                <w:b/>
                <w:spacing w:val="-2"/>
              </w:rPr>
              <w:t>28/12/</w:t>
            </w:r>
            <w:r w:rsidR="00605EC0" w:rsidRPr="003114B6">
              <w:rPr>
                <w:rFonts w:cs="Arial"/>
                <w:b/>
                <w:spacing w:val="-2"/>
              </w:rPr>
              <w:t>202</w:t>
            </w:r>
            <w:r w:rsidR="00605EC0">
              <w:rPr>
                <w:rFonts w:cs="Arial"/>
                <w:b/>
                <w:spacing w:val="-2"/>
              </w:rPr>
              <w:t>4</w:t>
            </w:r>
          </w:p>
        </w:tc>
        <w:tc>
          <w:tcPr>
            <w:tcW w:w="1417" w:type="dxa"/>
            <w:tcBorders>
              <w:top w:val="nil"/>
              <w:left w:val="nil"/>
              <w:bottom w:val="nil"/>
              <w:right w:val="nil"/>
            </w:tcBorders>
          </w:tcPr>
          <w:p w14:paraId="32D1EB62" w14:textId="77777777" w:rsidR="00605EC0" w:rsidRPr="003114B6" w:rsidRDefault="004037D2" w:rsidP="00872B96">
            <w:pPr>
              <w:suppressAutoHyphens/>
              <w:jc w:val="right"/>
              <w:rPr>
                <w:rFonts w:cs="Arial"/>
                <w:b/>
                <w:spacing w:val="-2"/>
              </w:rPr>
            </w:pPr>
            <w:r>
              <w:rPr>
                <w:rFonts w:cs="Arial"/>
                <w:b/>
                <w:spacing w:val="-2"/>
              </w:rPr>
              <w:t>30/12/</w:t>
            </w:r>
            <w:r w:rsidR="00605EC0" w:rsidRPr="003114B6">
              <w:rPr>
                <w:rFonts w:cs="Arial"/>
                <w:b/>
                <w:spacing w:val="-2"/>
              </w:rPr>
              <w:t>202</w:t>
            </w:r>
            <w:r w:rsidR="00605EC0">
              <w:rPr>
                <w:rFonts w:cs="Arial"/>
                <w:b/>
                <w:spacing w:val="-2"/>
              </w:rPr>
              <w:t>3</w:t>
            </w:r>
          </w:p>
        </w:tc>
      </w:tr>
      <w:tr w:rsidR="00605EC0" w:rsidRPr="00C328EF" w14:paraId="5B8764F9" w14:textId="77777777" w:rsidTr="00672ACD">
        <w:tc>
          <w:tcPr>
            <w:tcW w:w="4644" w:type="dxa"/>
            <w:tcBorders>
              <w:top w:val="nil"/>
              <w:left w:val="nil"/>
              <w:bottom w:val="nil"/>
              <w:right w:val="nil"/>
            </w:tcBorders>
          </w:tcPr>
          <w:p w14:paraId="3DFC28CC" w14:textId="77777777" w:rsidR="00605EC0" w:rsidRPr="003114B6" w:rsidRDefault="00605EC0" w:rsidP="00872B96">
            <w:pPr>
              <w:suppressAutoHyphens/>
              <w:ind w:left="588"/>
              <w:rPr>
                <w:rFonts w:cs="Arial"/>
                <w:spacing w:val="-2"/>
              </w:rPr>
            </w:pPr>
          </w:p>
        </w:tc>
        <w:tc>
          <w:tcPr>
            <w:tcW w:w="1418" w:type="dxa"/>
            <w:tcBorders>
              <w:top w:val="nil"/>
              <w:left w:val="nil"/>
              <w:bottom w:val="nil"/>
              <w:right w:val="nil"/>
            </w:tcBorders>
          </w:tcPr>
          <w:p w14:paraId="0DB5E5B7" w14:textId="77777777" w:rsidR="00605EC0" w:rsidRPr="003114B6" w:rsidRDefault="00605EC0" w:rsidP="00872B96">
            <w:pPr>
              <w:suppressAutoHyphens/>
              <w:ind w:right="127"/>
              <w:jc w:val="right"/>
              <w:rPr>
                <w:rFonts w:cs="Arial"/>
                <w:b/>
                <w:spacing w:val="-2"/>
              </w:rPr>
            </w:pPr>
            <w:r w:rsidRPr="003114B6">
              <w:rPr>
                <w:rFonts w:cs="Arial"/>
                <w:b/>
                <w:spacing w:val="-2"/>
              </w:rPr>
              <w:t>£’000</w:t>
            </w:r>
          </w:p>
        </w:tc>
        <w:tc>
          <w:tcPr>
            <w:tcW w:w="1417" w:type="dxa"/>
            <w:tcBorders>
              <w:top w:val="nil"/>
              <w:left w:val="nil"/>
              <w:bottom w:val="nil"/>
              <w:right w:val="nil"/>
            </w:tcBorders>
          </w:tcPr>
          <w:p w14:paraId="163A5B86" w14:textId="77777777" w:rsidR="00605EC0" w:rsidRPr="003114B6" w:rsidRDefault="00605EC0" w:rsidP="00872B96">
            <w:pPr>
              <w:suppressAutoHyphens/>
              <w:ind w:right="127"/>
              <w:jc w:val="right"/>
              <w:rPr>
                <w:rFonts w:cs="Arial"/>
                <w:b/>
                <w:spacing w:val="-2"/>
              </w:rPr>
            </w:pPr>
            <w:r w:rsidRPr="003114B6">
              <w:rPr>
                <w:rFonts w:cs="Arial"/>
                <w:b/>
                <w:spacing w:val="-2"/>
              </w:rPr>
              <w:t>£’000</w:t>
            </w:r>
          </w:p>
        </w:tc>
        <w:tc>
          <w:tcPr>
            <w:tcW w:w="1418" w:type="dxa"/>
            <w:tcBorders>
              <w:top w:val="nil"/>
              <w:left w:val="nil"/>
              <w:bottom w:val="nil"/>
              <w:right w:val="nil"/>
            </w:tcBorders>
          </w:tcPr>
          <w:p w14:paraId="57D5E671" w14:textId="77777777" w:rsidR="00605EC0" w:rsidRPr="003114B6" w:rsidRDefault="00605EC0" w:rsidP="00872B96">
            <w:pPr>
              <w:suppressAutoHyphens/>
              <w:ind w:right="81"/>
              <w:jc w:val="right"/>
              <w:rPr>
                <w:rFonts w:cs="Arial"/>
                <w:b/>
                <w:spacing w:val="-2"/>
              </w:rPr>
            </w:pPr>
            <w:r w:rsidRPr="003114B6">
              <w:rPr>
                <w:rFonts w:cs="Arial"/>
                <w:b/>
                <w:spacing w:val="-2"/>
              </w:rPr>
              <w:t>£’000</w:t>
            </w:r>
          </w:p>
        </w:tc>
        <w:tc>
          <w:tcPr>
            <w:tcW w:w="1417" w:type="dxa"/>
            <w:tcBorders>
              <w:top w:val="nil"/>
              <w:left w:val="nil"/>
              <w:bottom w:val="nil"/>
              <w:right w:val="nil"/>
            </w:tcBorders>
          </w:tcPr>
          <w:p w14:paraId="43F650D2" w14:textId="77777777" w:rsidR="00605EC0" w:rsidRPr="003114B6" w:rsidRDefault="00605EC0" w:rsidP="00872B96">
            <w:pPr>
              <w:suppressAutoHyphens/>
              <w:jc w:val="right"/>
              <w:rPr>
                <w:rFonts w:cs="Arial"/>
                <w:b/>
                <w:spacing w:val="-2"/>
              </w:rPr>
            </w:pPr>
            <w:r w:rsidRPr="003114B6">
              <w:rPr>
                <w:rFonts w:cs="Arial"/>
                <w:b/>
                <w:spacing w:val="-2"/>
              </w:rPr>
              <w:t>£’000</w:t>
            </w:r>
          </w:p>
        </w:tc>
      </w:tr>
      <w:tr w:rsidR="00605EC0" w:rsidRPr="00C328EF" w14:paraId="2B4C438B" w14:textId="77777777" w:rsidTr="00672ACD">
        <w:tc>
          <w:tcPr>
            <w:tcW w:w="4644" w:type="dxa"/>
            <w:tcBorders>
              <w:top w:val="nil"/>
              <w:left w:val="nil"/>
              <w:bottom w:val="nil"/>
              <w:right w:val="nil"/>
            </w:tcBorders>
          </w:tcPr>
          <w:p w14:paraId="743998BE" w14:textId="77777777" w:rsidR="00605EC0" w:rsidRPr="003114B6" w:rsidRDefault="00605EC0" w:rsidP="00872B96">
            <w:pPr>
              <w:suppressAutoHyphens/>
              <w:ind w:left="588"/>
              <w:rPr>
                <w:rFonts w:cs="Arial"/>
                <w:spacing w:val="-2"/>
              </w:rPr>
            </w:pPr>
          </w:p>
        </w:tc>
        <w:tc>
          <w:tcPr>
            <w:tcW w:w="1418" w:type="dxa"/>
            <w:tcBorders>
              <w:top w:val="nil"/>
              <w:left w:val="nil"/>
              <w:bottom w:val="nil"/>
              <w:right w:val="nil"/>
            </w:tcBorders>
          </w:tcPr>
          <w:p w14:paraId="60A5ADA1" w14:textId="77777777" w:rsidR="00605EC0" w:rsidRPr="003114B6" w:rsidRDefault="00605EC0" w:rsidP="00872B96">
            <w:pPr>
              <w:suppressAutoHyphens/>
              <w:ind w:right="127"/>
              <w:jc w:val="center"/>
              <w:rPr>
                <w:rFonts w:cs="Arial"/>
                <w:b/>
                <w:spacing w:val="-2"/>
              </w:rPr>
            </w:pPr>
          </w:p>
        </w:tc>
        <w:tc>
          <w:tcPr>
            <w:tcW w:w="1417" w:type="dxa"/>
            <w:tcBorders>
              <w:top w:val="nil"/>
              <w:left w:val="nil"/>
              <w:bottom w:val="nil"/>
              <w:right w:val="nil"/>
            </w:tcBorders>
          </w:tcPr>
          <w:p w14:paraId="4F02D606" w14:textId="77777777" w:rsidR="00605EC0" w:rsidRPr="003114B6" w:rsidRDefault="00605EC0" w:rsidP="00872B96">
            <w:pPr>
              <w:suppressAutoHyphens/>
              <w:ind w:right="127"/>
              <w:jc w:val="center"/>
              <w:rPr>
                <w:rFonts w:cs="Arial"/>
                <w:b/>
                <w:spacing w:val="-2"/>
              </w:rPr>
            </w:pPr>
          </w:p>
        </w:tc>
        <w:tc>
          <w:tcPr>
            <w:tcW w:w="1418" w:type="dxa"/>
            <w:tcBorders>
              <w:top w:val="nil"/>
              <w:left w:val="nil"/>
              <w:bottom w:val="nil"/>
              <w:right w:val="nil"/>
            </w:tcBorders>
          </w:tcPr>
          <w:p w14:paraId="3AD98A88" w14:textId="77777777" w:rsidR="00605EC0" w:rsidRPr="003114B6" w:rsidRDefault="00605EC0" w:rsidP="00872B96">
            <w:pPr>
              <w:suppressAutoHyphens/>
              <w:ind w:right="81"/>
              <w:jc w:val="center"/>
              <w:rPr>
                <w:rFonts w:cs="Arial"/>
                <w:b/>
                <w:spacing w:val="-2"/>
              </w:rPr>
            </w:pPr>
          </w:p>
        </w:tc>
        <w:tc>
          <w:tcPr>
            <w:tcW w:w="1417" w:type="dxa"/>
            <w:tcBorders>
              <w:top w:val="nil"/>
              <w:left w:val="nil"/>
              <w:bottom w:val="nil"/>
              <w:right w:val="nil"/>
            </w:tcBorders>
          </w:tcPr>
          <w:p w14:paraId="46A461E4" w14:textId="77777777" w:rsidR="00605EC0" w:rsidRPr="003114B6" w:rsidRDefault="00605EC0" w:rsidP="00872B96">
            <w:pPr>
              <w:suppressAutoHyphens/>
              <w:jc w:val="center"/>
              <w:rPr>
                <w:rFonts w:cs="Arial"/>
                <w:b/>
                <w:spacing w:val="-2"/>
              </w:rPr>
            </w:pPr>
          </w:p>
        </w:tc>
      </w:tr>
      <w:tr w:rsidR="00605EC0" w:rsidRPr="00C328EF" w14:paraId="427E25CE" w14:textId="77777777" w:rsidTr="00672ACD">
        <w:tc>
          <w:tcPr>
            <w:tcW w:w="4644" w:type="dxa"/>
            <w:tcBorders>
              <w:top w:val="nil"/>
              <w:left w:val="nil"/>
              <w:bottom w:val="nil"/>
              <w:right w:val="nil"/>
            </w:tcBorders>
          </w:tcPr>
          <w:p w14:paraId="27C7EB90" w14:textId="77777777" w:rsidR="00605EC0" w:rsidRPr="00C328EF" w:rsidRDefault="00605EC0" w:rsidP="00872B96">
            <w:pPr>
              <w:ind w:left="588"/>
              <w:rPr>
                <w:highlight w:val="yellow"/>
              </w:rPr>
            </w:pPr>
            <w:r w:rsidRPr="003114B6">
              <w:t>Cash at bank and in hand</w:t>
            </w:r>
          </w:p>
        </w:tc>
        <w:tc>
          <w:tcPr>
            <w:tcW w:w="1418" w:type="dxa"/>
            <w:tcBorders>
              <w:top w:val="nil"/>
              <w:left w:val="nil"/>
              <w:bottom w:val="nil"/>
              <w:right w:val="nil"/>
            </w:tcBorders>
          </w:tcPr>
          <w:p w14:paraId="3BA4B267" w14:textId="77777777" w:rsidR="00605EC0" w:rsidRPr="00E10B7E" w:rsidRDefault="00605EC0" w:rsidP="00872B96">
            <w:pPr>
              <w:suppressAutoHyphens/>
              <w:ind w:right="127"/>
              <w:jc w:val="right"/>
              <w:rPr>
                <w:rFonts w:cs="Arial"/>
                <w:spacing w:val="-2"/>
              </w:rPr>
            </w:pPr>
            <w:r w:rsidRPr="00E10B7E">
              <w:rPr>
                <w:rFonts w:cs="Arial"/>
                <w:spacing w:val="-2"/>
              </w:rPr>
              <w:t>34,200</w:t>
            </w:r>
          </w:p>
        </w:tc>
        <w:tc>
          <w:tcPr>
            <w:tcW w:w="1417" w:type="dxa"/>
            <w:tcBorders>
              <w:top w:val="nil"/>
              <w:left w:val="nil"/>
              <w:bottom w:val="nil"/>
              <w:right w:val="nil"/>
            </w:tcBorders>
          </w:tcPr>
          <w:p w14:paraId="385CF103" w14:textId="77777777" w:rsidR="00605EC0" w:rsidRPr="003114B6" w:rsidRDefault="00605EC0" w:rsidP="00872B96">
            <w:pPr>
              <w:suppressAutoHyphens/>
              <w:ind w:right="127"/>
              <w:jc w:val="right"/>
              <w:rPr>
                <w:rFonts w:cs="Arial"/>
                <w:spacing w:val="-2"/>
              </w:rPr>
            </w:pPr>
            <w:r w:rsidRPr="003114B6">
              <w:rPr>
                <w:rFonts w:cs="Arial"/>
                <w:spacing w:val="-2"/>
              </w:rPr>
              <w:t>47,915</w:t>
            </w:r>
          </w:p>
        </w:tc>
        <w:tc>
          <w:tcPr>
            <w:tcW w:w="1418" w:type="dxa"/>
            <w:tcBorders>
              <w:top w:val="nil"/>
              <w:left w:val="nil"/>
              <w:bottom w:val="nil"/>
              <w:right w:val="nil"/>
            </w:tcBorders>
          </w:tcPr>
          <w:p w14:paraId="6096C087" w14:textId="77777777" w:rsidR="00605EC0" w:rsidRPr="00F71B0C" w:rsidRDefault="00605EC0" w:rsidP="00872B96">
            <w:pPr>
              <w:suppressAutoHyphens/>
              <w:ind w:right="81"/>
              <w:jc w:val="right"/>
              <w:rPr>
                <w:rFonts w:cs="Arial"/>
                <w:spacing w:val="-2"/>
              </w:rPr>
            </w:pPr>
            <w:r w:rsidRPr="00F71B0C">
              <w:rPr>
                <w:rFonts w:cs="Arial"/>
                <w:spacing w:val="-2"/>
              </w:rPr>
              <w:t>217</w:t>
            </w:r>
          </w:p>
        </w:tc>
        <w:tc>
          <w:tcPr>
            <w:tcW w:w="1417" w:type="dxa"/>
            <w:tcBorders>
              <w:top w:val="nil"/>
              <w:left w:val="nil"/>
              <w:bottom w:val="nil"/>
              <w:right w:val="nil"/>
            </w:tcBorders>
          </w:tcPr>
          <w:p w14:paraId="1264DCFA" w14:textId="77777777" w:rsidR="00605EC0" w:rsidRPr="003114B6" w:rsidRDefault="00605EC0" w:rsidP="00872B96">
            <w:pPr>
              <w:suppressAutoHyphens/>
              <w:jc w:val="right"/>
              <w:rPr>
                <w:rFonts w:cs="Arial"/>
                <w:spacing w:val="-2"/>
              </w:rPr>
            </w:pPr>
            <w:r w:rsidRPr="003114B6">
              <w:rPr>
                <w:rFonts w:cs="Arial"/>
                <w:spacing w:val="-2"/>
              </w:rPr>
              <w:t>456</w:t>
            </w:r>
          </w:p>
        </w:tc>
      </w:tr>
      <w:tr w:rsidR="00605EC0" w:rsidRPr="00C328EF" w14:paraId="35CABF88" w14:textId="77777777" w:rsidTr="00672ACD">
        <w:tc>
          <w:tcPr>
            <w:tcW w:w="4644" w:type="dxa"/>
            <w:tcBorders>
              <w:top w:val="nil"/>
              <w:left w:val="nil"/>
              <w:bottom w:val="nil"/>
              <w:right w:val="nil"/>
            </w:tcBorders>
          </w:tcPr>
          <w:p w14:paraId="7C7D3882" w14:textId="77777777" w:rsidR="00605EC0" w:rsidRPr="00C328EF" w:rsidRDefault="00605EC0" w:rsidP="00872B96">
            <w:pPr>
              <w:suppressAutoHyphens/>
              <w:rPr>
                <w:rFonts w:cs="Arial"/>
                <w:spacing w:val="-2"/>
                <w:highlight w:val="yellow"/>
              </w:rPr>
            </w:pPr>
          </w:p>
        </w:tc>
        <w:tc>
          <w:tcPr>
            <w:tcW w:w="1418" w:type="dxa"/>
            <w:tcBorders>
              <w:top w:val="nil"/>
              <w:left w:val="nil"/>
              <w:bottom w:val="nil"/>
              <w:right w:val="nil"/>
            </w:tcBorders>
          </w:tcPr>
          <w:p w14:paraId="6AEDC9E9" w14:textId="77777777" w:rsidR="00605EC0" w:rsidRPr="00E10B7E" w:rsidRDefault="00605EC0" w:rsidP="00872B96">
            <w:pPr>
              <w:suppressAutoHyphens/>
              <w:ind w:right="127"/>
              <w:jc w:val="right"/>
              <w:rPr>
                <w:rFonts w:cs="Arial"/>
                <w:spacing w:val="-2"/>
              </w:rPr>
            </w:pPr>
            <w:r w:rsidRPr="00E10B7E">
              <w:rPr>
                <w:rFonts w:cs="Arial"/>
                <w:spacing w:val="-2"/>
              </w:rPr>
              <w:t>══════</w:t>
            </w:r>
          </w:p>
        </w:tc>
        <w:tc>
          <w:tcPr>
            <w:tcW w:w="1417" w:type="dxa"/>
            <w:tcBorders>
              <w:top w:val="nil"/>
              <w:left w:val="nil"/>
              <w:bottom w:val="nil"/>
              <w:right w:val="nil"/>
            </w:tcBorders>
          </w:tcPr>
          <w:p w14:paraId="3F67E50F" w14:textId="77777777" w:rsidR="00605EC0" w:rsidRPr="003114B6" w:rsidRDefault="00605EC0" w:rsidP="00872B96">
            <w:pPr>
              <w:suppressAutoHyphens/>
              <w:ind w:right="127"/>
              <w:jc w:val="right"/>
              <w:rPr>
                <w:rFonts w:cs="Arial"/>
                <w:spacing w:val="-2"/>
              </w:rPr>
            </w:pPr>
            <w:r w:rsidRPr="003114B6">
              <w:rPr>
                <w:rFonts w:cs="Arial"/>
                <w:spacing w:val="-2"/>
              </w:rPr>
              <w:t>══════</w:t>
            </w:r>
          </w:p>
        </w:tc>
        <w:tc>
          <w:tcPr>
            <w:tcW w:w="1418" w:type="dxa"/>
            <w:tcBorders>
              <w:top w:val="nil"/>
              <w:left w:val="nil"/>
              <w:bottom w:val="nil"/>
              <w:right w:val="nil"/>
            </w:tcBorders>
          </w:tcPr>
          <w:p w14:paraId="0FCB3C34" w14:textId="77777777" w:rsidR="00605EC0" w:rsidRPr="00F71B0C" w:rsidRDefault="00605EC0" w:rsidP="00872B96">
            <w:pPr>
              <w:suppressAutoHyphens/>
              <w:ind w:right="81"/>
              <w:jc w:val="right"/>
              <w:rPr>
                <w:rFonts w:cs="Arial"/>
                <w:spacing w:val="-2"/>
              </w:rPr>
            </w:pPr>
            <w:r w:rsidRPr="00F71B0C">
              <w:rPr>
                <w:rFonts w:cs="Arial"/>
                <w:spacing w:val="-2"/>
              </w:rPr>
              <w:t>═════</w:t>
            </w:r>
          </w:p>
        </w:tc>
        <w:tc>
          <w:tcPr>
            <w:tcW w:w="1417" w:type="dxa"/>
            <w:tcBorders>
              <w:top w:val="nil"/>
              <w:left w:val="nil"/>
              <w:bottom w:val="nil"/>
              <w:right w:val="nil"/>
            </w:tcBorders>
          </w:tcPr>
          <w:p w14:paraId="02D162DF" w14:textId="77777777" w:rsidR="00605EC0" w:rsidRPr="003114B6" w:rsidRDefault="00605EC0" w:rsidP="00872B96">
            <w:pPr>
              <w:suppressAutoHyphens/>
              <w:jc w:val="right"/>
              <w:rPr>
                <w:rFonts w:cs="Arial"/>
                <w:spacing w:val="-2"/>
              </w:rPr>
            </w:pPr>
            <w:r w:rsidRPr="003114B6">
              <w:rPr>
                <w:rFonts w:cs="Arial"/>
                <w:spacing w:val="-2"/>
              </w:rPr>
              <w:t>═════</w:t>
            </w:r>
          </w:p>
        </w:tc>
      </w:tr>
    </w:tbl>
    <w:p w14:paraId="3E2298EE" w14:textId="77777777" w:rsidR="00605EC0" w:rsidRPr="005B5B2A" w:rsidRDefault="00605EC0" w:rsidP="008F4946"/>
    <w:p w14:paraId="5051A8BE" w14:textId="77777777" w:rsidR="00965A04" w:rsidRPr="005461CD" w:rsidRDefault="00965A04" w:rsidP="00A5227C">
      <w:pPr>
        <w:numPr>
          <w:ilvl w:val="0"/>
          <w:numId w:val="40"/>
        </w:numPr>
        <w:tabs>
          <w:tab w:val="num" w:pos="546"/>
        </w:tabs>
        <w:ind w:left="360"/>
        <w:rPr>
          <w:b/>
        </w:rPr>
      </w:pPr>
      <w:r w:rsidRPr="005461CD">
        <w:rPr>
          <w:b/>
        </w:rPr>
        <w:t>Current liabilities</w:t>
      </w:r>
    </w:p>
    <w:tbl>
      <w:tblPr>
        <w:tblW w:w="10314" w:type="dxa"/>
        <w:tblLayout w:type="fixed"/>
        <w:tblLook w:val="01E0" w:firstRow="1" w:lastRow="1" w:firstColumn="1" w:lastColumn="1" w:noHBand="0" w:noVBand="0"/>
      </w:tblPr>
      <w:tblGrid>
        <w:gridCol w:w="4644"/>
        <w:gridCol w:w="1418"/>
        <w:gridCol w:w="1417"/>
        <w:gridCol w:w="1418"/>
        <w:gridCol w:w="1417"/>
      </w:tblGrid>
      <w:tr w:rsidR="00965A04" w:rsidRPr="005B5B2A" w14:paraId="3BF67141" w14:textId="77777777" w:rsidTr="00E57CC1">
        <w:tc>
          <w:tcPr>
            <w:tcW w:w="4644" w:type="dxa"/>
          </w:tcPr>
          <w:p w14:paraId="67C36965" w14:textId="77777777" w:rsidR="00965A04" w:rsidRPr="005461CD" w:rsidRDefault="00965A04" w:rsidP="001E59E6">
            <w:pPr>
              <w:suppressAutoHyphens/>
              <w:rPr>
                <w:rFonts w:cs="Arial"/>
                <w:spacing w:val="-2"/>
              </w:rPr>
            </w:pPr>
          </w:p>
        </w:tc>
        <w:tc>
          <w:tcPr>
            <w:tcW w:w="2835" w:type="dxa"/>
            <w:gridSpan w:val="2"/>
          </w:tcPr>
          <w:p w14:paraId="4EAF48DE" w14:textId="77777777" w:rsidR="00965A04" w:rsidRPr="005461CD" w:rsidRDefault="00965A04" w:rsidP="002C5260">
            <w:pPr>
              <w:ind w:left="283"/>
              <w:jc w:val="center"/>
              <w:rPr>
                <w:b/>
              </w:rPr>
            </w:pPr>
            <w:r w:rsidRPr="005461CD">
              <w:rPr>
                <w:b/>
              </w:rPr>
              <w:t xml:space="preserve">Consolidated </w:t>
            </w:r>
            <w:r w:rsidR="00AE08B2" w:rsidRPr="005461CD">
              <w:rPr>
                <w:b/>
              </w:rPr>
              <w:t>Group</w:t>
            </w:r>
          </w:p>
        </w:tc>
        <w:tc>
          <w:tcPr>
            <w:tcW w:w="2835" w:type="dxa"/>
            <w:gridSpan w:val="2"/>
          </w:tcPr>
          <w:p w14:paraId="358B4C2F" w14:textId="77777777" w:rsidR="00965A04" w:rsidRPr="005B5B2A" w:rsidRDefault="00965A04" w:rsidP="002C5260">
            <w:pPr>
              <w:ind w:left="283"/>
              <w:jc w:val="center"/>
              <w:rPr>
                <w:b/>
              </w:rPr>
            </w:pPr>
            <w:r w:rsidRPr="005461CD">
              <w:rPr>
                <w:b/>
              </w:rPr>
              <w:t>Parent</w:t>
            </w:r>
            <w:r w:rsidR="008009DB" w:rsidRPr="005461CD">
              <w:rPr>
                <w:b/>
              </w:rPr>
              <w:t xml:space="preserve"> </w:t>
            </w:r>
            <w:r w:rsidRPr="005461CD">
              <w:rPr>
                <w:b/>
              </w:rPr>
              <w:t>Entity</w:t>
            </w:r>
          </w:p>
        </w:tc>
      </w:tr>
      <w:tr w:rsidR="008B2E45" w:rsidRPr="00C328EF" w14:paraId="4544DED1" w14:textId="77777777" w:rsidTr="00E57CC1">
        <w:tc>
          <w:tcPr>
            <w:tcW w:w="4644" w:type="dxa"/>
          </w:tcPr>
          <w:p w14:paraId="78639DB5" w14:textId="77777777" w:rsidR="008B2E45" w:rsidRPr="00C328EF" w:rsidRDefault="008B2E45" w:rsidP="008B2E45">
            <w:pPr>
              <w:suppressAutoHyphens/>
              <w:rPr>
                <w:rFonts w:cs="Arial"/>
                <w:spacing w:val="-2"/>
                <w:highlight w:val="yellow"/>
              </w:rPr>
            </w:pPr>
          </w:p>
        </w:tc>
        <w:tc>
          <w:tcPr>
            <w:tcW w:w="1418" w:type="dxa"/>
          </w:tcPr>
          <w:p w14:paraId="20A61374" w14:textId="77777777" w:rsidR="008B2E45" w:rsidRPr="00372501" w:rsidRDefault="004037D2" w:rsidP="008B2E45">
            <w:pPr>
              <w:suppressAutoHyphens/>
              <w:ind w:right="138"/>
              <w:jc w:val="right"/>
              <w:rPr>
                <w:rFonts w:cs="Arial"/>
                <w:b/>
                <w:spacing w:val="-2"/>
              </w:rPr>
            </w:pPr>
            <w:r>
              <w:rPr>
                <w:rFonts w:cs="Arial"/>
                <w:b/>
                <w:spacing w:val="-2"/>
              </w:rPr>
              <w:t>28/12/</w:t>
            </w:r>
            <w:r w:rsidR="008B2E45" w:rsidRPr="00372501">
              <w:rPr>
                <w:rFonts w:cs="Arial"/>
                <w:b/>
                <w:spacing w:val="-2"/>
              </w:rPr>
              <w:t>20</w:t>
            </w:r>
            <w:r w:rsidR="00432BEF" w:rsidRPr="00372501">
              <w:rPr>
                <w:rFonts w:cs="Arial"/>
                <w:b/>
                <w:spacing w:val="-2"/>
              </w:rPr>
              <w:t>2</w:t>
            </w:r>
            <w:r w:rsidR="00372501" w:rsidRPr="00372501">
              <w:rPr>
                <w:rFonts w:cs="Arial"/>
                <w:b/>
                <w:spacing w:val="-2"/>
              </w:rPr>
              <w:t>4</w:t>
            </w:r>
          </w:p>
        </w:tc>
        <w:tc>
          <w:tcPr>
            <w:tcW w:w="1417" w:type="dxa"/>
          </w:tcPr>
          <w:p w14:paraId="1E4515CB" w14:textId="77777777" w:rsidR="008B2E45" w:rsidRPr="00372501" w:rsidRDefault="004037D2" w:rsidP="008B2E45">
            <w:pPr>
              <w:suppressAutoHyphens/>
              <w:ind w:right="138"/>
              <w:jc w:val="right"/>
              <w:rPr>
                <w:rFonts w:cs="Arial"/>
                <w:b/>
                <w:spacing w:val="-2"/>
              </w:rPr>
            </w:pPr>
            <w:r>
              <w:rPr>
                <w:rFonts w:cs="Arial"/>
                <w:b/>
                <w:spacing w:val="-2"/>
              </w:rPr>
              <w:t>30/12/</w:t>
            </w:r>
            <w:r w:rsidR="008B2E45" w:rsidRPr="00372501">
              <w:rPr>
                <w:rFonts w:cs="Arial"/>
                <w:b/>
                <w:spacing w:val="-2"/>
              </w:rPr>
              <w:t>20</w:t>
            </w:r>
            <w:r w:rsidR="00483949" w:rsidRPr="00372501">
              <w:rPr>
                <w:rFonts w:cs="Arial"/>
                <w:b/>
                <w:spacing w:val="-2"/>
              </w:rPr>
              <w:t>2</w:t>
            </w:r>
            <w:r w:rsidR="00372501" w:rsidRPr="00372501">
              <w:rPr>
                <w:rFonts w:cs="Arial"/>
                <w:b/>
                <w:spacing w:val="-2"/>
              </w:rPr>
              <w:t>3</w:t>
            </w:r>
          </w:p>
        </w:tc>
        <w:tc>
          <w:tcPr>
            <w:tcW w:w="1418" w:type="dxa"/>
          </w:tcPr>
          <w:p w14:paraId="5B61DF9E" w14:textId="77777777" w:rsidR="008B2E45" w:rsidRPr="005B5B2A" w:rsidRDefault="004037D2" w:rsidP="008B2E45">
            <w:pPr>
              <w:suppressAutoHyphens/>
              <w:ind w:right="138"/>
              <w:jc w:val="right"/>
              <w:rPr>
                <w:rFonts w:cs="Arial"/>
                <w:b/>
                <w:spacing w:val="-2"/>
              </w:rPr>
            </w:pPr>
            <w:r>
              <w:rPr>
                <w:rFonts w:cs="Arial"/>
                <w:b/>
                <w:spacing w:val="-2"/>
              </w:rPr>
              <w:t>28/12/</w:t>
            </w:r>
            <w:r w:rsidR="008B2E45" w:rsidRPr="005B5B2A">
              <w:rPr>
                <w:rFonts w:cs="Arial"/>
                <w:b/>
                <w:spacing w:val="-2"/>
              </w:rPr>
              <w:t>20</w:t>
            </w:r>
            <w:r w:rsidR="00432BEF" w:rsidRPr="005B5B2A">
              <w:rPr>
                <w:rFonts w:cs="Arial"/>
                <w:b/>
                <w:spacing w:val="-2"/>
              </w:rPr>
              <w:t>2</w:t>
            </w:r>
            <w:r w:rsidR="005B5B2A" w:rsidRPr="005B5B2A">
              <w:rPr>
                <w:rFonts w:cs="Arial"/>
                <w:b/>
                <w:spacing w:val="-2"/>
              </w:rPr>
              <w:t>4</w:t>
            </w:r>
          </w:p>
        </w:tc>
        <w:tc>
          <w:tcPr>
            <w:tcW w:w="1417" w:type="dxa"/>
          </w:tcPr>
          <w:p w14:paraId="54CC8631" w14:textId="77777777" w:rsidR="008B2E45" w:rsidRPr="005B5B2A" w:rsidRDefault="004037D2" w:rsidP="008B2E45">
            <w:pPr>
              <w:suppressAutoHyphens/>
              <w:ind w:right="138"/>
              <w:jc w:val="right"/>
              <w:rPr>
                <w:rFonts w:cs="Arial"/>
                <w:b/>
                <w:spacing w:val="-2"/>
              </w:rPr>
            </w:pPr>
            <w:r>
              <w:rPr>
                <w:rFonts w:cs="Arial"/>
                <w:b/>
                <w:spacing w:val="-2"/>
              </w:rPr>
              <w:t>30/12/</w:t>
            </w:r>
            <w:r w:rsidR="008B2E45" w:rsidRPr="005B5B2A">
              <w:rPr>
                <w:rFonts w:cs="Arial"/>
                <w:b/>
                <w:spacing w:val="-2"/>
              </w:rPr>
              <w:t>20</w:t>
            </w:r>
            <w:r w:rsidR="003F3A77" w:rsidRPr="005B5B2A">
              <w:rPr>
                <w:rFonts w:cs="Arial"/>
                <w:b/>
                <w:spacing w:val="-2"/>
              </w:rPr>
              <w:t>2</w:t>
            </w:r>
            <w:r w:rsidR="005B5B2A" w:rsidRPr="005B5B2A">
              <w:rPr>
                <w:rFonts w:cs="Arial"/>
                <w:b/>
                <w:spacing w:val="-2"/>
              </w:rPr>
              <w:t>3</w:t>
            </w:r>
          </w:p>
        </w:tc>
      </w:tr>
      <w:tr w:rsidR="008B2E45" w:rsidRPr="00C328EF" w14:paraId="022A7DF9" w14:textId="77777777" w:rsidTr="00E57CC1">
        <w:tc>
          <w:tcPr>
            <w:tcW w:w="4644" w:type="dxa"/>
          </w:tcPr>
          <w:p w14:paraId="7E24C9AB" w14:textId="77777777" w:rsidR="008B2E45" w:rsidRPr="00C328EF" w:rsidRDefault="008B2E45" w:rsidP="008B2E45">
            <w:pPr>
              <w:suppressAutoHyphens/>
              <w:rPr>
                <w:rFonts w:cs="Arial"/>
                <w:spacing w:val="-2"/>
                <w:highlight w:val="yellow"/>
              </w:rPr>
            </w:pPr>
          </w:p>
        </w:tc>
        <w:tc>
          <w:tcPr>
            <w:tcW w:w="1418" w:type="dxa"/>
          </w:tcPr>
          <w:p w14:paraId="6459ABD7" w14:textId="77777777" w:rsidR="008B2E45" w:rsidRPr="00372501" w:rsidRDefault="008B2E45" w:rsidP="008B2E45">
            <w:pPr>
              <w:suppressAutoHyphens/>
              <w:ind w:right="138"/>
              <w:jc w:val="right"/>
              <w:rPr>
                <w:rFonts w:cs="Arial"/>
                <w:b/>
                <w:spacing w:val="-2"/>
              </w:rPr>
            </w:pPr>
            <w:r w:rsidRPr="00372501">
              <w:rPr>
                <w:rFonts w:cs="Arial"/>
                <w:b/>
                <w:spacing w:val="-2"/>
              </w:rPr>
              <w:t>£’000</w:t>
            </w:r>
          </w:p>
        </w:tc>
        <w:tc>
          <w:tcPr>
            <w:tcW w:w="1417" w:type="dxa"/>
          </w:tcPr>
          <w:p w14:paraId="5F2247B9" w14:textId="77777777" w:rsidR="008B2E45" w:rsidRPr="00372501" w:rsidRDefault="008B2E45" w:rsidP="008B2E45">
            <w:pPr>
              <w:suppressAutoHyphens/>
              <w:ind w:right="138"/>
              <w:jc w:val="right"/>
              <w:rPr>
                <w:rFonts w:cs="Arial"/>
                <w:b/>
                <w:spacing w:val="-2"/>
              </w:rPr>
            </w:pPr>
            <w:r w:rsidRPr="00372501">
              <w:rPr>
                <w:rFonts w:cs="Arial"/>
                <w:b/>
                <w:spacing w:val="-2"/>
              </w:rPr>
              <w:t>£’000</w:t>
            </w:r>
          </w:p>
        </w:tc>
        <w:tc>
          <w:tcPr>
            <w:tcW w:w="1418" w:type="dxa"/>
          </w:tcPr>
          <w:p w14:paraId="41265E45" w14:textId="77777777" w:rsidR="008B2E45" w:rsidRPr="005B5B2A" w:rsidRDefault="008B2E45" w:rsidP="008B2E45">
            <w:pPr>
              <w:suppressAutoHyphens/>
              <w:ind w:right="138"/>
              <w:jc w:val="right"/>
              <w:rPr>
                <w:rFonts w:cs="Arial"/>
                <w:b/>
                <w:spacing w:val="-2"/>
              </w:rPr>
            </w:pPr>
            <w:r w:rsidRPr="005B5B2A">
              <w:rPr>
                <w:rFonts w:cs="Arial"/>
                <w:b/>
                <w:spacing w:val="-2"/>
              </w:rPr>
              <w:t>£’000</w:t>
            </w:r>
          </w:p>
        </w:tc>
        <w:tc>
          <w:tcPr>
            <w:tcW w:w="1417" w:type="dxa"/>
          </w:tcPr>
          <w:p w14:paraId="77FB63A4" w14:textId="77777777" w:rsidR="008B2E45" w:rsidRPr="005B5B2A" w:rsidRDefault="008B2E45" w:rsidP="008B2E45">
            <w:pPr>
              <w:suppressAutoHyphens/>
              <w:ind w:right="138"/>
              <w:jc w:val="right"/>
              <w:rPr>
                <w:rFonts w:cs="Arial"/>
                <w:b/>
                <w:spacing w:val="-2"/>
              </w:rPr>
            </w:pPr>
            <w:r w:rsidRPr="005B5B2A">
              <w:rPr>
                <w:rFonts w:cs="Arial"/>
                <w:b/>
                <w:spacing w:val="-2"/>
              </w:rPr>
              <w:t>£’000</w:t>
            </w:r>
          </w:p>
        </w:tc>
      </w:tr>
      <w:tr w:rsidR="008B2E45" w:rsidRPr="00C328EF" w14:paraId="2A4CE99E" w14:textId="77777777" w:rsidTr="00E57CC1">
        <w:tc>
          <w:tcPr>
            <w:tcW w:w="4644" w:type="dxa"/>
          </w:tcPr>
          <w:p w14:paraId="332F6272" w14:textId="77777777" w:rsidR="008B2E45" w:rsidRPr="00C328EF" w:rsidRDefault="008B2E45" w:rsidP="008B2E45">
            <w:pPr>
              <w:suppressAutoHyphens/>
              <w:ind w:left="546"/>
              <w:rPr>
                <w:rFonts w:cs="Arial"/>
                <w:spacing w:val="-2"/>
                <w:highlight w:val="yellow"/>
              </w:rPr>
            </w:pPr>
          </w:p>
        </w:tc>
        <w:tc>
          <w:tcPr>
            <w:tcW w:w="1418" w:type="dxa"/>
          </w:tcPr>
          <w:p w14:paraId="3BE0709B" w14:textId="77777777" w:rsidR="008B2E45" w:rsidRPr="00C328EF" w:rsidRDefault="008B2E45" w:rsidP="008B2E45">
            <w:pPr>
              <w:suppressAutoHyphens/>
              <w:ind w:right="138"/>
              <w:jc w:val="right"/>
              <w:rPr>
                <w:rFonts w:cs="Arial"/>
                <w:spacing w:val="-2"/>
                <w:highlight w:val="yellow"/>
              </w:rPr>
            </w:pPr>
          </w:p>
        </w:tc>
        <w:tc>
          <w:tcPr>
            <w:tcW w:w="1417" w:type="dxa"/>
          </w:tcPr>
          <w:p w14:paraId="2C4CB5D6" w14:textId="77777777" w:rsidR="008B2E45" w:rsidRPr="00C328EF" w:rsidRDefault="008B2E45" w:rsidP="008B2E45">
            <w:pPr>
              <w:suppressAutoHyphens/>
              <w:ind w:right="138"/>
              <w:jc w:val="right"/>
              <w:rPr>
                <w:rFonts w:cs="Arial"/>
                <w:spacing w:val="-2"/>
                <w:highlight w:val="yellow"/>
              </w:rPr>
            </w:pPr>
          </w:p>
        </w:tc>
        <w:tc>
          <w:tcPr>
            <w:tcW w:w="1418" w:type="dxa"/>
          </w:tcPr>
          <w:p w14:paraId="15E8B02E" w14:textId="77777777" w:rsidR="008B2E45" w:rsidRPr="00C328EF" w:rsidRDefault="008B2E45" w:rsidP="008B2E45">
            <w:pPr>
              <w:tabs>
                <w:tab w:val="left" w:pos="948"/>
              </w:tabs>
              <w:suppressAutoHyphens/>
              <w:ind w:right="186"/>
              <w:jc w:val="right"/>
              <w:rPr>
                <w:rFonts w:cs="Arial"/>
                <w:spacing w:val="-2"/>
                <w:highlight w:val="yellow"/>
              </w:rPr>
            </w:pPr>
          </w:p>
        </w:tc>
        <w:tc>
          <w:tcPr>
            <w:tcW w:w="1417" w:type="dxa"/>
          </w:tcPr>
          <w:p w14:paraId="1ABB9B99" w14:textId="77777777" w:rsidR="008B2E45" w:rsidRPr="00C328EF" w:rsidRDefault="008B2E45" w:rsidP="008B2E45">
            <w:pPr>
              <w:tabs>
                <w:tab w:val="left" w:pos="948"/>
              </w:tabs>
              <w:suppressAutoHyphens/>
              <w:ind w:right="186"/>
              <w:jc w:val="right"/>
              <w:rPr>
                <w:rFonts w:cs="Arial"/>
                <w:spacing w:val="-2"/>
                <w:highlight w:val="yellow"/>
              </w:rPr>
            </w:pPr>
          </w:p>
        </w:tc>
      </w:tr>
      <w:tr w:rsidR="00372501" w:rsidRPr="00C328EF" w14:paraId="23351C6E" w14:textId="77777777" w:rsidTr="00E57CC1">
        <w:tc>
          <w:tcPr>
            <w:tcW w:w="4644" w:type="dxa"/>
          </w:tcPr>
          <w:p w14:paraId="63AB0C3E" w14:textId="77777777" w:rsidR="00372501" w:rsidRPr="00372501" w:rsidRDefault="00372501" w:rsidP="00372501">
            <w:pPr>
              <w:suppressAutoHyphens/>
              <w:ind w:left="567"/>
              <w:rPr>
                <w:rFonts w:cs="Arial"/>
                <w:spacing w:val="-2"/>
              </w:rPr>
            </w:pPr>
            <w:r w:rsidRPr="00372501">
              <w:rPr>
                <w:rFonts w:cs="Arial"/>
                <w:spacing w:val="-2"/>
              </w:rPr>
              <w:t>Trade and other payables</w:t>
            </w:r>
          </w:p>
        </w:tc>
        <w:tc>
          <w:tcPr>
            <w:tcW w:w="1418" w:type="dxa"/>
          </w:tcPr>
          <w:p w14:paraId="3401890E" w14:textId="77777777" w:rsidR="00372501" w:rsidRPr="00E44847" w:rsidRDefault="00372501" w:rsidP="00372501">
            <w:pPr>
              <w:suppressAutoHyphens/>
              <w:ind w:right="138"/>
              <w:jc w:val="right"/>
              <w:rPr>
                <w:rFonts w:cs="Arial"/>
                <w:spacing w:val="-2"/>
              </w:rPr>
            </w:pPr>
            <w:r w:rsidRPr="00E44847">
              <w:rPr>
                <w:rFonts w:cs="Arial"/>
                <w:spacing w:val="-2"/>
              </w:rPr>
              <w:t>3,</w:t>
            </w:r>
            <w:r w:rsidR="009845E7" w:rsidRPr="00E44847">
              <w:rPr>
                <w:rFonts w:cs="Arial"/>
                <w:spacing w:val="-2"/>
              </w:rPr>
              <w:t>1</w:t>
            </w:r>
            <w:r w:rsidR="00A84B35">
              <w:rPr>
                <w:rFonts w:cs="Arial"/>
                <w:spacing w:val="-2"/>
              </w:rPr>
              <w:t>95</w:t>
            </w:r>
          </w:p>
        </w:tc>
        <w:tc>
          <w:tcPr>
            <w:tcW w:w="1417" w:type="dxa"/>
          </w:tcPr>
          <w:p w14:paraId="39F3B275" w14:textId="77777777" w:rsidR="00372501" w:rsidRPr="00E44847" w:rsidRDefault="00372501" w:rsidP="00372501">
            <w:pPr>
              <w:suppressAutoHyphens/>
              <w:ind w:right="138"/>
              <w:jc w:val="right"/>
              <w:rPr>
                <w:rFonts w:cs="Arial"/>
                <w:spacing w:val="-2"/>
              </w:rPr>
            </w:pPr>
            <w:r w:rsidRPr="00E44847">
              <w:rPr>
                <w:rFonts w:cs="Arial"/>
                <w:spacing w:val="-2"/>
              </w:rPr>
              <w:t>3,897</w:t>
            </w:r>
          </w:p>
        </w:tc>
        <w:tc>
          <w:tcPr>
            <w:tcW w:w="1418" w:type="dxa"/>
          </w:tcPr>
          <w:p w14:paraId="5511FA36" w14:textId="77777777" w:rsidR="00372501" w:rsidRPr="00E44847" w:rsidRDefault="00372501" w:rsidP="00372501">
            <w:pPr>
              <w:tabs>
                <w:tab w:val="left" w:pos="948"/>
              </w:tabs>
              <w:suppressAutoHyphens/>
              <w:ind w:right="186"/>
              <w:jc w:val="right"/>
              <w:rPr>
                <w:rFonts w:cs="Arial"/>
                <w:spacing w:val="-2"/>
              </w:rPr>
            </w:pPr>
            <w:r w:rsidRPr="00E44847">
              <w:rPr>
                <w:rFonts w:cs="Arial"/>
                <w:spacing w:val="-2"/>
              </w:rPr>
              <w:t>7</w:t>
            </w:r>
          </w:p>
        </w:tc>
        <w:tc>
          <w:tcPr>
            <w:tcW w:w="1417" w:type="dxa"/>
          </w:tcPr>
          <w:p w14:paraId="2DB8BCF0" w14:textId="77777777" w:rsidR="00372501" w:rsidRPr="00E44847" w:rsidRDefault="00372501" w:rsidP="00372501">
            <w:pPr>
              <w:tabs>
                <w:tab w:val="left" w:pos="948"/>
              </w:tabs>
              <w:suppressAutoHyphens/>
              <w:ind w:right="186"/>
              <w:jc w:val="right"/>
              <w:rPr>
                <w:rFonts w:cs="Arial"/>
                <w:spacing w:val="-2"/>
              </w:rPr>
            </w:pPr>
            <w:r w:rsidRPr="00E44847">
              <w:rPr>
                <w:rFonts w:cs="Arial"/>
                <w:spacing w:val="-2"/>
              </w:rPr>
              <w:t>-</w:t>
            </w:r>
          </w:p>
        </w:tc>
      </w:tr>
      <w:tr w:rsidR="00372501" w:rsidRPr="00C328EF" w14:paraId="13958CB2" w14:textId="77777777" w:rsidTr="00E57CC1">
        <w:tc>
          <w:tcPr>
            <w:tcW w:w="4644" w:type="dxa"/>
          </w:tcPr>
          <w:p w14:paraId="47906840" w14:textId="77777777" w:rsidR="00372501" w:rsidRPr="00372501" w:rsidRDefault="00372501" w:rsidP="00372501">
            <w:pPr>
              <w:ind w:left="567"/>
              <w:jc w:val="both"/>
            </w:pPr>
            <w:r w:rsidRPr="00372501">
              <w:t xml:space="preserve">Other </w:t>
            </w:r>
            <w:r w:rsidRPr="00372501">
              <w:rPr>
                <w:rFonts w:cs="Arial"/>
                <w:spacing w:val="-2"/>
              </w:rPr>
              <w:t>payables</w:t>
            </w:r>
          </w:p>
        </w:tc>
        <w:tc>
          <w:tcPr>
            <w:tcW w:w="1418" w:type="dxa"/>
          </w:tcPr>
          <w:p w14:paraId="09FC3340" w14:textId="77777777" w:rsidR="00372501" w:rsidRPr="00E44847" w:rsidRDefault="00372501" w:rsidP="00372501">
            <w:pPr>
              <w:suppressAutoHyphens/>
              <w:ind w:right="138"/>
              <w:jc w:val="right"/>
              <w:rPr>
                <w:rFonts w:cs="Arial"/>
                <w:spacing w:val="-2"/>
              </w:rPr>
            </w:pPr>
            <w:r w:rsidRPr="00E44847">
              <w:rPr>
                <w:rFonts w:cs="Arial"/>
                <w:spacing w:val="-2"/>
              </w:rPr>
              <w:t>4,</w:t>
            </w:r>
            <w:r w:rsidR="009845E7" w:rsidRPr="00E44847">
              <w:rPr>
                <w:rFonts w:cs="Arial"/>
                <w:spacing w:val="-2"/>
              </w:rPr>
              <w:t>79</w:t>
            </w:r>
            <w:r w:rsidRPr="00E44847">
              <w:rPr>
                <w:rFonts w:cs="Arial"/>
                <w:spacing w:val="-2"/>
              </w:rPr>
              <w:t>0</w:t>
            </w:r>
          </w:p>
        </w:tc>
        <w:tc>
          <w:tcPr>
            <w:tcW w:w="1417" w:type="dxa"/>
          </w:tcPr>
          <w:p w14:paraId="2B46C31E" w14:textId="77777777" w:rsidR="00372501" w:rsidRPr="00E44847" w:rsidRDefault="00372501" w:rsidP="00372501">
            <w:pPr>
              <w:suppressAutoHyphens/>
              <w:ind w:right="138"/>
              <w:jc w:val="right"/>
              <w:rPr>
                <w:rFonts w:cs="Arial"/>
                <w:spacing w:val="-2"/>
              </w:rPr>
            </w:pPr>
            <w:r w:rsidRPr="00E44847">
              <w:rPr>
                <w:rFonts w:cs="Arial"/>
                <w:spacing w:val="-2"/>
              </w:rPr>
              <w:t>4,460</w:t>
            </w:r>
          </w:p>
        </w:tc>
        <w:tc>
          <w:tcPr>
            <w:tcW w:w="1418" w:type="dxa"/>
          </w:tcPr>
          <w:p w14:paraId="54B81776" w14:textId="77777777" w:rsidR="00372501" w:rsidRPr="00E44847" w:rsidRDefault="00372501" w:rsidP="00372501">
            <w:pPr>
              <w:tabs>
                <w:tab w:val="left" w:pos="948"/>
              </w:tabs>
              <w:suppressAutoHyphens/>
              <w:ind w:right="186"/>
              <w:jc w:val="right"/>
              <w:rPr>
                <w:rFonts w:cs="Arial"/>
                <w:spacing w:val="-2"/>
              </w:rPr>
            </w:pPr>
            <w:r w:rsidRPr="00E44847">
              <w:rPr>
                <w:rFonts w:cs="Arial"/>
                <w:spacing w:val="-2"/>
              </w:rPr>
              <w:t>-</w:t>
            </w:r>
          </w:p>
        </w:tc>
        <w:tc>
          <w:tcPr>
            <w:tcW w:w="1417" w:type="dxa"/>
          </w:tcPr>
          <w:p w14:paraId="3568E13C" w14:textId="77777777" w:rsidR="00372501" w:rsidRPr="00E44847" w:rsidRDefault="00372501" w:rsidP="00372501">
            <w:pPr>
              <w:tabs>
                <w:tab w:val="left" w:pos="948"/>
              </w:tabs>
              <w:suppressAutoHyphens/>
              <w:ind w:right="186"/>
              <w:jc w:val="right"/>
              <w:rPr>
                <w:rFonts w:cs="Arial"/>
                <w:spacing w:val="-2"/>
              </w:rPr>
            </w:pPr>
            <w:r w:rsidRPr="00E44847">
              <w:rPr>
                <w:rFonts w:cs="Arial"/>
                <w:spacing w:val="-2"/>
              </w:rPr>
              <w:t>-</w:t>
            </w:r>
          </w:p>
        </w:tc>
      </w:tr>
      <w:tr w:rsidR="00372501" w:rsidRPr="00C328EF" w14:paraId="4796BBFE" w14:textId="77777777" w:rsidTr="00E57CC1">
        <w:tc>
          <w:tcPr>
            <w:tcW w:w="4644" w:type="dxa"/>
          </w:tcPr>
          <w:p w14:paraId="6B435098" w14:textId="77777777" w:rsidR="00372501" w:rsidRPr="00372501" w:rsidRDefault="00372501" w:rsidP="00372501">
            <w:pPr>
              <w:ind w:left="567"/>
              <w:jc w:val="both"/>
            </w:pPr>
            <w:r w:rsidRPr="00372501">
              <w:t>Taxation and social security</w:t>
            </w:r>
          </w:p>
        </w:tc>
        <w:tc>
          <w:tcPr>
            <w:tcW w:w="1418" w:type="dxa"/>
          </w:tcPr>
          <w:p w14:paraId="1077BF72" w14:textId="77777777" w:rsidR="00372501" w:rsidRPr="00E44847" w:rsidRDefault="00372501" w:rsidP="00372501">
            <w:pPr>
              <w:suppressAutoHyphens/>
              <w:ind w:right="138"/>
              <w:jc w:val="right"/>
              <w:rPr>
                <w:rFonts w:cs="Arial"/>
                <w:spacing w:val="-2"/>
              </w:rPr>
            </w:pPr>
            <w:r w:rsidRPr="00E44847">
              <w:rPr>
                <w:rFonts w:cs="Arial"/>
                <w:spacing w:val="-2"/>
              </w:rPr>
              <w:t>3,</w:t>
            </w:r>
            <w:r w:rsidR="009845E7" w:rsidRPr="00E44847">
              <w:rPr>
                <w:rFonts w:cs="Arial"/>
                <w:spacing w:val="-2"/>
              </w:rPr>
              <w:t>169</w:t>
            </w:r>
          </w:p>
        </w:tc>
        <w:tc>
          <w:tcPr>
            <w:tcW w:w="1417" w:type="dxa"/>
          </w:tcPr>
          <w:p w14:paraId="5CF8455D" w14:textId="77777777" w:rsidR="00372501" w:rsidRPr="00E44847" w:rsidRDefault="00372501" w:rsidP="00372501">
            <w:pPr>
              <w:suppressAutoHyphens/>
              <w:ind w:right="138"/>
              <w:jc w:val="right"/>
              <w:rPr>
                <w:rFonts w:cs="Arial"/>
                <w:spacing w:val="-2"/>
              </w:rPr>
            </w:pPr>
            <w:r w:rsidRPr="00E44847">
              <w:rPr>
                <w:rFonts w:cs="Arial"/>
                <w:spacing w:val="-2"/>
              </w:rPr>
              <w:t>3,488</w:t>
            </w:r>
          </w:p>
        </w:tc>
        <w:tc>
          <w:tcPr>
            <w:tcW w:w="1418" w:type="dxa"/>
          </w:tcPr>
          <w:p w14:paraId="3B89EF88" w14:textId="77777777" w:rsidR="00372501" w:rsidRPr="00E44847" w:rsidRDefault="00CF22F4" w:rsidP="00372501">
            <w:pPr>
              <w:tabs>
                <w:tab w:val="left" w:pos="948"/>
              </w:tabs>
              <w:suppressAutoHyphens/>
              <w:ind w:right="186"/>
              <w:jc w:val="right"/>
              <w:rPr>
                <w:rFonts w:cs="Arial"/>
                <w:spacing w:val="-2"/>
              </w:rPr>
            </w:pPr>
            <w:r w:rsidRPr="00E44847">
              <w:rPr>
                <w:rFonts w:cs="Arial"/>
                <w:spacing w:val="-2"/>
              </w:rPr>
              <w:t>6</w:t>
            </w:r>
          </w:p>
        </w:tc>
        <w:tc>
          <w:tcPr>
            <w:tcW w:w="1417" w:type="dxa"/>
          </w:tcPr>
          <w:p w14:paraId="35B6F9B7" w14:textId="77777777" w:rsidR="00372501" w:rsidRPr="00E44847" w:rsidRDefault="00372501" w:rsidP="00372501">
            <w:pPr>
              <w:tabs>
                <w:tab w:val="left" w:pos="948"/>
              </w:tabs>
              <w:suppressAutoHyphens/>
              <w:ind w:right="186"/>
              <w:jc w:val="right"/>
              <w:rPr>
                <w:rFonts w:cs="Arial"/>
                <w:spacing w:val="-2"/>
              </w:rPr>
            </w:pPr>
            <w:r w:rsidRPr="00E44847">
              <w:rPr>
                <w:rFonts w:cs="Arial"/>
                <w:spacing w:val="-2"/>
              </w:rPr>
              <w:t>11</w:t>
            </w:r>
          </w:p>
        </w:tc>
      </w:tr>
      <w:tr w:rsidR="00372501" w:rsidRPr="00C328EF" w14:paraId="25AB550D" w14:textId="77777777" w:rsidTr="00E57CC1">
        <w:tc>
          <w:tcPr>
            <w:tcW w:w="4644" w:type="dxa"/>
          </w:tcPr>
          <w:p w14:paraId="7CB6E94B" w14:textId="77777777" w:rsidR="00372501" w:rsidRPr="00372501" w:rsidRDefault="00372501" w:rsidP="00372501">
            <w:pPr>
              <w:ind w:left="567"/>
              <w:jc w:val="both"/>
            </w:pPr>
            <w:r w:rsidRPr="00372501">
              <w:t>Lease obligations (note 1</w:t>
            </w:r>
            <w:r w:rsidR="00557329">
              <w:t>6</w:t>
            </w:r>
            <w:r w:rsidRPr="00372501">
              <w:t>)</w:t>
            </w:r>
          </w:p>
        </w:tc>
        <w:tc>
          <w:tcPr>
            <w:tcW w:w="1418" w:type="dxa"/>
          </w:tcPr>
          <w:p w14:paraId="1020E347" w14:textId="77777777" w:rsidR="00372501" w:rsidRPr="00E44847" w:rsidRDefault="00372501" w:rsidP="00372501">
            <w:pPr>
              <w:suppressAutoHyphens/>
              <w:ind w:right="138"/>
              <w:jc w:val="right"/>
              <w:rPr>
                <w:rFonts w:cs="Arial"/>
                <w:spacing w:val="-2"/>
              </w:rPr>
            </w:pPr>
            <w:r w:rsidRPr="00E44847">
              <w:rPr>
                <w:rFonts w:cs="Arial"/>
                <w:spacing w:val="-2"/>
              </w:rPr>
              <w:t>12,</w:t>
            </w:r>
            <w:r w:rsidR="009845E7" w:rsidRPr="00E44847">
              <w:rPr>
                <w:rFonts w:cs="Arial"/>
                <w:spacing w:val="-2"/>
              </w:rPr>
              <w:t>955</w:t>
            </w:r>
          </w:p>
        </w:tc>
        <w:tc>
          <w:tcPr>
            <w:tcW w:w="1417" w:type="dxa"/>
          </w:tcPr>
          <w:p w14:paraId="58BBC62D" w14:textId="77777777" w:rsidR="00372501" w:rsidRPr="00E44847" w:rsidRDefault="00372501" w:rsidP="00372501">
            <w:pPr>
              <w:suppressAutoHyphens/>
              <w:ind w:right="138"/>
              <w:jc w:val="right"/>
              <w:rPr>
                <w:rFonts w:cs="Arial"/>
                <w:spacing w:val="-2"/>
              </w:rPr>
            </w:pPr>
            <w:r w:rsidRPr="00E44847">
              <w:rPr>
                <w:rFonts w:cs="Arial"/>
                <w:spacing w:val="-2"/>
              </w:rPr>
              <w:t>12,762</w:t>
            </w:r>
          </w:p>
        </w:tc>
        <w:tc>
          <w:tcPr>
            <w:tcW w:w="1418" w:type="dxa"/>
          </w:tcPr>
          <w:p w14:paraId="36AE8CB5" w14:textId="77777777" w:rsidR="00372501" w:rsidRPr="00E44847" w:rsidRDefault="00372501" w:rsidP="00372501">
            <w:pPr>
              <w:tabs>
                <w:tab w:val="left" w:pos="948"/>
              </w:tabs>
              <w:suppressAutoHyphens/>
              <w:ind w:right="186"/>
              <w:jc w:val="right"/>
              <w:rPr>
                <w:rFonts w:cs="Arial"/>
                <w:spacing w:val="-2"/>
              </w:rPr>
            </w:pPr>
            <w:r w:rsidRPr="00E44847">
              <w:rPr>
                <w:rFonts w:cs="Arial"/>
                <w:spacing w:val="-2"/>
              </w:rPr>
              <w:t>-</w:t>
            </w:r>
          </w:p>
        </w:tc>
        <w:tc>
          <w:tcPr>
            <w:tcW w:w="1417" w:type="dxa"/>
          </w:tcPr>
          <w:p w14:paraId="6158C5DB" w14:textId="77777777" w:rsidR="00372501" w:rsidRPr="00E44847" w:rsidRDefault="00372501" w:rsidP="00372501">
            <w:pPr>
              <w:tabs>
                <w:tab w:val="left" w:pos="948"/>
              </w:tabs>
              <w:suppressAutoHyphens/>
              <w:ind w:right="186"/>
              <w:jc w:val="right"/>
              <w:rPr>
                <w:rFonts w:cs="Arial"/>
                <w:spacing w:val="-2"/>
              </w:rPr>
            </w:pPr>
            <w:r w:rsidRPr="00E44847">
              <w:rPr>
                <w:rFonts w:cs="Arial"/>
                <w:spacing w:val="-2"/>
              </w:rPr>
              <w:t>-</w:t>
            </w:r>
          </w:p>
        </w:tc>
      </w:tr>
      <w:tr w:rsidR="00372501" w:rsidRPr="00C328EF" w14:paraId="5147C106" w14:textId="77777777" w:rsidTr="00E57CC1">
        <w:tc>
          <w:tcPr>
            <w:tcW w:w="4644" w:type="dxa"/>
          </w:tcPr>
          <w:p w14:paraId="38EA9C2E" w14:textId="77777777" w:rsidR="00372501" w:rsidRPr="00372501" w:rsidRDefault="00372501" w:rsidP="00372501">
            <w:pPr>
              <w:ind w:left="567"/>
              <w:jc w:val="both"/>
            </w:pPr>
            <w:r w:rsidRPr="00372501">
              <w:t>Accruals and deferred income</w:t>
            </w:r>
          </w:p>
        </w:tc>
        <w:tc>
          <w:tcPr>
            <w:tcW w:w="1418" w:type="dxa"/>
          </w:tcPr>
          <w:p w14:paraId="1B765CFE" w14:textId="77777777" w:rsidR="00372501" w:rsidRPr="00E44847" w:rsidRDefault="009845E7" w:rsidP="00372501">
            <w:pPr>
              <w:suppressAutoHyphens/>
              <w:ind w:right="138"/>
              <w:jc w:val="right"/>
              <w:rPr>
                <w:rFonts w:cs="Arial"/>
                <w:spacing w:val="-2"/>
              </w:rPr>
            </w:pPr>
            <w:r w:rsidRPr="00E44847">
              <w:rPr>
                <w:rFonts w:cs="Arial"/>
                <w:spacing w:val="-2"/>
              </w:rPr>
              <w:t>5,950</w:t>
            </w:r>
          </w:p>
        </w:tc>
        <w:tc>
          <w:tcPr>
            <w:tcW w:w="1417" w:type="dxa"/>
          </w:tcPr>
          <w:p w14:paraId="26DA2C4E" w14:textId="77777777" w:rsidR="00372501" w:rsidRPr="00E44847" w:rsidRDefault="00372501" w:rsidP="00372501">
            <w:pPr>
              <w:suppressAutoHyphens/>
              <w:ind w:right="138"/>
              <w:jc w:val="right"/>
              <w:rPr>
                <w:rFonts w:cs="Arial"/>
                <w:spacing w:val="-2"/>
              </w:rPr>
            </w:pPr>
            <w:r w:rsidRPr="00E44847">
              <w:rPr>
                <w:rFonts w:cs="Arial"/>
                <w:spacing w:val="-2"/>
              </w:rPr>
              <w:t>6,994</w:t>
            </w:r>
          </w:p>
        </w:tc>
        <w:tc>
          <w:tcPr>
            <w:tcW w:w="1418" w:type="dxa"/>
          </w:tcPr>
          <w:p w14:paraId="1AE27060" w14:textId="77777777" w:rsidR="00372501" w:rsidRPr="00E44847" w:rsidRDefault="00372501" w:rsidP="00372501">
            <w:pPr>
              <w:tabs>
                <w:tab w:val="left" w:pos="948"/>
              </w:tabs>
              <w:suppressAutoHyphens/>
              <w:ind w:right="186"/>
              <w:jc w:val="right"/>
              <w:rPr>
                <w:rFonts w:cs="Arial"/>
                <w:spacing w:val="-2"/>
              </w:rPr>
            </w:pPr>
            <w:r w:rsidRPr="00E44847">
              <w:rPr>
                <w:rFonts w:cs="Arial"/>
                <w:spacing w:val="-2"/>
              </w:rPr>
              <w:t>20</w:t>
            </w:r>
          </w:p>
        </w:tc>
        <w:tc>
          <w:tcPr>
            <w:tcW w:w="1417" w:type="dxa"/>
          </w:tcPr>
          <w:p w14:paraId="7BFDC3A6" w14:textId="77777777" w:rsidR="00372501" w:rsidRPr="00E44847" w:rsidRDefault="00372501" w:rsidP="00372501">
            <w:pPr>
              <w:tabs>
                <w:tab w:val="left" w:pos="948"/>
              </w:tabs>
              <w:suppressAutoHyphens/>
              <w:ind w:right="186"/>
              <w:jc w:val="right"/>
              <w:rPr>
                <w:rFonts w:cs="Arial"/>
                <w:spacing w:val="-2"/>
              </w:rPr>
            </w:pPr>
            <w:r w:rsidRPr="00E44847">
              <w:rPr>
                <w:rFonts w:cs="Arial"/>
                <w:spacing w:val="-2"/>
              </w:rPr>
              <w:t>19</w:t>
            </w:r>
          </w:p>
        </w:tc>
      </w:tr>
      <w:tr w:rsidR="00372501" w:rsidRPr="00C328EF" w14:paraId="6F8F6D5E" w14:textId="77777777" w:rsidTr="00E57CC1">
        <w:tc>
          <w:tcPr>
            <w:tcW w:w="4644" w:type="dxa"/>
          </w:tcPr>
          <w:p w14:paraId="48C4D7A0" w14:textId="77777777" w:rsidR="00372501" w:rsidRPr="00372501" w:rsidRDefault="00372501" w:rsidP="00372501">
            <w:pPr>
              <w:ind w:left="567"/>
              <w:jc w:val="both"/>
            </w:pPr>
            <w:r w:rsidRPr="00372501">
              <w:t xml:space="preserve">Derivative financial </w:t>
            </w:r>
            <w:r w:rsidR="009845E7">
              <w:t>liability</w:t>
            </w:r>
          </w:p>
        </w:tc>
        <w:tc>
          <w:tcPr>
            <w:tcW w:w="1418" w:type="dxa"/>
          </w:tcPr>
          <w:p w14:paraId="4290E3CD" w14:textId="77777777" w:rsidR="00372501" w:rsidRPr="00E44847" w:rsidRDefault="009845E7" w:rsidP="00372501">
            <w:pPr>
              <w:ind w:right="153"/>
              <w:jc w:val="right"/>
              <w:rPr>
                <w:spacing w:val="-2"/>
              </w:rPr>
            </w:pPr>
            <w:r w:rsidRPr="00E44847">
              <w:rPr>
                <w:spacing w:val="-2"/>
              </w:rPr>
              <w:t>310</w:t>
            </w:r>
          </w:p>
        </w:tc>
        <w:tc>
          <w:tcPr>
            <w:tcW w:w="1417" w:type="dxa"/>
          </w:tcPr>
          <w:p w14:paraId="4B7FFEAC" w14:textId="77777777" w:rsidR="00372501" w:rsidRPr="00E44847" w:rsidRDefault="00372501" w:rsidP="00372501">
            <w:pPr>
              <w:ind w:right="153"/>
              <w:jc w:val="right"/>
              <w:rPr>
                <w:spacing w:val="-2"/>
              </w:rPr>
            </w:pPr>
            <w:r w:rsidRPr="00E44847">
              <w:rPr>
                <w:spacing w:val="-2"/>
              </w:rPr>
              <w:t>689</w:t>
            </w:r>
          </w:p>
        </w:tc>
        <w:tc>
          <w:tcPr>
            <w:tcW w:w="1418" w:type="dxa"/>
          </w:tcPr>
          <w:p w14:paraId="0859E61A" w14:textId="77777777" w:rsidR="00372501" w:rsidRPr="00E44847" w:rsidRDefault="00372501" w:rsidP="00372501">
            <w:pPr>
              <w:tabs>
                <w:tab w:val="left" w:pos="948"/>
              </w:tabs>
              <w:suppressAutoHyphens/>
              <w:ind w:right="186"/>
              <w:jc w:val="right"/>
              <w:rPr>
                <w:rFonts w:cs="Arial"/>
                <w:spacing w:val="-2"/>
              </w:rPr>
            </w:pPr>
            <w:r w:rsidRPr="00E44847">
              <w:rPr>
                <w:rFonts w:cs="Arial"/>
                <w:spacing w:val="-2"/>
              </w:rPr>
              <w:t>-</w:t>
            </w:r>
          </w:p>
        </w:tc>
        <w:tc>
          <w:tcPr>
            <w:tcW w:w="1417" w:type="dxa"/>
          </w:tcPr>
          <w:p w14:paraId="7BDD3035" w14:textId="77777777" w:rsidR="00372501" w:rsidRPr="00E44847" w:rsidRDefault="00372501" w:rsidP="00372501">
            <w:pPr>
              <w:tabs>
                <w:tab w:val="left" w:pos="948"/>
              </w:tabs>
              <w:suppressAutoHyphens/>
              <w:ind w:right="186"/>
              <w:jc w:val="right"/>
              <w:rPr>
                <w:rFonts w:cs="Arial"/>
                <w:spacing w:val="-2"/>
              </w:rPr>
            </w:pPr>
            <w:r w:rsidRPr="00E44847">
              <w:rPr>
                <w:rFonts w:cs="Arial"/>
                <w:spacing w:val="-2"/>
              </w:rPr>
              <w:t>-</w:t>
            </w:r>
          </w:p>
        </w:tc>
      </w:tr>
      <w:tr w:rsidR="00372501" w:rsidRPr="00C328EF" w14:paraId="7A68A29D" w14:textId="77777777" w:rsidTr="00E57CC1">
        <w:tc>
          <w:tcPr>
            <w:tcW w:w="4644" w:type="dxa"/>
          </w:tcPr>
          <w:p w14:paraId="6C63A2C3" w14:textId="77777777" w:rsidR="00372501" w:rsidRPr="00372501" w:rsidRDefault="00372501" w:rsidP="00372501">
            <w:pPr>
              <w:ind w:left="567"/>
              <w:jc w:val="both"/>
            </w:pPr>
            <w:r w:rsidRPr="00372501">
              <w:t>Dividends</w:t>
            </w:r>
          </w:p>
        </w:tc>
        <w:tc>
          <w:tcPr>
            <w:tcW w:w="1418" w:type="dxa"/>
          </w:tcPr>
          <w:p w14:paraId="4567F72B" w14:textId="77777777" w:rsidR="00372501" w:rsidRPr="00E44847" w:rsidRDefault="00372501" w:rsidP="00372501">
            <w:pPr>
              <w:ind w:right="153"/>
              <w:jc w:val="right"/>
              <w:rPr>
                <w:spacing w:val="-2"/>
              </w:rPr>
            </w:pPr>
            <w:r w:rsidRPr="00E44847">
              <w:rPr>
                <w:spacing w:val="-2"/>
              </w:rPr>
              <w:t>-</w:t>
            </w:r>
          </w:p>
        </w:tc>
        <w:tc>
          <w:tcPr>
            <w:tcW w:w="1417" w:type="dxa"/>
          </w:tcPr>
          <w:p w14:paraId="40820EDA" w14:textId="77777777" w:rsidR="00372501" w:rsidRPr="00E44847" w:rsidRDefault="00372501" w:rsidP="00372501">
            <w:pPr>
              <w:ind w:right="153"/>
              <w:jc w:val="right"/>
              <w:rPr>
                <w:spacing w:val="-2"/>
              </w:rPr>
            </w:pPr>
            <w:r w:rsidRPr="00E44847">
              <w:rPr>
                <w:spacing w:val="-2"/>
              </w:rPr>
              <w:t>288</w:t>
            </w:r>
          </w:p>
        </w:tc>
        <w:tc>
          <w:tcPr>
            <w:tcW w:w="1418" w:type="dxa"/>
          </w:tcPr>
          <w:p w14:paraId="5880A00E" w14:textId="77777777" w:rsidR="00372501" w:rsidRPr="00E44847" w:rsidRDefault="00372501" w:rsidP="00372501">
            <w:pPr>
              <w:tabs>
                <w:tab w:val="left" w:pos="948"/>
              </w:tabs>
              <w:suppressAutoHyphens/>
              <w:ind w:right="186"/>
              <w:jc w:val="right"/>
              <w:rPr>
                <w:rFonts w:cs="Arial"/>
                <w:spacing w:val="-2"/>
              </w:rPr>
            </w:pPr>
            <w:r w:rsidRPr="00E44847">
              <w:rPr>
                <w:rFonts w:cs="Arial"/>
                <w:spacing w:val="-2"/>
              </w:rPr>
              <w:t>-</w:t>
            </w:r>
          </w:p>
        </w:tc>
        <w:tc>
          <w:tcPr>
            <w:tcW w:w="1417" w:type="dxa"/>
          </w:tcPr>
          <w:p w14:paraId="59891146" w14:textId="77777777" w:rsidR="00372501" w:rsidRPr="00E44847" w:rsidRDefault="00372501" w:rsidP="00372501">
            <w:pPr>
              <w:tabs>
                <w:tab w:val="left" w:pos="948"/>
              </w:tabs>
              <w:suppressAutoHyphens/>
              <w:ind w:right="186"/>
              <w:jc w:val="right"/>
              <w:rPr>
                <w:rFonts w:cs="Arial"/>
                <w:spacing w:val="-2"/>
              </w:rPr>
            </w:pPr>
            <w:r w:rsidRPr="00E44847">
              <w:rPr>
                <w:rFonts w:cs="Arial"/>
                <w:spacing w:val="-2"/>
              </w:rPr>
              <w:t>-</w:t>
            </w:r>
          </w:p>
        </w:tc>
      </w:tr>
      <w:tr w:rsidR="009845E7" w:rsidRPr="00C328EF" w14:paraId="7DCDD8E8" w14:textId="77777777" w:rsidTr="00E57CC1">
        <w:tc>
          <w:tcPr>
            <w:tcW w:w="4644" w:type="dxa"/>
          </w:tcPr>
          <w:p w14:paraId="1B33485D" w14:textId="77777777" w:rsidR="009845E7" w:rsidRPr="009845E7" w:rsidRDefault="009845E7" w:rsidP="009845E7">
            <w:pPr>
              <w:ind w:left="567"/>
              <w:jc w:val="both"/>
            </w:pPr>
            <w:r w:rsidRPr="00E40EC5">
              <w:t xml:space="preserve">Corporation tax </w:t>
            </w:r>
            <w:r>
              <w:t>pay</w:t>
            </w:r>
            <w:r w:rsidRPr="00E40EC5">
              <w:t>able</w:t>
            </w:r>
          </w:p>
        </w:tc>
        <w:tc>
          <w:tcPr>
            <w:tcW w:w="1418" w:type="dxa"/>
          </w:tcPr>
          <w:p w14:paraId="196BDDD9" w14:textId="77777777" w:rsidR="009845E7" w:rsidRPr="00E44847" w:rsidRDefault="009845E7" w:rsidP="009845E7">
            <w:pPr>
              <w:ind w:right="153"/>
              <w:jc w:val="right"/>
              <w:rPr>
                <w:spacing w:val="-2"/>
              </w:rPr>
            </w:pPr>
            <w:r w:rsidRPr="00E44847">
              <w:rPr>
                <w:spacing w:val="-2"/>
              </w:rPr>
              <w:t>10</w:t>
            </w:r>
          </w:p>
        </w:tc>
        <w:tc>
          <w:tcPr>
            <w:tcW w:w="1417" w:type="dxa"/>
          </w:tcPr>
          <w:p w14:paraId="5A2A7AF0" w14:textId="77777777" w:rsidR="009845E7" w:rsidRPr="00E44847" w:rsidRDefault="009845E7" w:rsidP="009845E7">
            <w:pPr>
              <w:ind w:right="153"/>
              <w:jc w:val="right"/>
              <w:rPr>
                <w:spacing w:val="-2"/>
              </w:rPr>
            </w:pPr>
            <w:r w:rsidRPr="00E44847">
              <w:rPr>
                <w:spacing w:val="-2"/>
              </w:rPr>
              <w:t>-</w:t>
            </w:r>
          </w:p>
        </w:tc>
        <w:tc>
          <w:tcPr>
            <w:tcW w:w="1418" w:type="dxa"/>
          </w:tcPr>
          <w:p w14:paraId="2ABB305E" w14:textId="77777777" w:rsidR="009845E7" w:rsidRPr="00E44847" w:rsidRDefault="009845E7" w:rsidP="009845E7">
            <w:pPr>
              <w:tabs>
                <w:tab w:val="left" w:pos="948"/>
              </w:tabs>
              <w:suppressAutoHyphens/>
              <w:ind w:right="186"/>
              <w:jc w:val="right"/>
              <w:rPr>
                <w:rFonts w:cs="Arial"/>
                <w:spacing w:val="-2"/>
              </w:rPr>
            </w:pPr>
            <w:r w:rsidRPr="00E44847">
              <w:rPr>
                <w:rFonts w:cs="Arial"/>
                <w:spacing w:val="-2"/>
              </w:rPr>
              <w:t>-</w:t>
            </w:r>
          </w:p>
        </w:tc>
        <w:tc>
          <w:tcPr>
            <w:tcW w:w="1417" w:type="dxa"/>
          </w:tcPr>
          <w:p w14:paraId="6A3B3E31" w14:textId="77777777" w:rsidR="009845E7" w:rsidRPr="00E44847" w:rsidRDefault="009845E7" w:rsidP="009845E7">
            <w:pPr>
              <w:tabs>
                <w:tab w:val="left" w:pos="948"/>
              </w:tabs>
              <w:suppressAutoHyphens/>
              <w:ind w:right="186"/>
              <w:jc w:val="right"/>
              <w:rPr>
                <w:rFonts w:cs="Arial"/>
                <w:spacing w:val="-2"/>
              </w:rPr>
            </w:pPr>
            <w:r w:rsidRPr="00E44847">
              <w:rPr>
                <w:rFonts w:cs="Arial"/>
                <w:spacing w:val="-2"/>
              </w:rPr>
              <w:t>-</w:t>
            </w:r>
          </w:p>
        </w:tc>
      </w:tr>
      <w:tr w:rsidR="009845E7" w:rsidRPr="00C328EF" w14:paraId="141EFE5D" w14:textId="77777777" w:rsidTr="00E57CC1">
        <w:tc>
          <w:tcPr>
            <w:tcW w:w="4644" w:type="dxa"/>
          </w:tcPr>
          <w:p w14:paraId="5D0726D4" w14:textId="77777777" w:rsidR="009845E7" w:rsidRPr="00372501" w:rsidRDefault="009845E7" w:rsidP="009845E7">
            <w:pPr>
              <w:ind w:left="567"/>
              <w:jc w:val="both"/>
            </w:pPr>
            <w:r w:rsidRPr="00372501">
              <w:t>Amounts due to City of Edinburgh Council</w:t>
            </w:r>
          </w:p>
        </w:tc>
        <w:tc>
          <w:tcPr>
            <w:tcW w:w="1418" w:type="dxa"/>
          </w:tcPr>
          <w:p w14:paraId="7669783E" w14:textId="77777777" w:rsidR="009845E7" w:rsidRPr="00E44847" w:rsidRDefault="009845E7" w:rsidP="009845E7">
            <w:pPr>
              <w:ind w:right="153"/>
              <w:jc w:val="right"/>
              <w:rPr>
                <w:spacing w:val="-2"/>
              </w:rPr>
            </w:pPr>
            <w:r w:rsidRPr="00E44847">
              <w:rPr>
                <w:spacing w:val="-2"/>
              </w:rPr>
              <w:t>14,873</w:t>
            </w:r>
          </w:p>
        </w:tc>
        <w:tc>
          <w:tcPr>
            <w:tcW w:w="1417" w:type="dxa"/>
          </w:tcPr>
          <w:p w14:paraId="4736CB93" w14:textId="77777777" w:rsidR="009845E7" w:rsidRPr="00E44847" w:rsidRDefault="009845E7" w:rsidP="009845E7">
            <w:pPr>
              <w:ind w:right="153"/>
              <w:jc w:val="right"/>
              <w:rPr>
                <w:spacing w:val="-2"/>
              </w:rPr>
            </w:pPr>
            <w:r w:rsidRPr="00E44847">
              <w:rPr>
                <w:spacing w:val="-2"/>
              </w:rPr>
              <w:t>13,721</w:t>
            </w:r>
          </w:p>
        </w:tc>
        <w:tc>
          <w:tcPr>
            <w:tcW w:w="1418" w:type="dxa"/>
          </w:tcPr>
          <w:p w14:paraId="1C2C935B" w14:textId="77777777" w:rsidR="009845E7" w:rsidRPr="00E44847" w:rsidRDefault="009845E7" w:rsidP="009845E7">
            <w:pPr>
              <w:tabs>
                <w:tab w:val="left" w:pos="948"/>
              </w:tabs>
              <w:suppressAutoHyphens/>
              <w:ind w:right="186"/>
              <w:jc w:val="right"/>
              <w:rPr>
                <w:rFonts w:cs="Arial"/>
                <w:spacing w:val="-2"/>
              </w:rPr>
            </w:pPr>
            <w:r w:rsidRPr="00E44847">
              <w:rPr>
                <w:rFonts w:cs="Arial"/>
                <w:spacing w:val="-2"/>
              </w:rPr>
              <w:t>-</w:t>
            </w:r>
          </w:p>
        </w:tc>
        <w:tc>
          <w:tcPr>
            <w:tcW w:w="1417" w:type="dxa"/>
          </w:tcPr>
          <w:p w14:paraId="751DD270" w14:textId="77777777" w:rsidR="009845E7" w:rsidRPr="00E44847" w:rsidRDefault="009845E7" w:rsidP="009845E7">
            <w:pPr>
              <w:tabs>
                <w:tab w:val="left" w:pos="948"/>
              </w:tabs>
              <w:suppressAutoHyphens/>
              <w:ind w:right="186"/>
              <w:jc w:val="right"/>
              <w:rPr>
                <w:rFonts w:cs="Arial"/>
                <w:spacing w:val="-2"/>
              </w:rPr>
            </w:pPr>
            <w:r w:rsidRPr="00E44847">
              <w:rPr>
                <w:rFonts w:cs="Arial"/>
                <w:spacing w:val="-2"/>
              </w:rPr>
              <w:t>-</w:t>
            </w:r>
          </w:p>
        </w:tc>
      </w:tr>
      <w:tr w:rsidR="009845E7" w:rsidRPr="00C328EF" w14:paraId="6ED9B918" w14:textId="77777777" w:rsidTr="00E57CC1">
        <w:tc>
          <w:tcPr>
            <w:tcW w:w="4644" w:type="dxa"/>
          </w:tcPr>
          <w:p w14:paraId="0410EA04" w14:textId="77777777" w:rsidR="009845E7" w:rsidRPr="00372501" w:rsidRDefault="009845E7" w:rsidP="009845E7">
            <w:pPr>
              <w:jc w:val="both"/>
            </w:pPr>
          </w:p>
        </w:tc>
        <w:tc>
          <w:tcPr>
            <w:tcW w:w="1418" w:type="dxa"/>
          </w:tcPr>
          <w:p w14:paraId="17EE3FB9" w14:textId="77777777" w:rsidR="009845E7" w:rsidRPr="00E44847" w:rsidRDefault="009845E7" w:rsidP="009845E7">
            <w:pPr>
              <w:jc w:val="center"/>
            </w:pPr>
            <w:r w:rsidRPr="00E44847">
              <w:rPr>
                <w:spacing w:val="-2"/>
              </w:rPr>
              <w:t>──────</w:t>
            </w:r>
          </w:p>
        </w:tc>
        <w:tc>
          <w:tcPr>
            <w:tcW w:w="1417" w:type="dxa"/>
          </w:tcPr>
          <w:p w14:paraId="2A0F4C63" w14:textId="77777777" w:rsidR="009845E7" w:rsidRPr="00E44847" w:rsidRDefault="009845E7" w:rsidP="009845E7">
            <w:pPr>
              <w:jc w:val="center"/>
            </w:pPr>
            <w:r w:rsidRPr="00E44847">
              <w:rPr>
                <w:spacing w:val="-2"/>
              </w:rPr>
              <w:t>──────</w:t>
            </w:r>
          </w:p>
        </w:tc>
        <w:tc>
          <w:tcPr>
            <w:tcW w:w="1418" w:type="dxa"/>
          </w:tcPr>
          <w:p w14:paraId="27F243F0" w14:textId="77777777" w:rsidR="009845E7" w:rsidRPr="00E44847" w:rsidRDefault="009845E7" w:rsidP="009845E7">
            <w:pPr>
              <w:jc w:val="center"/>
            </w:pPr>
            <w:r w:rsidRPr="00E44847">
              <w:rPr>
                <w:spacing w:val="-2"/>
              </w:rPr>
              <w:t>──────</w:t>
            </w:r>
          </w:p>
        </w:tc>
        <w:tc>
          <w:tcPr>
            <w:tcW w:w="1417" w:type="dxa"/>
          </w:tcPr>
          <w:p w14:paraId="14251D17" w14:textId="77777777" w:rsidR="009845E7" w:rsidRPr="00E44847" w:rsidRDefault="009845E7" w:rsidP="009845E7">
            <w:pPr>
              <w:jc w:val="center"/>
            </w:pPr>
            <w:r w:rsidRPr="00E44847">
              <w:rPr>
                <w:spacing w:val="-2"/>
              </w:rPr>
              <w:t>──────</w:t>
            </w:r>
          </w:p>
        </w:tc>
      </w:tr>
      <w:tr w:rsidR="009845E7" w:rsidRPr="00C328EF" w14:paraId="5286D793" w14:textId="77777777" w:rsidTr="00E57CC1">
        <w:tc>
          <w:tcPr>
            <w:tcW w:w="4644" w:type="dxa"/>
          </w:tcPr>
          <w:p w14:paraId="319EC156" w14:textId="77777777" w:rsidR="009845E7" w:rsidRPr="00372501" w:rsidRDefault="009845E7" w:rsidP="009845E7">
            <w:pPr>
              <w:jc w:val="both"/>
            </w:pPr>
          </w:p>
        </w:tc>
        <w:tc>
          <w:tcPr>
            <w:tcW w:w="1418" w:type="dxa"/>
          </w:tcPr>
          <w:p w14:paraId="326BBE36" w14:textId="77777777" w:rsidR="009845E7" w:rsidRPr="00E44847" w:rsidRDefault="009845E7" w:rsidP="009845E7">
            <w:pPr>
              <w:suppressAutoHyphens/>
              <w:ind w:right="138"/>
              <w:jc w:val="right"/>
              <w:rPr>
                <w:rFonts w:cs="Arial"/>
                <w:spacing w:val="-2"/>
              </w:rPr>
            </w:pPr>
            <w:r w:rsidRPr="00E44847">
              <w:rPr>
                <w:rFonts w:cs="Arial"/>
                <w:spacing w:val="-2"/>
              </w:rPr>
              <w:t>45,</w:t>
            </w:r>
            <w:r w:rsidR="00A84B35">
              <w:rPr>
                <w:rFonts w:cs="Arial"/>
                <w:spacing w:val="-2"/>
              </w:rPr>
              <w:t>252</w:t>
            </w:r>
          </w:p>
        </w:tc>
        <w:tc>
          <w:tcPr>
            <w:tcW w:w="1417" w:type="dxa"/>
          </w:tcPr>
          <w:p w14:paraId="6A6CD968" w14:textId="77777777" w:rsidR="009845E7" w:rsidRPr="00E44847" w:rsidRDefault="009845E7" w:rsidP="009845E7">
            <w:pPr>
              <w:suppressAutoHyphens/>
              <w:ind w:right="138"/>
              <w:jc w:val="right"/>
              <w:rPr>
                <w:rFonts w:cs="Arial"/>
                <w:spacing w:val="-2"/>
              </w:rPr>
            </w:pPr>
            <w:r w:rsidRPr="00E44847">
              <w:rPr>
                <w:rFonts w:cs="Arial"/>
                <w:spacing w:val="-2"/>
              </w:rPr>
              <w:t>46,299</w:t>
            </w:r>
          </w:p>
        </w:tc>
        <w:tc>
          <w:tcPr>
            <w:tcW w:w="1418" w:type="dxa"/>
          </w:tcPr>
          <w:p w14:paraId="6CDD6908" w14:textId="77777777" w:rsidR="009845E7" w:rsidRPr="00E44847" w:rsidRDefault="009845E7" w:rsidP="009845E7">
            <w:pPr>
              <w:suppressAutoHyphens/>
              <w:ind w:right="186"/>
              <w:jc w:val="right"/>
              <w:rPr>
                <w:rFonts w:cs="Arial"/>
                <w:spacing w:val="-2"/>
              </w:rPr>
            </w:pPr>
            <w:r w:rsidRPr="00E44847">
              <w:rPr>
                <w:rFonts w:cs="Arial"/>
                <w:spacing w:val="-2"/>
              </w:rPr>
              <w:t>33</w:t>
            </w:r>
          </w:p>
        </w:tc>
        <w:tc>
          <w:tcPr>
            <w:tcW w:w="1417" w:type="dxa"/>
          </w:tcPr>
          <w:p w14:paraId="05135A96" w14:textId="77777777" w:rsidR="009845E7" w:rsidRPr="00E44847" w:rsidRDefault="009845E7" w:rsidP="009845E7">
            <w:pPr>
              <w:suppressAutoHyphens/>
              <w:ind w:right="186"/>
              <w:jc w:val="right"/>
              <w:rPr>
                <w:rFonts w:cs="Arial"/>
                <w:spacing w:val="-2"/>
              </w:rPr>
            </w:pPr>
            <w:r w:rsidRPr="00E44847">
              <w:rPr>
                <w:rFonts w:cs="Arial"/>
                <w:spacing w:val="-2"/>
              </w:rPr>
              <w:t>30</w:t>
            </w:r>
          </w:p>
        </w:tc>
      </w:tr>
      <w:tr w:rsidR="009845E7" w:rsidRPr="00C328EF" w14:paraId="73BC562A" w14:textId="77777777" w:rsidTr="00E57CC1">
        <w:tc>
          <w:tcPr>
            <w:tcW w:w="4644" w:type="dxa"/>
          </w:tcPr>
          <w:p w14:paraId="1A090D41" w14:textId="77777777" w:rsidR="009845E7" w:rsidRPr="00372501" w:rsidRDefault="009845E7" w:rsidP="009845E7">
            <w:pPr>
              <w:suppressAutoHyphens/>
              <w:rPr>
                <w:rFonts w:cs="Arial"/>
                <w:spacing w:val="-2"/>
              </w:rPr>
            </w:pPr>
          </w:p>
        </w:tc>
        <w:tc>
          <w:tcPr>
            <w:tcW w:w="1418" w:type="dxa"/>
          </w:tcPr>
          <w:p w14:paraId="684E2AD6" w14:textId="77777777" w:rsidR="009845E7" w:rsidRPr="00E44847" w:rsidRDefault="009845E7" w:rsidP="009845E7">
            <w:pPr>
              <w:jc w:val="center"/>
            </w:pPr>
            <w:r w:rsidRPr="00E44847">
              <w:t>══════</w:t>
            </w:r>
          </w:p>
        </w:tc>
        <w:tc>
          <w:tcPr>
            <w:tcW w:w="1417" w:type="dxa"/>
          </w:tcPr>
          <w:p w14:paraId="19CE44BD" w14:textId="77777777" w:rsidR="009845E7" w:rsidRPr="00E44847" w:rsidRDefault="009845E7" w:rsidP="009845E7">
            <w:pPr>
              <w:jc w:val="center"/>
            </w:pPr>
            <w:r w:rsidRPr="00E44847">
              <w:t>══════</w:t>
            </w:r>
          </w:p>
        </w:tc>
        <w:tc>
          <w:tcPr>
            <w:tcW w:w="1418" w:type="dxa"/>
          </w:tcPr>
          <w:p w14:paraId="192FB6D7" w14:textId="77777777" w:rsidR="009845E7" w:rsidRPr="00E44847" w:rsidRDefault="009845E7" w:rsidP="009845E7">
            <w:pPr>
              <w:jc w:val="center"/>
            </w:pPr>
            <w:r w:rsidRPr="00E44847">
              <w:t>══════</w:t>
            </w:r>
          </w:p>
        </w:tc>
        <w:tc>
          <w:tcPr>
            <w:tcW w:w="1417" w:type="dxa"/>
          </w:tcPr>
          <w:p w14:paraId="56862813" w14:textId="77777777" w:rsidR="009845E7" w:rsidRPr="00E44847" w:rsidRDefault="009845E7" w:rsidP="009845E7">
            <w:pPr>
              <w:jc w:val="center"/>
            </w:pPr>
            <w:r w:rsidRPr="00E44847">
              <w:t>══════</w:t>
            </w:r>
          </w:p>
        </w:tc>
      </w:tr>
      <w:tr w:rsidR="009845E7" w:rsidRPr="00C328EF" w14:paraId="4D4FDD55" w14:textId="77777777" w:rsidTr="00E57CC1">
        <w:tc>
          <w:tcPr>
            <w:tcW w:w="4644" w:type="dxa"/>
          </w:tcPr>
          <w:p w14:paraId="1B426D5D" w14:textId="77777777" w:rsidR="009845E7" w:rsidRPr="00372501" w:rsidRDefault="009845E7" w:rsidP="009845E7">
            <w:pPr>
              <w:suppressAutoHyphens/>
              <w:rPr>
                <w:rFonts w:cs="Arial"/>
                <w:spacing w:val="-2"/>
              </w:rPr>
            </w:pPr>
          </w:p>
        </w:tc>
        <w:tc>
          <w:tcPr>
            <w:tcW w:w="1418" w:type="dxa"/>
          </w:tcPr>
          <w:p w14:paraId="5E6A5609" w14:textId="77777777" w:rsidR="009845E7" w:rsidRPr="00E44847" w:rsidRDefault="009845E7" w:rsidP="009845E7">
            <w:pPr>
              <w:suppressAutoHyphens/>
              <w:ind w:right="78"/>
              <w:jc w:val="right"/>
              <w:rPr>
                <w:rFonts w:cs="Arial"/>
                <w:spacing w:val="-2"/>
              </w:rPr>
            </w:pPr>
          </w:p>
        </w:tc>
        <w:tc>
          <w:tcPr>
            <w:tcW w:w="1417" w:type="dxa"/>
          </w:tcPr>
          <w:p w14:paraId="30737B86" w14:textId="77777777" w:rsidR="009845E7" w:rsidRPr="00E44847" w:rsidRDefault="009845E7" w:rsidP="009845E7">
            <w:pPr>
              <w:suppressAutoHyphens/>
              <w:ind w:right="78"/>
              <w:jc w:val="right"/>
              <w:rPr>
                <w:rFonts w:cs="Arial"/>
                <w:spacing w:val="-2"/>
              </w:rPr>
            </w:pPr>
          </w:p>
        </w:tc>
        <w:tc>
          <w:tcPr>
            <w:tcW w:w="1418" w:type="dxa"/>
          </w:tcPr>
          <w:p w14:paraId="59569EDE" w14:textId="77777777" w:rsidR="009845E7" w:rsidRPr="00E44847" w:rsidRDefault="009845E7" w:rsidP="009845E7">
            <w:pPr>
              <w:suppressAutoHyphens/>
              <w:ind w:right="25"/>
              <w:jc w:val="right"/>
              <w:rPr>
                <w:rFonts w:cs="Arial"/>
                <w:spacing w:val="-2"/>
              </w:rPr>
            </w:pPr>
          </w:p>
        </w:tc>
        <w:tc>
          <w:tcPr>
            <w:tcW w:w="1417" w:type="dxa"/>
          </w:tcPr>
          <w:p w14:paraId="6B1986A8" w14:textId="77777777" w:rsidR="009845E7" w:rsidRPr="00E44847" w:rsidRDefault="009845E7" w:rsidP="009845E7">
            <w:pPr>
              <w:suppressAutoHyphens/>
              <w:ind w:right="25"/>
              <w:jc w:val="right"/>
              <w:rPr>
                <w:rFonts w:cs="Arial"/>
                <w:spacing w:val="-2"/>
              </w:rPr>
            </w:pPr>
          </w:p>
        </w:tc>
      </w:tr>
      <w:tr w:rsidR="009845E7" w:rsidRPr="00C328EF" w14:paraId="0F977857" w14:textId="77777777" w:rsidTr="00E57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14:paraId="0BEADAED" w14:textId="77777777" w:rsidR="009845E7" w:rsidRPr="00372501" w:rsidRDefault="009845E7" w:rsidP="009845E7">
            <w:pPr>
              <w:tabs>
                <w:tab w:val="left" w:pos="2674"/>
              </w:tabs>
              <w:ind w:left="588"/>
            </w:pPr>
            <w:r w:rsidRPr="00372501">
              <w:t>Accrued expenses</w:t>
            </w:r>
            <w:r w:rsidRPr="00372501">
              <w:tab/>
            </w:r>
          </w:p>
        </w:tc>
        <w:tc>
          <w:tcPr>
            <w:tcW w:w="1418" w:type="dxa"/>
            <w:tcBorders>
              <w:top w:val="nil"/>
              <w:left w:val="nil"/>
              <w:bottom w:val="nil"/>
              <w:right w:val="nil"/>
            </w:tcBorders>
          </w:tcPr>
          <w:p w14:paraId="4BDD6FCB" w14:textId="77777777" w:rsidR="009845E7" w:rsidRPr="00E44847" w:rsidRDefault="009845E7" w:rsidP="009845E7">
            <w:pPr>
              <w:suppressAutoHyphens/>
              <w:ind w:right="138"/>
              <w:jc w:val="right"/>
              <w:rPr>
                <w:rFonts w:cs="Arial"/>
                <w:spacing w:val="-2"/>
              </w:rPr>
            </w:pPr>
            <w:r w:rsidRPr="00E44847">
              <w:rPr>
                <w:rFonts w:cs="Arial"/>
                <w:spacing w:val="-2"/>
              </w:rPr>
              <w:t>2,719</w:t>
            </w:r>
          </w:p>
        </w:tc>
        <w:tc>
          <w:tcPr>
            <w:tcW w:w="1417" w:type="dxa"/>
            <w:tcBorders>
              <w:top w:val="nil"/>
              <w:left w:val="nil"/>
              <w:bottom w:val="nil"/>
              <w:right w:val="nil"/>
            </w:tcBorders>
          </w:tcPr>
          <w:p w14:paraId="09169358" w14:textId="77777777" w:rsidR="009845E7" w:rsidRPr="00E44847" w:rsidRDefault="009845E7" w:rsidP="009845E7">
            <w:pPr>
              <w:suppressAutoHyphens/>
              <w:ind w:right="138"/>
              <w:jc w:val="right"/>
              <w:rPr>
                <w:rFonts w:cs="Arial"/>
                <w:spacing w:val="-2"/>
              </w:rPr>
            </w:pPr>
            <w:r w:rsidRPr="00E44847">
              <w:rPr>
                <w:rFonts w:cs="Arial"/>
                <w:spacing w:val="-2"/>
              </w:rPr>
              <w:t>3,337</w:t>
            </w:r>
          </w:p>
        </w:tc>
        <w:tc>
          <w:tcPr>
            <w:tcW w:w="1418" w:type="dxa"/>
            <w:tcBorders>
              <w:top w:val="nil"/>
              <w:left w:val="nil"/>
              <w:bottom w:val="nil"/>
              <w:right w:val="nil"/>
            </w:tcBorders>
          </w:tcPr>
          <w:p w14:paraId="421F4D38" w14:textId="77777777" w:rsidR="009845E7" w:rsidRPr="00E44847" w:rsidRDefault="009845E7" w:rsidP="009845E7">
            <w:pPr>
              <w:suppressAutoHyphens/>
              <w:ind w:right="170"/>
              <w:jc w:val="right"/>
              <w:rPr>
                <w:rFonts w:cs="Arial"/>
                <w:spacing w:val="-2"/>
              </w:rPr>
            </w:pPr>
            <w:r w:rsidRPr="00E44847">
              <w:rPr>
                <w:rFonts w:cs="Arial"/>
                <w:spacing w:val="-2"/>
              </w:rPr>
              <w:t>20</w:t>
            </w:r>
          </w:p>
        </w:tc>
        <w:tc>
          <w:tcPr>
            <w:tcW w:w="1417" w:type="dxa"/>
            <w:tcBorders>
              <w:top w:val="nil"/>
              <w:left w:val="nil"/>
              <w:bottom w:val="nil"/>
              <w:right w:val="nil"/>
            </w:tcBorders>
          </w:tcPr>
          <w:p w14:paraId="45E2244D" w14:textId="77777777" w:rsidR="009845E7" w:rsidRPr="00E44847" w:rsidRDefault="009845E7" w:rsidP="009845E7">
            <w:pPr>
              <w:suppressAutoHyphens/>
              <w:ind w:right="170"/>
              <w:jc w:val="right"/>
              <w:rPr>
                <w:rFonts w:cs="Arial"/>
                <w:spacing w:val="-2"/>
              </w:rPr>
            </w:pPr>
            <w:r w:rsidRPr="00E44847">
              <w:rPr>
                <w:rFonts w:cs="Arial"/>
                <w:spacing w:val="-2"/>
              </w:rPr>
              <w:t>19</w:t>
            </w:r>
          </w:p>
        </w:tc>
      </w:tr>
      <w:tr w:rsidR="009845E7" w:rsidRPr="00C328EF" w14:paraId="1F97FCA4" w14:textId="77777777" w:rsidTr="00E57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14:paraId="40F05754" w14:textId="77777777" w:rsidR="009845E7" w:rsidRPr="00372501" w:rsidRDefault="009845E7" w:rsidP="009845E7">
            <w:pPr>
              <w:ind w:left="588"/>
            </w:pPr>
            <w:r w:rsidRPr="00372501">
              <w:t>Income received in advance</w:t>
            </w:r>
          </w:p>
        </w:tc>
        <w:tc>
          <w:tcPr>
            <w:tcW w:w="1418" w:type="dxa"/>
            <w:tcBorders>
              <w:top w:val="nil"/>
              <w:left w:val="nil"/>
              <w:bottom w:val="nil"/>
              <w:right w:val="nil"/>
            </w:tcBorders>
          </w:tcPr>
          <w:p w14:paraId="5F53146B" w14:textId="77777777" w:rsidR="009845E7" w:rsidRPr="00E44847" w:rsidRDefault="009845E7" w:rsidP="009845E7">
            <w:pPr>
              <w:suppressAutoHyphens/>
              <w:ind w:right="138"/>
              <w:jc w:val="right"/>
              <w:rPr>
                <w:rFonts w:cs="Arial"/>
                <w:spacing w:val="-2"/>
              </w:rPr>
            </w:pPr>
            <w:r w:rsidRPr="00E44847">
              <w:rPr>
                <w:rFonts w:cs="Arial"/>
                <w:spacing w:val="-2"/>
              </w:rPr>
              <w:t>3,231</w:t>
            </w:r>
          </w:p>
        </w:tc>
        <w:tc>
          <w:tcPr>
            <w:tcW w:w="1417" w:type="dxa"/>
            <w:tcBorders>
              <w:top w:val="nil"/>
              <w:left w:val="nil"/>
              <w:bottom w:val="nil"/>
              <w:right w:val="nil"/>
            </w:tcBorders>
          </w:tcPr>
          <w:p w14:paraId="11434416" w14:textId="77777777" w:rsidR="009845E7" w:rsidRPr="00E44847" w:rsidRDefault="009845E7" w:rsidP="009845E7">
            <w:pPr>
              <w:suppressAutoHyphens/>
              <w:ind w:right="138"/>
              <w:jc w:val="right"/>
              <w:rPr>
                <w:rFonts w:cs="Arial"/>
                <w:spacing w:val="-2"/>
              </w:rPr>
            </w:pPr>
            <w:r w:rsidRPr="00E44847">
              <w:rPr>
                <w:rFonts w:cs="Arial"/>
                <w:spacing w:val="-2"/>
              </w:rPr>
              <w:t>3,657</w:t>
            </w:r>
          </w:p>
        </w:tc>
        <w:tc>
          <w:tcPr>
            <w:tcW w:w="1418" w:type="dxa"/>
            <w:tcBorders>
              <w:top w:val="nil"/>
              <w:left w:val="nil"/>
              <w:bottom w:val="nil"/>
              <w:right w:val="nil"/>
            </w:tcBorders>
          </w:tcPr>
          <w:p w14:paraId="5C97B318" w14:textId="77777777" w:rsidR="009845E7" w:rsidRPr="00E44847" w:rsidRDefault="009845E7" w:rsidP="009845E7">
            <w:pPr>
              <w:suppressAutoHyphens/>
              <w:ind w:right="170"/>
              <w:jc w:val="right"/>
              <w:rPr>
                <w:rFonts w:cs="Arial"/>
                <w:spacing w:val="-2"/>
              </w:rPr>
            </w:pPr>
            <w:r w:rsidRPr="00E44847">
              <w:rPr>
                <w:rFonts w:cs="Arial"/>
                <w:spacing w:val="-2"/>
              </w:rPr>
              <w:t>-</w:t>
            </w:r>
          </w:p>
        </w:tc>
        <w:tc>
          <w:tcPr>
            <w:tcW w:w="1417" w:type="dxa"/>
            <w:tcBorders>
              <w:top w:val="nil"/>
              <w:left w:val="nil"/>
              <w:bottom w:val="nil"/>
              <w:right w:val="nil"/>
            </w:tcBorders>
          </w:tcPr>
          <w:p w14:paraId="42BE74EA" w14:textId="77777777" w:rsidR="009845E7" w:rsidRPr="00E44847" w:rsidRDefault="009845E7" w:rsidP="009845E7">
            <w:pPr>
              <w:suppressAutoHyphens/>
              <w:ind w:right="170"/>
              <w:jc w:val="right"/>
              <w:rPr>
                <w:rFonts w:cs="Arial"/>
                <w:spacing w:val="-2"/>
              </w:rPr>
            </w:pPr>
            <w:r w:rsidRPr="00E44847">
              <w:rPr>
                <w:rFonts w:cs="Arial"/>
                <w:spacing w:val="-2"/>
              </w:rPr>
              <w:t>-</w:t>
            </w:r>
          </w:p>
        </w:tc>
      </w:tr>
      <w:tr w:rsidR="009845E7" w:rsidRPr="00C328EF" w14:paraId="1BC765FB" w14:textId="77777777" w:rsidTr="00E57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14:paraId="24C3EBEF" w14:textId="77777777" w:rsidR="009845E7" w:rsidRPr="00372501" w:rsidRDefault="009845E7" w:rsidP="009845E7">
            <w:pPr>
              <w:suppressAutoHyphens/>
              <w:rPr>
                <w:rFonts w:cs="Arial"/>
                <w:spacing w:val="-2"/>
              </w:rPr>
            </w:pPr>
          </w:p>
        </w:tc>
        <w:tc>
          <w:tcPr>
            <w:tcW w:w="1418" w:type="dxa"/>
            <w:tcBorders>
              <w:top w:val="nil"/>
              <w:left w:val="nil"/>
              <w:bottom w:val="nil"/>
              <w:right w:val="nil"/>
            </w:tcBorders>
          </w:tcPr>
          <w:p w14:paraId="0B3EE6D3" w14:textId="77777777" w:rsidR="009845E7" w:rsidRPr="00E44847" w:rsidRDefault="009845E7" w:rsidP="009845E7">
            <w:pPr>
              <w:suppressAutoHyphens/>
              <w:ind w:right="138"/>
              <w:jc w:val="right"/>
              <w:rPr>
                <w:rFonts w:cs="Arial"/>
                <w:spacing w:val="-2"/>
              </w:rPr>
            </w:pPr>
            <w:r w:rsidRPr="00E44847">
              <w:rPr>
                <w:rFonts w:cs="Arial"/>
                <w:spacing w:val="-2"/>
              </w:rPr>
              <w:t>──────</w:t>
            </w:r>
          </w:p>
        </w:tc>
        <w:tc>
          <w:tcPr>
            <w:tcW w:w="1417" w:type="dxa"/>
            <w:tcBorders>
              <w:top w:val="nil"/>
              <w:left w:val="nil"/>
              <w:bottom w:val="nil"/>
              <w:right w:val="nil"/>
            </w:tcBorders>
          </w:tcPr>
          <w:p w14:paraId="0729EC92" w14:textId="77777777" w:rsidR="009845E7" w:rsidRPr="00E44847" w:rsidRDefault="009845E7" w:rsidP="009845E7">
            <w:pPr>
              <w:suppressAutoHyphens/>
              <w:ind w:right="138"/>
              <w:jc w:val="right"/>
              <w:rPr>
                <w:rFonts w:cs="Arial"/>
                <w:spacing w:val="-2"/>
              </w:rPr>
            </w:pPr>
            <w:r w:rsidRPr="00E44847">
              <w:rPr>
                <w:rFonts w:cs="Arial"/>
                <w:spacing w:val="-2"/>
              </w:rPr>
              <w:t>──────</w:t>
            </w:r>
          </w:p>
        </w:tc>
        <w:tc>
          <w:tcPr>
            <w:tcW w:w="1418" w:type="dxa"/>
            <w:tcBorders>
              <w:top w:val="nil"/>
              <w:left w:val="nil"/>
              <w:bottom w:val="nil"/>
              <w:right w:val="nil"/>
            </w:tcBorders>
          </w:tcPr>
          <w:p w14:paraId="6E654E31" w14:textId="77777777" w:rsidR="009845E7" w:rsidRPr="00E44847" w:rsidRDefault="009845E7" w:rsidP="009845E7">
            <w:pPr>
              <w:suppressAutoHyphens/>
              <w:ind w:right="138"/>
              <w:jc w:val="right"/>
              <w:rPr>
                <w:rFonts w:cs="Arial"/>
                <w:spacing w:val="-2"/>
              </w:rPr>
            </w:pPr>
            <w:r w:rsidRPr="00E44847">
              <w:rPr>
                <w:rFonts w:cs="Arial"/>
                <w:spacing w:val="-2"/>
              </w:rPr>
              <w:t>──────</w:t>
            </w:r>
          </w:p>
        </w:tc>
        <w:tc>
          <w:tcPr>
            <w:tcW w:w="1417" w:type="dxa"/>
            <w:tcBorders>
              <w:top w:val="nil"/>
              <w:left w:val="nil"/>
              <w:bottom w:val="nil"/>
              <w:right w:val="nil"/>
            </w:tcBorders>
          </w:tcPr>
          <w:p w14:paraId="3F758DA2" w14:textId="77777777" w:rsidR="009845E7" w:rsidRPr="00E44847" w:rsidRDefault="009845E7" w:rsidP="009845E7">
            <w:pPr>
              <w:suppressAutoHyphens/>
              <w:ind w:right="138"/>
              <w:jc w:val="right"/>
              <w:rPr>
                <w:rFonts w:cs="Arial"/>
                <w:spacing w:val="-2"/>
              </w:rPr>
            </w:pPr>
            <w:r w:rsidRPr="00E44847">
              <w:rPr>
                <w:rFonts w:cs="Arial"/>
                <w:spacing w:val="-2"/>
              </w:rPr>
              <w:t>──────</w:t>
            </w:r>
          </w:p>
        </w:tc>
      </w:tr>
      <w:tr w:rsidR="009845E7" w:rsidRPr="00C328EF" w14:paraId="596D93BB" w14:textId="77777777" w:rsidTr="00E57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14:paraId="4BA017C3" w14:textId="77777777" w:rsidR="009845E7" w:rsidRPr="00C328EF" w:rsidRDefault="009845E7" w:rsidP="009845E7">
            <w:pPr>
              <w:suppressAutoHyphens/>
              <w:rPr>
                <w:rFonts w:cs="Arial"/>
                <w:spacing w:val="-2"/>
                <w:highlight w:val="yellow"/>
              </w:rPr>
            </w:pPr>
          </w:p>
        </w:tc>
        <w:tc>
          <w:tcPr>
            <w:tcW w:w="1418" w:type="dxa"/>
            <w:tcBorders>
              <w:top w:val="nil"/>
              <w:left w:val="nil"/>
              <w:bottom w:val="nil"/>
              <w:right w:val="nil"/>
            </w:tcBorders>
          </w:tcPr>
          <w:p w14:paraId="57BC7BEA" w14:textId="77777777" w:rsidR="009845E7" w:rsidRPr="009845E7" w:rsidRDefault="009845E7" w:rsidP="009845E7">
            <w:pPr>
              <w:suppressAutoHyphens/>
              <w:ind w:right="138"/>
              <w:jc w:val="right"/>
              <w:rPr>
                <w:rFonts w:cs="Arial"/>
                <w:spacing w:val="-2"/>
              </w:rPr>
            </w:pPr>
            <w:r w:rsidRPr="009845E7">
              <w:rPr>
                <w:rFonts w:cs="Arial"/>
                <w:spacing w:val="-2"/>
              </w:rPr>
              <w:t>5,950</w:t>
            </w:r>
          </w:p>
        </w:tc>
        <w:tc>
          <w:tcPr>
            <w:tcW w:w="1417" w:type="dxa"/>
            <w:tcBorders>
              <w:top w:val="nil"/>
              <w:left w:val="nil"/>
              <w:bottom w:val="nil"/>
              <w:right w:val="nil"/>
            </w:tcBorders>
          </w:tcPr>
          <w:p w14:paraId="74EAA54F" w14:textId="77777777" w:rsidR="009845E7" w:rsidRPr="00372501" w:rsidRDefault="009845E7" w:rsidP="009845E7">
            <w:pPr>
              <w:suppressAutoHyphens/>
              <w:ind w:right="138"/>
              <w:jc w:val="right"/>
              <w:rPr>
                <w:rFonts w:cs="Arial"/>
                <w:spacing w:val="-2"/>
              </w:rPr>
            </w:pPr>
            <w:r w:rsidRPr="00372501">
              <w:rPr>
                <w:rFonts w:cs="Arial"/>
                <w:spacing w:val="-2"/>
              </w:rPr>
              <w:t>6,994</w:t>
            </w:r>
          </w:p>
        </w:tc>
        <w:tc>
          <w:tcPr>
            <w:tcW w:w="1418" w:type="dxa"/>
            <w:tcBorders>
              <w:top w:val="nil"/>
              <w:left w:val="nil"/>
              <w:bottom w:val="nil"/>
              <w:right w:val="nil"/>
            </w:tcBorders>
          </w:tcPr>
          <w:p w14:paraId="68D4B7B7" w14:textId="77777777" w:rsidR="009845E7" w:rsidRPr="005B5B2A" w:rsidRDefault="009845E7" w:rsidP="009845E7">
            <w:pPr>
              <w:suppressAutoHyphens/>
              <w:ind w:right="170"/>
              <w:jc w:val="right"/>
              <w:rPr>
                <w:rFonts w:cs="Arial"/>
                <w:spacing w:val="-2"/>
              </w:rPr>
            </w:pPr>
            <w:r w:rsidRPr="005B5B2A">
              <w:rPr>
                <w:rFonts w:cs="Arial"/>
                <w:spacing w:val="-2"/>
              </w:rPr>
              <w:t>20</w:t>
            </w:r>
          </w:p>
        </w:tc>
        <w:tc>
          <w:tcPr>
            <w:tcW w:w="1417" w:type="dxa"/>
            <w:tcBorders>
              <w:top w:val="nil"/>
              <w:left w:val="nil"/>
              <w:bottom w:val="nil"/>
              <w:right w:val="nil"/>
            </w:tcBorders>
          </w:tcPr>
          <w:p w14:paraId="4398D699" w14:textId="77777777" w:rsidR="009845E7" w:rsidRPr="005B5B2A" w:rsidRDefault="009845E7" w:rsidP="009845E7">
            <w:pPr>
              <w:suppressAutoHyphens/>
              <w:ind w:right="170"/>
              <w:jc w:val="right"/>
              <w:rPr>
                <w:rFonts w:cs="Arial"/>
                <w:spacing w:val="-2"/>
              </w:rPr>
            </w:pPr>
            <w:r w:rsidRPr="005B5B2A">
              <w:rPr>
                <w:rFonts w:cs="Arial"/>
                <w:spacing w:val="-2"/>
              </w:rPr>
              <w:t>19</w:t>
            </w:r>
          </w:p>
        </w:tc>
      </w:tr>
      <w:tr w:rsidR="009845E7" w:rsidRPr="00C328EF" w14:paraId="19842D4C" w14:textId="77777777" w:rsidTr="00E57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14:paraId="5BC95934" w14:textId="77777777" w:rsidR="009845E7" w:rsidRPr="00C328EF" w:rsidRDefault="009845E7" w:rsidP="009845E7">
            <w:pPr>
              <w:suppressAutoHyphens/>
              <w:rPr>
                <w:rFonts w:cs="Arial"/>
                <w:spacing w:val="-2"/>
                <w:highlight w:val="yellow"/>
              </w:rPr>
            </w:pPr>
          </w:p>
        </w:tc>
        <w:tc>
          <w:tcPr>
            <w:tcW w:w="1418" w:type="dxa"/>
            <w:tcBorders>
              <w:top w:val="nil"/>
              <w:left w:val="nil"/>
              <w:bottom w:val="nil"/>
              <w:right w:val="nil"/>
            </w:tcBorders>
          </w:tcPr>
          <w:p w14:paraId="56700BC9" w14:textId="77777777" w:rsidR="009845E7" w:rsidRPr="009845E7" w:rsidRDefault="009845E7" w:rsidP="009845E7">
            <w:pPr>
              <w:suppressAutoHyphens/>
              <w:ind w:right="138"/>
              <w:jc w:val="right"/>
              <w:rPr>
                <w:rFonts w:cs="Arial"/>
                <w:spacing w:val="-2"/>
              </w:rPr>
            </w:pPr>
            <w:r w:rsidRPr="009845E7">
              <w:rPr>
                <w:rFonts w:cs="Arial"/>
                <w:spacing w:val="-2"/>
              </w:rPr>
              <w:t>══════</w:t>
            </w:r>
          </w:p>
        </w:tc>
        <w:tc>
          <w:tcPr>
            <w:tcW w:w="1417" w:type="dxa"/>
            <w:tcBorders>
              <w:top w:val="nil"/>
              <w:left w:val="nil"/>
              <w:bottom w:val="nil"/>
              <w:right w:val="nil"/>
            </w:tcBorders>
          </w:tcPr>
          <w:p w14:paraId="23810D71" w14:textId="77777777" w:rsidR="009845E7" w:rsidRPr="00372501" w:rsidRDefault="009845E7" w:rsidP="009845E7">
            <w:pPr>
              <w:suppressAutoHyphens/>
              <w:ind w:right="138"/>
              <w:jc w:val="right"/>
              <w:rPr>
                <w:rFonts w:cs="Arial"/>
                <w:spacing w:val="-2"/>
              </w:rPr>
            </w:pPr>
            <w:r w:rsidRPr="00372501">
              <w:rPr>
                <w:rFonts w:cs="Arial"/>
                <w:spacing w:val="-2"/>
              </w:rPr>
              <w:t>══════</w:t>
            </w:r>
          </w:p>
        </w:tc>
        <w:tc>
          <w:tcPr>
            <w:tcW w:w="1418" w:type="dxa"/>
            <w:tcBorders>
              <w:top w:val="nil"/>
              <w:left w:val="nil"/>
              <w:bottom w:val="nil"/>
              <w:right w:val="nil"/>
            </w:tcBorders>
          </w:tcPr>
          <w:p w14:paraId="28ED5F59" w14:textId="77777777" w:rsidR="009845E7" w:rsidRPr="005B5B2A" w:rsidRDefault="009845E7" w:rsidP="009845E7">
            <w:pPr>
              <w:suppressAutoHyphens/>
              <w:ind w:right="138"/>
              <w:jc w:val="right"/>
              <w:rPr>
                <w:rFonts w:cs="Arial"/>
                <w:spacing w:val="-2"/>
              </w:rPr>
            </w:pPr>
            <w:r w:rsidRPr="005B5B2A">
              <w:rPr>
                <w:rFonts w:cs="Arial"/>
                <w:spacing w:val="-2"/>
              </w:rPr>
              <w:t>══════</w:t>
            </w:r>
          </w:p>
        </w:tc>
        <w:tc>
          <w:tcPr>
            <w:tcW w:w="1417" w:type="dxa"/>
            <w:tcBorders>
              <w:top w:val="nil"/>
              <w:left w:val="nil"/>
              <w:bottom w:val="nil"/>
              <w:right w:val="nil"/>
            </w:tcBorders>
          </w:tcPr>
          <w:p w14:paraId="356FB51F" w14:textId="77777777" w:rsidR="009845E7" w:rsidRPr="005B5B2A" w:rsidRDefault="009845E7" w:rsidP="009845E7">
            <w:pPr>
              <w:suppressAutoHyphens/>
              <w:ind w:right="138"/>
              <w:jc w:val="right"/>
              <w:rPr>
                <w:rFonts w:cs="Arial"/>
                <w:spacing w:val="-2"/>
              </w:rPr>
            </w:pPr>
            <w:r w:rsidRPr="005B5B2A">
              <w:rPr>
                <w:rFonts w:cs="Arial"/>
                <w:spacing w:val="-2"/>
              </w:rPr>
              <w:t>══════</w:t>
            </w:r>
          </w:p>
        </w:tc>
      </w:tr>
    </w:tbl>
    <w:p w14:paraId="7ECA7793" w14:textId="77777777" w:rsidR="0094037F" w:rsidRPr="00F45179" w:rsidRDefault="008009DB" w:rsidP="0094037F">
      <w:pPr>
        <w:ind w:left="78"/>
        <w:jc w:val="center"/>
        <w:rPr>
          <w:b/>
        </w:rPr>
      </w:pPr>
      <w:r w:rsidRPr="00C328EF">
        <w:rPr>
          <w:b/>
          <w:highlight w:val="yellow"/>
        </w:rPr>
        <w:br w:type="page"/>
      </w:r>
      <w:r w:rsidR="0094037F" w:rsidRPr="00F45179">
        <w:rPr>
          <w:b/>
        </w:rPr>
        <w:lastRenderedPageBreak/>
        <w:t>TRANSPORT FOR EDINBURGH LIMITED</w:t>
      </w:r>
    </w:p>
    <w:p w14:paraId="385A40BB" w14:textId="77777777" w:rsidR="0094037F" w:rsidRPr="00F45179" w:rsidRDefault="0094037F" w:rsidP="0094037F">
      <w:pPr>
        <w:jc w:val="center"/>
        <w:rPr>
          <w:b/>
        </w:rPr>
      </w:pPr>
    </w:p>
    <w:p w14:paraId="7972295C" w14:textId="77777777" w:rsidR="0094037F" w:rsidRPr="00F45179" w:rsidRDefault="0094037F" w:rsidP="0094037F">
      <w:pPr>
        <w:jc w:val="center"/>
        <w:rPr>
          <w:b/>
        </w:rPr>
      </w:pPr>
      <w:r w:rsidRPr="00F45179">
        <w:rPr>
          <w:b/>
        </w:rPr>
        <w:t>Notes to the Financial Statements (continued)</w:t>
      </w:r>
    </w:p>
    <w:p w14:paraId="2BA9B00D" w14:textId="77777777" w:rsidR="0094037F" w:rsidRPr="00F45179" w:rsidRDefault="0094037F" w:rsidP="0094037F">
      <w:pPr>
        <w:jc w:val="center"/>
        <w:rPr>
          <w:b/>
        </w:rPr>
      </w:pPr>
    </w:p>
    <w:p w14:paraId="27D39F7E" w14:textId="77777777" w:rsidR="0094037F" w:rsidRPr="00F45179" w:rsidRDefault="00D90B89" w:rsidP="0094037F">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7C9A6429" w14:textId="77777777" w:rsidR="00BF590C" w:rsidRDefault="00BF590C" w:rsidP="00965A04">
      <w:pPr>
        <w:tabs>
          <w:tab w:val="left" w:pos="567"/>
          <w:tab w:val="left" w:pos="1134"/>
        </w:tabs>
        <w:rPr>
          <w:b/>
        </w:rPr>
      </w:pPr>
    </w:p>
    <w:p w14:paraId="4A016C5C" w14:textId="77777777" w:rsidR="005461CD" w:rsidRPr="005461CD" w:rsidRDefault="005461CD" w:rsidP="00A5227C">
      <w:pPr>
        <w:numPr>
          <w:ilvl w:val="0"/>
          <w:numId w:val="40"/>
        </w:numPr>
        <w:tabs>
          <w:tab w:val="num" w:pos="567"/>
        </w:tabs>
        <w:ind w:left="360"/>
        <w:rPr>
          <w:b/>
        </w:rPr>
      </w:pPr>
      <w:r w:rsidRPr="005461CD">
        <w:rPr>
          <w:b/>
        </w:rPr>
        <w:t xml:space="preserve">Derivative financial instruments </w:t>
      </w:r>
    </w:p>
    <w:tbl>
      <w:tblPr>
        <w:tblW w:w="10314" w:type="dxa"/>
        <w:tblLayout w:type="fixed"/>
        <w:tblLook w:val="0000" w:firstRow="0" w:lastRow="0" w:firstColumn="0" w:lastColumn="0" w:noHBand="0" w:noVBand="0"/>
      </w:tblPr>
      <w:tblGrid>
        <w:gridCol w:w="4503"/>
        <w:gridCol w:w="1559"/>
        <w:gridCol w:w="283"/>
        <w:gridCol w:w="1134"/>
        <w:gridCol w:w="1418"/>
        <w:gridCol w:w="1417"/>
      </w:tblGrid>
      <w:tr w:rsidR="005461CD" w:rsidRPr="005461CD" w14:paraId="475E8695" w14:textId="77777777" w:rsidTr="00672ACD">
        <w:tc>
          <w:tcPr>
            <w:tcW w:w="4503" w:type="dxa"/>
          </w:tcPr>
          <w:p w14:paraId="33A6DBD1" w14:textId="77777777" w:rsidR="005461CD" w:rsidRPr="005461CD" w:rsidRDefault="005461CD" w:rsidP="00872B96">
            <w:pPr>
              <w:ind w:left="546"/>
              <w:rPr>
                <w:b/>
              </w:rPr>
            </w:pPr>
          </w:p>
        </w:tc>
        <w:tc>
          <w:tcPr>
            <w:tcW w:w="2976" w:type="dxa"/>
            <w:gridSpan w:val="3"/>
          </w:tcPr>
          <w:p w14:paraId="234BA4F6" w14:textId="77777777" w:rsidR="005461CD" w:rsidRPr="005461CD" w:rsidRDefault="005461CD" w:rsidP="00872B96">
            <w:pPr>
              <w:ind w:left="113"/>
              <w:jc w:val="center"/>
              <w:rPr>
                <w:b/>
              </w:rPr>
            </w:pPr>
            <w:r w:rsidRPr="005461CD">
              <w:rPr>
                <w:b/>
              </w:rPr>
              <w:t>Consolidated Group</w:t>
            </w:r>
          </w:p>
        </w:tc>
        <w:tc>
          <w:tcPr>
            <w:tcW w:w="2835" w:type="dxa"/>
            <w:gridSpan w:val="2"/>
          </w:tcPr>
          <w:p w14:paraId="28044883" w14:textId="77777777" w:rsidR="005461CD" w:rsidRPr="005461CD" w:rsidRDefault="005461CD" w:rsidP="00872B96">
            <w:pPr>
              <w:jc w:val="center"/>
              <w:rPr>
                <w:b/>
              </w:rPr>
            </w:pPr>
            <w:r w:rsidRPr="005461CD">
              <w:rPr>
                <w:b/>
              </w:rPr>
              <w:t>Parent Entity</w:t>
            </w:r>
          </w:p>
        </w:tc>
      </w:tr>
      <w:tr w:rsidR="005461CD" w:rsidRPr="005461CD" w14:paraId="6D11CC8F" w14:textId="77777777" w:rsidTr="00672ACD">
        <w:tc>
          <w:tcPr>
            <w:tcW w:w="4503" w:type="dxa"/>
          </w:tcPr>
          <w:p w14:paraId="105DD66D" w14:textId="77777777" w:rsidR="005461CD" w:rsidRPr="005461CD" w:rsidRDefault="005461CD" w:rsidP="00872B96">
            <w:pPr>
              <w:ind w:left="546"/>
              <w:jc w:val="both"/>
              <w:rPr>
                <w:b/>
              </w:rPr>
            </w:pPr>
          </w:p>
        </w:tc>
        <w:tc>
          <w:tcPr>
            <w:tcW w:w="1559" w:type="dxa"/>
          </w:tcPr>
          <w:p w14:paraId="7AF7D455" w14:textId="77777777" w:rsidR="005461CD" w:rsidRPr="005461CD" w:rsidRDefault="000A5878" w:rsidP="00872B96">
            <w:pPr>
              <w:suppressAutoHyphens/>
              <w:ind w:right="138"/>
              <w:jc w:val="right"/>
              <w:rPr>
                <w:rFonts w:cs="Arial"/>
                <w:b/>
                <w:spacing w:val="-2"/>
              </w:rPr>
            </w:pPr>
            <w:r>
              <w:rPr>
                <w:rFonts w:cs="Arial"/>
                <w:b/>
                <w:spacing w:val="-2"/>
              </w:rPr>
              <w:t>28/12/</w:t>
            </w:r>
            <w:r w:rsidR="005461CD" w:rsidRPr="005461CD">
              <w:rPr>
                <w:rFonts w:cs="Arial"/>
                <w:b/>
                <w:spacing w:val="-2"/>
              </w:rPr>
              <w:t>2024</w:t>
            </w:r>
          </w:p>
        </w:tc>
        <w:tc>
          <w:tcPr>
            <w:tcW w:w="1417" w:type="dxa"/>
            <w:gridSpan w:val="2"/>
          </w:tcPr>
          <w:p w14:paraId="1099BEB0" w14:textId="77777777" w:rsidR="005461CD" w:rsidRPr="005461CD" w:rsidRDefault="000A5878" w:rsidP="00872B96">
            <w:pPr>
              <w:suppressAutoHyphens/>
              <w:ind w:right="138"/>
              <w:jc w:val="right"/>
              <w:rPr>
                <w:rFonts w:cs="Arial"/>
                <w:b/>
                <w:spacing w:val="-2"/>
              </w:rPr>
            </w:pPr>
            <w:r>
              <w:rPr>
                <w:rFonts w:cs="Arial"/>
                <w:b/>
                <w:spacing w:val="-2"/>
              </w:rPr>
              <w:t>30/12/</w:t>
            </w:r>
            <w:r w:rsidR="005461CD" w:rsidRPr="005461CD">
              <w:rPr>
                <w:rFonts w:cs="Arial"/>
                <w:b/>
                <w:spacing w:val="-2"/>
              </w:rPr>
              <w:t>2023</w:t>
            </w:r>
          </w:p>
        </w:tc>
        <w:tc>
          <w:tcPr>
            <w:tcW w:w="1418" w:type="dxa"/>
          </w:tcPr>
          <w:p w14:paraId="75351883" w14:textId="77777777" w:rsidR="005461CD" w:rsidRPr="005461CD" w:rsidRDefault="000A5878" w:rsidP="00872B96">
            <w:pPr>
              <w:suppressAutoHyphens/>
              <w:ind w:right="138"/>
              <w:jc w:val="right"/>
              <w:rPr>
                <w:rFonts w:cs="Arial"/>
                <w:b/>
                <w:spacing w:val="-2"/>
              </w:rPr>
            </w:pPr>
            <w:r>
              <w:rPr>
                <w:rFonts w:cs="Arial"/>
                <w:b/>
                <w:spacing w:val="-2"/>
              </w:rPr>
              <w:t>28/12/</w:t>
            </w:r>
            <w:r w:rsidR="005461CD" w:rsidRPr="005461CD">
              <w:rPr>
                <w:rFonts w:cs="Arial"/>
                <w:b/>
                <w:spacing w:val="-2"/>
              </w:rPr>
              <w:t>2024</w:t>
            </w:r>
          </w:p>
        </w:tc>
        <w:tc>
          <w:tcPr>
            <w:tcW w:w="1417" w:type="dxa"/>
          </w:tcPr>
          <w:p w14:paraId="10FA4ABC" w14:textId="77777777" w:rsidR="005461CD" w:rsidRPr="005461CD" w:rsidRDefault="000A5878" w:rsidP="00872B96">
            <w:pPr>
              <w:suppressAutoHyphens/>
              <w:ind w:right="138"/>
              <w:jc w:val="right"/>
              <w:rPr>
                <w:rFonts w:cs="Arial"/>
                <w:b/>
                <w:spacing w:val="-2"/>
              </w:rPr>
            </w:pPr>
            <w:r>
              <w:rPr>
                <w:rFonts w:cs="Arial"/>
                <w:b/>
                <w:spacing w:val="-2"/>
              </w:rPr>
              <w:t>30/12/</w:t>
            </w:r>
            <w:r w:rsidR="005461CD" w:rsidRPr="005461CD">
              <w:rPr>
                <w:rFonts w:cs="Arial"/>
                <w:b/>
                <w:spacing w:val="-2"/>
              </w:rPr>
              <w:t>2023</w:t>
            </w:r>
          </w:p>
        </w:tc>
      </w:tr>
      <w:tr w:rsidR="005461CD" w:rsidRPr="00C328EF" w14:paraId="7CCB998F" w14:textId="77777777" w:rsidTr="00672ACD">
        <w:tc>
          <w:tcPr>
            <w:tcW w:w="4503" w:type="dxa"/>
          </w:tcPr>
          <w:p w14:paraId="5EE187FA" w14:textId="77777777" w:rsidR="005461CD" w:rsidRPr="00372501" w:rsidRDefault="005461CD" w:rsidP="00872B96">
            <w:pPr>
              <w:ind w:left="546"/>
              <w:jc w:val="both"/>
              <w:rPr>
                <w:b/>
              </w:rPr>
            </w:pPr>
          </w:p>
        </w:tc>
        <w:tc>
          <w:tcPr>
            <w:tcW w:w="1559" w:type="dxa"/>
          </w:tcPr>
          <w:p w14:paraId="0D2A6FBE" w14:textId="77777777" w:rsidR="005461CD" w:rsidRPr="00372501" w:rsidRDefault="005461CD" w:rsidP="00872B96">
            <w:pPr>
              <w:suppressAutoHyphens/>
              <w:ind w:right="138"/>
              <w:jc w:val="right"/>
              <w:rPr>
                <w:rFonts w:cs="Arial"/>
                <w:b/>
                <w:spacing w:val="-2"/>
              </w:rPr>
            </w:pPr>
            <w:r w:rsidRPr="00372501">
              <w:rPr>
                <w:rFonts w:cs="Arial"/>
                <w:b/>
                <w:spacing w:val="-2"/>
              </w:rPr>
              <w:t>£’000</w:t>
            </w:r>
          </w:p>
        </w:tc>
        <w:tc>
          <w:tcPr>
            <w:tcW w:w="1417" w:type="dxa"/>
            <w:gridSpan w:val="2"/>
          </w:tcPr>
          <w:p w14:paraId="300D9169" w14:textId="77777777" w:rsidR="005461CD" w:rsidRPr="00372501" w:rsidRDefault="005461CD" w:rsidP="00872B96">
            <w:pPr>
              <w:suppressAutoHyphens/>
              <w:ind w:right="138"/>
              <w:jc w:val="right"/>
              <w:rPr>
                <w:rFonts w:cs="Arial"/>
                <w:b/>
                <w:spacing w:val="-2"/>
              </w:rPr>
            </w:pPr>
            <w:r w:rsidRPr="00372501">
              <w:rPr>
                <w:rFonts w:cs="Arial"/>
                <w:b/>
                <w:spacing w:val="-2"/>
              </w:rPr>
              <w:t>£’000</w:t>
            </w:r>
          </w:p>
        </w:tc>
        <w:tc>
          <w:tcPr>
            <w:tcW w:w="1418" w:type="dxa"/>
          </w:tcPr>
          <w:p w14:paraId="13902444" w14:textId="77777777" w:rsidR="005461CD" w:rsidRPr="005B5B2A" w:rsidRDefault="005461CD" w:rsidP="00872B96">
            <w:pPr>
              <w:suppressAutoHyphens/>
              <w:ind w:right="138"/>
              <w:jc w:val="right"/>
              <w:rPr>
                <w:rFonts w:cs="Arial"/>
                <w:b/>
                <w:spacing w:val="-2"/>
              </w:rPr>
            </w:pPr>
            <w:r w:rsidRPr="005B5B2A">
              <w:rPr>
                <w:rFonts w:cs="Arial"/>
                <w:b/>
                <w:spacing w:val="-2"/>
              </w:rPr>
              <w:t>£’000</w:t>
            </w:r>
          </w:p>
        </w:tc>
        <w:tc>
          <w:tcPr>
            <w:tcW w:w="1417" w:type="dxa"/>
          </w:tcPr>
          <w:p w14:paraId="1BCC043F" w14:textId="77777777" w:rsidR="005461CD" w:rsidRPr="005B5B2A" w:rsidRDefault="005461CD" w:rsidP="00872B96">
            <w:pPr>
              <w:suppressAutoHyphens/>
              <w:ind w:right="138"/>
              <w:jc w:val="right"/>
              <w:rPr>
                <w:rFonts w:cs="Arial"/>
                <w:b/>
                <w:spacing w:val="-2"/>
              </w:rPr>
            </w:pPr>
            <w:r w:rsidRPr="005B5B2A">
              <w:rPr>
                <w:rFonts w:cs="Arial"/>
                <w:b/>
                <w:spacing w:val="-2"/>
              </w:rPr>
              <w:t>£’000</w:t>
            </w:r>
          </w:p>
        </w:tc>
      </w:tr>
      <w:tr w:rsidR="005461CD" w:rsidRPr="00C328EF" w14:paraId="4A620A68" w14:textId="77777777" w:rsidTr="00672ACD">
        <w:tc>
          <w:tcPr>
            <w:tcW w:w="4503" w:type="dxa"/>
          </w:tcPr>
          <w:p w14:paraId="29CEF764" w14:textId="77777777" w:rsidR="005461CD" w:rsidRPr="00372501" w:rsidRDefault="005461CD" w:rsidP="00977682">
            <w:pPr>
              <w:ind w:left="510"/>
              <w:jc w:val="both"/>
            </w:pPr>
            <w:r w:rsidRPr="00372501">
              <w:rPr>
                <w:b/>
              </w:rPr>
              <w:t>(Liabilities)/assets</w:t>
            </w:r>
          </w:p>
        </w:tc>
        <w:tc>
          <w:tcPr>
            <w:tcW w:w="1559" w:type="dxa"/>
          </w:tcPr>
          <w:p w14:paraId="03F5754C" w14:textId="77777777" w:rsidR="005461CD" w:rsidRPr="00372501" w:rsidRDefault="005461CD" w:rsidP="00872B96">
            <w:pPr>
              <w:suppressAutoHyphens/>
              <w:ind w:right="138"/>
              <w:jc w:val="right"/>
              <w:rPr>
                <w:rFonts w:cs="Arial"/>
                <w:spacing w:val="-2"/>
              </w:rPr>
            </w:pPr>
          </w:p>
        </w:tc>
        <w:tc>
          <w:tcPr>
            <w:tcW w:w="1417" w:type="dxa"/>
            <w:gridSpan w:val="2"/>
          </w:tcPr>
          <w:p w14:paraId="7AA1A066" w14:textId="77777777" w:rsidR="005461CD" w:rsidRPr="00372501" w:rsidRDefault="005461CD" w:rsidP="00872B96">
            <w:pPr>
              <w:suppressAutoHyphens/>
              <w:ind w:right="138"/>
              <w:jc w:val="right"/>
              <w:rPr>
                <w:rFonts w:cs="Arial"/>
                <w:spacing w:val="-2"/>
              </w:rPr>
            </w:pPr>
          </w:p>
        </w:tc>
        <w:tc>
          <w:tcPr>
            <w:tcW w:w="1418" w:type="dxa"/>
          </w:tcPr>
          <w:p w14:paraId="25936750" w14:textId="77777777" w:rsidR="005461CD" w:rsidRPr="005B5B2A" w:rsidRDefault="005461CD" w:rsidP="00872B96">
            <w:pPr>
              <w:suppressAutoHyphens/>
              <w:ind w:right="138"/>
              <w:jc w:val="right"/>
              <w:rPr>
                <w:rFonts w:cs="Arial"/>
                <w:spacing w:val="-2"/>
              </w:rPr>
            </w:pPr>
          </w:p>
        </w:tc>
        <w:tc>
          <w:tcPr>
            <w:tcW w:w="1417" w:type="dxa"/>
          </w:tcPr>
          <w:p w14:paraId="22EF1E17" w14:textId="77777777" w:rsidR="005461CD" w:rsidRPr="005B5B2A" w:rsidRDefault="005461CD" w:rsidP="00872B96">
            <w:pPr>
              <w:suppressAutoHyphens/>
              <w:ind w:right="138"/>
              <w:jc w:val="right"/>
              <w:rPr>
                <w:rFonts w:cs="Arial"/>
                <w:spacing w:val="-2"/>
              </w:rPr>
            </w:pPr>
          </w:p>
        </w:tc>
      </w:tr>
      <w:tr w:rsidR="005461CD" w:rsidRPr="00C328EF" w14:paraId="46686701" w14:textId="77777777" w:rsidTr="00672ACD">
        <w:tc>
          <w:tcPr>
            <w:tcW w:w="4503" w:type="dxa"/>
          </w:tcPr>
          <w:p w14:paraId="2E361E82" w14:textId="77777777" w:rsidR="005461CD" w:rsidRPr="00372501" w:rsidRDefault="005461CD" w:rsidP="00977682">
            <w:pPr>
              <w:ind w:left="510"/>
              <w:jc w:val="both"/>
            </w:pPr>
            <w:r w:rsidRPr="00372501">
              <w:t>No later than one year</w:t>
            </w:r>
          </w:p>
        </w:tc>
        <w:tc>
          <w:tcPr>
            <w:tcW w:w="1559" w:type="dxa"/>
          </w:tcPr>
          <w:p w14:paraId="6D3D3C30" w14:textId="77777777" w:rsidR="005461CD" w:rsidRPr="00110FEE" w:rsidRDefault="005461CD" w:rsidP="00872B96">
            <w:pPr>
              <w:suppressAutoHyphens/>
              <w:ind w:right="138"/>
              <w:jc w:val="right"/>
              <w:rPr>
                <w:rFonts w:cs="Arial"/>
                <w:spacing w:val="-2"/>
              </w:rPr>
            </w:pPr>
            <w:r w:rsidRPr="00110FEE">
              <w:rPr>
                <w:rFonts w:cs="Arial"/>
                <w:spacing w:val="-2"/>
              </w:rPr>
              <w:t>(310)</w:t>
            </w:r>
          </w:p>
        </w:tc>
        <w:tc>
          <w:tcPr>
            <w:tcW w:w="1417" w:type="dxa"/>
            <w:gridSpan w:val="2"/>
          </w:tcPr>
          <w:p w14:paraId="613AEAE8" w14:textId="77777777" w:rsidR="005461CD" w:rsidRPr="00372501" w:rsidRDefault="005461CD" w:rsidP="00872B96">
            <w:pPr>
              <w:suppressAutoHyphens/>
              <w:ind w:right="138"/>
              <w:jc w:val="right"/>
              <w:rPr>
                <w:rFonts w:cs="Arial"/>
                <w:spacing w:val="-2"/>
              </w:rPr>
            </w:pPr>
            <w:r w:rsidRPr="00372501">
              <w:rPr>
                <w:rFonts w:cs="Arial"/>
                <w:spacing w:val="-2"/>
              </w:rPr>
              <w:t>(689)</w:t>
            </w:r>
          </w:p>
        </w:tc>
        <w:tc>
          <w:tcPr>
            <w:tcW w:w="1418" w:type="dxa"/>
          </w:tcPr>
          <w:p w14:paraId="2C52AEA8" w14:textId="77777777" w:rsidR="005461CD" w:rsidRPr="005B5B2A" w:rsidRDefault="005461CD" w:rsidP="00872B96">
            <w:pPr>
              <w:suppressAutoHyphens/>
              <w:ind w:right="138"/>
              <w:jc w:val="right"/>
              <w:rPr>
                <w:rFonts w:cs="Arial"/>
                <w:spacing w:val="-2"/>
              </w:rPr>
            </w:pPr>
            <w:r w:rsidRPr="005B5B2A">
              <w:rPr>
                <w:rFonts w:cs="Arial"/>
                <w:spacing w:val="-2"/>
              </w:rPr>
              <w:t>-</w:t>
            </w:r>
          </w:p>
        </w:tc>
        <w:tc>
          <w:tcPr>
            <w:tcW w:w="1417" w:type="dxa"/>
          </w:tcPr>
          <w:p w14:paraId="7B033DD7" w14:textId="77777777" w:rsidR="005461CD" w:rsidRPr="005B5B2A" w:rsidRDefault="005461CD" w:rsidP="00872B96">
            <w:pPr>
              <w:suppressAutoHyphens/>
              <w:ind w:right="138"/>
              <w:jc w:val="right"/>
              <w:rPr>
                <w:rFonts w:cs="Arial"/>
                <w:spacing w:val="-2"/>
              </w:rPr>
            </w:pPr>
            <w:r w:rsidRPr="005B5B2A">
              <w:rPr>
                <w:rFonts w:cs="Arial"/>
                <w:spacing w:val="-2"/>
              </w:rPr>
              <w:t>-</w:t>
            </w:r>
          </w:p>
        </w:tc>
      </w:tr>
      <w:tr w:rsidR="005461CD" w:rsidRPr="00C328EF" w14:paraId="2FAF079B" w14:textId="77777777" w:rsidTr="00672ACD">
        <w:tc>
          <w:tcPr>
            <w:tcW w:w="4503" w:type="dxa"/>
          </w:tcPr>
          <w:p w14:paraId="2E445B9E" w14:textId="77777777" w:rsidR="005461CD" w:rsidRPr="00372501" w:rsidRDefault="005461CD" w:rsidP="00977682">
            <w:pPr>
              <w:ind w:left="510"/>
            </w:pPr>
            <w:r w:rsidRPr="00372501">
              <w:t>Later than one year but no later than five years</w:t>
            </w:r>
          </w:p>
        </w:tc>
        <w:tc>
          <w:tcPr>
            <w:tcW w:w="1559" w:type="dxa"/>
          </w:tcPr>
          <w:p w14:paraId="0F7B9677" w14:textId="77777777" w:rsidR="005461CD" w:rsidRPr="00110FEE" w:rsidRDefault="005461CD" w:rsidP="00872B96">
            <w:pPr>
              <w:suppressAutoHyphens/>
              <w:ind w:right="138"/>
              <w:jc w:val="right"/>
              <w:rPr>
                <w:rFonts w:cs="Arial"/>
                <w:spacing w:val="-2"/>
              </w:rPr>
            </w:pPr>
            <w:r w:rsidRPr="00110FEE">
              <w:rPr>
                <w:rFonts w:cs="Arial"/>
                <w:spacing w:val="-2"/>
              </w:rPr>
              <w:t>(195)</w:t>
            </w:r>
          </w:p>
        </w:tc>
        <w:tc>
          <w:tcPr>
            <w:tcW w:w="1417" w:type="dxa"/>
            <w:gridSpan w:val="2"/>
          </w:tcPr>
          <w:p w14:paraId="13481372" w14:textId="77777777" w:rsidR="005461CD" w:rsidRPr="00372501" w:rsidRDefault="005461CD" w:rsidP="00872B96">
            <w:pPr>
              <w:suppressAutoHyphens/>
              <w:ind w:right="138"/>
              <w:jc w:val="right"/>
              <w:rPr>
                <w:rFonts w:cs="Arial"/>
                <w:spacing w:val="-2"/>
              </w:rPr>
            </w:pPr>
            <w:r w:rsidRPr="00372501">
              <w:rPr>
                <w:rFonts w:cs="Arial"/>
                <w:spacing w:val="-2"/>
              </w:rPr>
              <w:t>(1,016)</w:t>
            </w:r>
          </w:p>
        </w:tc>
        <w:tc>
          <w:tcPr>
            <w:tcW w:w="1418" w:type="dxa"/>
          </w:tcPr>
          <w:p w14:paraId="4F1EC971" w14:textId="77777777" w:rsidR="005461CD" w:rsidRPr="005B5B2A" w:rsidRDefault="005461CD" w:rsidP="00872B96">
            <w:pPr>
              <w:suppressAutoHyphens/>
              <w:ind w:right="138"/>
              <w:jc w:val="right"/>
              <w:rPr>
                <w:rFonts w:cs="Arial"/>
                <w:spacing w:val="-2"/>
              </w:rPr>
            </w:pPr>
            <w:r w:rsidRPr="005B5B2A">
              <w:rPr>
                <w:rFonts w:cs="Arial"/>
                <w:spacing w:val="-2"/>
              </w:rPr>
              <w:t>-</w:t>
            </w:r>
          </w:p>
        </w:tc>
        <w:tc>
          <w:tcPr>
            <w:tcW w:w="1417" w:type="dxa"/>
          </w:tcPr>
          <w:p w14:paraId="6B22C366" w14:textId="77777777" w:rsidR="005461CD" w:rsidRPr="005B5B2A" w:rsidRDefault="005461CD" w:rsidP="00872B96">
            <w:pPr>
              <w:suppressAutoHyphens/>
              <w:ind w:right="138"/>
              <w:jc w:val="right"/>
              <w:rPr>
                <w:rFonts w:cs="Arial"/>
                <w:spacing w:val="-2"/>
              </w:rPr>
            </w:pPr>
            <w:r w:rsidRPr="005B5B2A">
              <w:rPr>
                <w:rFonts w:cs="Arial"/>
                <w:spacing w:val="-2"/>
              </w:rPr>
              <w:t>-</w:t>
            </w:r>
          </w:p>
        </w:tc>
      </w:tr>
      <w:tr w:rsidR="005461CD" w:rsidRPr="00C328EF" w14:paraId="5B8E61B0" w14:textId="77777777" w:rsidTr="00672ACD">
        <w:tc>
          <w:tcPr>
            <w:tcW w:w="4503" w:type="dxa"/>
          </w:tcPr>
          <w:p w14:paraId="68C3A058" w14:textId="77777777" w:rsidR="005461CD" w:rsidRPr="00C328EF" w:rsidRDefault="005461CD" w:rsidP="00977682">
            <w:pPr>
              <w:ind w:left="510"/>
              <w:jc w:val="both"/>
              <w:rPr>
                <w:highlight w:val="yellow"/>
              </w:rPr>
            </w:pPr>
          </w:p>
        </w:tc>
        <w:tc>
          <w:tcPr>
            <w:tcW w:w="1559" w:type="dxa"/>
          </w:tcPr>
          <w:p w14:paraId="33EB4469" w14:textId="77777777" w:rsidR="005461CD" w:rsidRPr="00110FEE" w:rsidRDefault="005461CD" w:rsidP="00872B96">
            <w:pPr>
              <w:jc w:val="center"/>
            </w:pPr>
            <w:r w:rsidRPr="00110FEE">
              <w:rPr>
                <w:spacing w:val="-2"/>
              </w:rPr>
              <w:t>──────</w:t>
            </w:r>
          </w:p>
        </w:tc>
        <w:tc>
          <w:tcPr>
            <w:tcW w:w="1417" w:type="dxa"/>
            <w:gridSpan w:val="2"/>
          </w:tcPr>
          <w:p w14:paraId="63AC2DF5" w14:textId="77777777" w:rsidR="005461CD" w:rsidRPr="00372501" w:rsidRDefault="005461CD" w:rsidP="00872B96">
            <w:pPr>
              <w:jc w:val="center"/>
            </w:pPr>
            <w:r w:rsidRPr="00372501">
              <w:rPr>
                <w:spacing w:val="-2"/>
              </w:rPr>
              <w:t>──────</w:t>
            </w:r>
          </w:p>
        </w:tc>
        <w:tc>
          <w:tcPr>
            <w:tcW w:w="1418" w:type="dxa"/>
          </w:tcPr>
          <w:p w14:paraId="5F6C0A96" w14:textId="77777777" w:rsidR="005461CD" w:rsidRPr="005B5B2A" w:rsidRDefault="005461CD" w:rsidP="00872B96">
            <w:pPr>
              <w:ind w:left="113"/>
            </w:pPr>
            <w:r w:rsidRPr="005B5B2A">
              <w:rPr>
                <w:spacing w:val="-2"/>
              </w:rPr>
              <w:t>──────</w:t>
            </w:r>
          </w:p>
        </w:tc>
        <w:tc>
          <w:tcPr>
            <w:tcW w:w="1417" w:type="dxa"/>
          </w:tcPr>
          <w:p w14:paraId="4EDEFCA0" w14:textId="77777777" w:rsidR="005461CD" w:rsidRPr="005B5B2A" w:rsidRDefault="005461CD" w:rsidP="00872B96">
            <w:r w:rsidRPr="005B5B2A">
              <w:rPr>
                <w:spacing w:val="-2"/>
              </w:rPr>
              <w:t>──────</w:t>
            </w:r>
          </w:p>
        </w:tc>
      </w:tr>
      <w:tr w:rsidR="005461CD" w:rsidRPr="00C328EF" w14:paraId="3DB2C5ED" w14:textId="77777777" w:rsidTr="00672ACD">
        <w:tc>
          <w:tcPr>
            <w:tcW w:w="4503" w:type="dxa"/>
          </w:tcPr>
          <w:p w14:paraId="0046756F" w14:textId="77777777" w:rsidR="005461CD" w:rsidRPr="00C328EF" w:rsidRDefault="005461CD" w:rsidP="00977682">
            <w:pPr>
              <w:ind w:left="510"/>
              <w:jc w:val="both"/>
              <w:rPr>
                <w:highlight w:val="yellow"/>
              </w:rPr>
            </w:pPr>
          </w:p>
        </w:tc>
        <w:tc>
          <w:tcPr>
            <w:tcW w:w="1559" w:type="dxa"/>
          </w:tcPr>
          <w:p w14:paraId="2A13C44B" w14:textId="77777777" w:rsidR="005461CD" w:rsidRPr="00110FEE" w:rsidRDefault="005461CD" w:rsidP="00872B96">
            <w:pPr>
              <w:suppressAutoHyphens/>
              <w:ind w:right="138"/>
              <w:jc w:val="right"/>
              <w:rPr>
                <w:rFonts w:cs="Arial"/>
                <w:spacing w:val="-2"/>
              </w:rPr>
            </w:pPr>
            <w:r w:rsidRPr="00110FEE">
              <w:rPr>
                <w:rFonts w:cs="Arial"/>
                <w:spacing w:val="-2"/>
              </w:rPr>
              <w:t>(505)</w:t>
            </w:r>
          </w:p>
        </w:tc>
        <w:tc>
          <w:tcPr>
            <w:tcW w:w="1417" w:type="dxa"/>
            <w:gridSpan w:val="2"/>
          </w:tcPr>
          <w:p w14:paraId="535E4817" w14:textId="77777777" w:rsidR="005461CD" w:rsidRPr="00372501" w:rsidRDefault="005461CD" w:rsidP="00872B96">
            <w:pPr>
              <w:suppressAutoHyphens/>
              <w:ind w:right="138"/>
              <w:jc w:val="right"/>
              <w:rPr>
                <w:rFonts w:cs="Arial"/>
                <w:spacing w:val="-2"/>
              </w:rPr>
            </w:pPr>
            <w:r w:rsidRPr="00372501">
              <w:rPr>
                <w:rFonts w:cs="Arial"/>
                <w:spacing w:val="-2"/>
              </w:rPr>
              <w:t>(1,705)</w:t>
            </w:r>
          </w:p>
        </w:tc>
        <w:tc>
          <w:tcPr>
            <w:tcW w:w="1418" w:type="dxa"/>
          </w:tcPr>
          <w:p w14:paraId="63007039" w14:textId="77777777" w:rsidR="005461CD" w:rsidRPr="005B5B2A" w:rsidRDefault="005461CD" w:rsidP="00872B96">
            <w:pPr>
              <w:suppressAutoHyphens/>
              <w:ind w:right="138"/>
              <w:jc w:val="right"/>
              <w:rPr>
                <w:rFonts w:cs="Arial"/>
                <w:spacing w:val="-2"/>
              </w:rPr>
            </w:pPr>
            <w:r w:rsidRPr="005B5B2A">
              <w:rPr>
                <w:rFonts w:cs="Arial"/>
                <w:spacing w:val="-2"/>
              </w:rPr>
              <w:t>-</w:t>
            </w:r>
          </w:p>
        </w:tc>
        <w:tc>
          <w:tcPr>
            <w:tcW w:w="1417" w:type="dxa"/>
          </w:tcPr>
          <w:p w14:paraId="22DE1AB1" w14:textId="77777777" w:rsidR="005461CD" w:rsidRPr="005B5B2A" w:rsidRDefault="005461CD" w:rsidP="00872B96">
            <w:pPr>
              <w:suppressAutoHyphens/>
              <w:ind w:right="138"/>
              <w:jc w:val="right"/>
              <w:rPr>
                <w:rFonts w:cs="Arial"/>
                <w:spacing w:val="-2"/>
              </w:rPr>
            </w:pPr>
            <w:r w:rsidRPr="005B5B2A">
              <w:rPr>
                <w:rFonts w:cs="Arial"/>
                <w:spacing w:val="-2"/>
              </w:rPr>
              <w:t>-</w:t>
            </w:r>
          </w:p>
        </w:tc>
      </w:tr>
      <w:tr w:rsidR="005461CD" w:rsidRPr="00C328EF" w14:paraId="7B8474A8" w14:textId="77777777" w:rsidTr="00672ACD">
        <w:tc>
          <w:tcPr>
            <w:tcW w:w="4503" w:type="dxa"/>
          </w:tcPr>
          <w:p w14:paraId="0E5FF5D5" w14:textId="77777777" w:rsidR="005461CD" w:rsidRPr="00C328EF" w:rsidRDefault="005461CD" w:rsidP="00977682">
            <w:pPr>
              <w:ind w:left="510"/>
              <w:jc w:val="both"/>
              <w:rPr>
                <w:highlight w:val="yellow"/>
              </w:rPr>
            </w:pPr>
          </w:p>
        </w:tc>
        <w:tc>
          <w:tcPr>
            <w:tcW w:w="1559" w:type="dxa"/>
          </w:tcPr>
          <w:p w14:paraId="1266B2F7" w14:textId="77777777" w:rsidR="005461CD" w:rsidRPr="00110FEE" w:rsidRDefault="005461CD" w:rsidP="00872B96">
            <w:pPr>
              <w:suppressAutoHyphens/>
              <w:ind w:right="138"/>
              <w:jc w:val="right"/>
              <w:rPr>
                <w:rFonts w:cs="Arial"/>
                <w:spacing w:val="-2"/>
              </w:rPr>
            </w:pPr>
            <w:r w:rsidRPr="00110FEE">
              <w:rPr>
                <w:rFonts w:cs="Arial"/>
                <w:spacing w:val="-2"/>
              </w:rPr>
              <w:t>══════</w:t>
            </w:r>
          </w:p>
        </w:tc>
        <w:tc>
          <w:tcPr>
            <w:tcW w:w="1417" w:type="dxa"/>
            <w:gridSpan w:val="2"/>
          </w:tcPr>
          <w:p w14:paraId="08EC6542" w14:textId="77777777" w:rsidR="005461CD" w:rsidRPr="00372501" w:rsidRDefault="005461CD" w:rsidP="00872B96">
            <w:pPr>
              <w:suppressAutoHyphens/>
              <w:ind w:right="138"/>
              <w:jc w:val="right"/>
              <w:rPr>
                <w:rFonts w:cs="Arial"/>
                <w:spacing w:val="-2"/>
              </w:rPr>
            </w:pPr>
            <w:r w:rsidRPr="00372501">
              <w:rPr>
                <w:rFonts w:cs="Arial"/>
                <w:spacing w:val="-2"/>
              </w:rPr>
              <w:t>══════</w:t>
            </w:r>
          </w:p>
        </w:tc>
        <w:tc>
          <w:tcPr>
            <w:tcW w:w="1418" w:type="dxa"/>
          </w:tcPr>
          <w:p w14:paraId="6FF538F1" w14:textId="77777777" w:rsidR="005461CD" w:rsidRPr="005B5B2A" w:rsidRDefault="005461CD" w:rsidP="00872B96">
            <w:pPr>
              <w:ind w:left="113"/>
            </w:pPr>
            <w:r w:rsidRPr="005B5B2A">
              <w:rPr>
                <w:rFonts w:cs="Arial"/>
                <w:spacing w:val="-2"/>
              </w:rPr>
              <w:t>══════</w:t>
            </w:r>
          </w:p>
        </w:tc>
        <w:tc>
          <w:tcPr>
            <w:tcW w:w="1417" w:type="dxa"/>
          </w:tcPr>
          <w:p w14:paraId="2D965696" w14:textId="77777777" w:rsidR="005461CD" w:rsidRPr="005B5B2A" w:rsidRDefault="005461CD" w:rsidP="00872B96">
            <w:r w:rsidRPr="005B5B2A">
              <w:rPr>
                <w:rFonts w:cs="Arial"/>
                <w:spacing w:val="-2"/>
              </w:rPr>
              <w:t>══════</w:t>
            </w:r>
          </w:p>
        </w:tc>
      </w:tr>
      <w:tr w:rsidR="005461CD" w:rsidRPr="00C328EF" w14:paraId="3A88A7E7" w14:textId="77777777" w:rsidTr="00672ACD">
        <w:tc>
          <w:tcPr>
            <w:tcW w:w="4503" w:type="dxa"/>
          </w:tcPr>
          <w:p w14:paraId="237C4BC4" w14:textId="77777777" w:rsidR="005461CD" w:rsidRPr="00C328EF" w:rsidRDefault="005461CD" w:rsidP="00977682">
            <w:pPr>
              <w:ind w:left="510"/>
              <w:jc w:val="both"/>
              <w:rPr>
                <w:highlight w:val="yellow"/>
              </w:rPr>
            </w:pPr>
          </w:p>
        </w:tc>
        <w:tc>
          <w:tcPr>
            <w:tcW w:w="1842" w:type="dxa"/>
            <w:gridSpan w:val="2"/>
          </w:tcPr>
          <w:p w14:paraId="7273660E" w14:textId="77777777" w:rsidR="005461CD" w:rsidRPr="00C328EF" w:rsidRDefault="005461CD" w:rsidP="00872B96">
            <w:pPr>
              <w:rPr>
                <w:highlight w:val="yellow"/>
              </w:rPr>
            </w:pPr>
          </w:p>
        </w:tc>
        <w:tc>
          <w:tcPr>
            <w:tcW w:w="1134" w:type="dxa"/>
          </w:tcPr>
          <w:p w14:paraId="501F2EB5" w14:textId="77777777" w:rsidR="005461CD" w:rsidRPr="00C328EF" w:rsidRDefault="005461CD" w:rsidP="00872B96">
            <w:pPr>
              <w:rPr>
                <w:highlight w:val="yellow"/>
              </w:rPr>
            </w:pPr>
          </w:p>
        </w:tc>
        <w:tc>
          <w:tcPr>
            <w:tcW w:w="1418" w:type="dxa"/>
          </w:tcPr>
          <w:p w14:paraId="574FA6E6" w14:textId="77777777" w:rsidR="005461CD" w:rsidRPr="00C328EF" w:rsidRDefault="005461CD" w:rsidP="00872B96">
            <w:pPr>
              <w:rPr>
                <w:highlight w:val="yellow"/>
              </w:rPr>
            </w:pPr>
          </w:p>
        </w:tc>
        <w:tc>
          <w:tcPr>
            <w:tcW w:w="1417" w:type="dxa"/>
          </w:tcPr>
          <w:p w14:paraId="25C2BAE5" w14:textId="77777777" w:rsidR="005461CD" w:rsidRPr="00C328EF" w:rsidRDefault="005461CD" w:rsidP="00872B96">
            <w:pPr>
              <w:rPr>
                <w:highlight w:val="yellow"/>
              </w:rPr>
            </w:pPr>
          </w:p>
        </w:tc>
      </w:tr>
      <w:tr w:rsidR="005461CD" w:rsidRPr="00C328EF" w14:paraId="05D79C53" w14:textId="77777777" w:rsidTr="00672ACD">
        <w:tc>
          <w:tcPr>
            <w:tcW w:w="4503" w:type="dxa"/>
          </w:tcPr>
          <w:p w14:paraId="279E120D" w14:textId="77777777" w:rsidR="005461CD" w:rsidRPr="00372501" w:rsidRDefault="005461CD" w:rsidP="00977682">
            <w:pPr>
              <w:ind w:left="510"/>
              <w:jc w:val="both"/>
              <w:rPr>
                <w:b/>
              </w:rPr>
            </w:pPr>
            <w:r w:rsidRPr="00372501">
              <w:rPr>
                <w:b/>
              </w:rPr>
              <w:t>Analysed as:</w:t>
            </w:r>
          </w:p>
        </w:tc>
        <w:tc>
          <w:tcPr>
            <w:tcW w:w="2976" w:type="dxa"/>
            <w:gridSpan w:val="3"/>
          </w:tcPr>
          <w:p w14:paraId="76273AFC" w14:textId="77777777" w:rsidR="005461CD" w:rsidRPr="00FC0348" w:rsidRDefault="005461CD" w:rsidP="00872B96">
            <w:pPr>
              <w:ind w:left="170"/>
              <w:jc w:val="center"/>
              <w:rPr>
                <w:b/>
              </w:rPr>
            </w:pPr>
            <w:r w:rsidRPr="00FC0348">
              <w:rPr>
                <w:b/>
              </w:rPr>
              <w:t>Consolidated Group</w:t>
            </w:r>
          </w:p>
        </w:tc>
        <w:tc>
          <w:tcPr>
            <w:tcW w:w="2835" w:type="dxa"/>
            <w:gridSpan w:val="2"/>
          </w:tcPr>
          <w:p w14:paraId="5A0ED393" w14:textId="77777777" w:rsidR="005461CD" w:rsidRPr="00FC0348" w:rsidRDefault="005461CD" w:rsidP="00872B96">
            <w:pPr>
              <w:jc w:val="center"/>
              <w:rPr>
                <w:b/>
              </w:rPr>
            </w:pPr>
            <w:r w:rsidRPr="00FC0348">
              <w:rPr>
                <w:b/>
              </w:rPr>
              <w:t>Parent Entity</w:t>
            </w:r>
          </w:p>
        </w:tc>
      </w:tr>
      <w:tr w:rsidR="005461CD" w:rsidRPr="00C328EF" w14:paraId="6683BF90" w14:textId="77777777" w:rsidTr="00672ACD">
        <w:tc>
          <w:tcPr>
            <w:tcW w:w="4503" w:type="dxa"/>
          </w:tcPr>
          <w:p w14:paraId="3B94E189" w14:textId="77777777" w:rsidR="005461CD" w:rsidRPr="00372501" w:rsidRDefault="005461CD" w:rsidP="00977682">
            <w:pPr>
              <w:ind w:left="510"/>
              <w:jc w:val="both"/>
              <w:rPr>
                <w:b/>
              </w:rPr>
            </w:pPr>
          </w:p>
        </w:tc>
        <w:tc>
          <w:tcPr>
            <w:tcW w:w="1559" w:type="dxa"/>
          </w:tcPr>
          <w:p w14:paraId="599D2640" w14:textId="77777777" w:rsidR="005461CD" w:rsidRPr="00372501" w:rsidRDefault="000A5878" w:rsidP="00872B96">
            <w:pPr>
              <w:suppressAutoHyphens/>
              <w:ind w:right="138"/>
              <w:jc w:val="right"/>
              <w:rPr>
                <w:rFonts w:cs="Arial"/>
                <w:b/>
                <w:spacing w:val="-2"/>
              </w:rPr>
            </w:pPr>
            <w:r>
              <w:rPr>
                <w:rFonts w:cs="Arial"/>
                <w:b/>
                <w:spacing w:val="-2"/>
              </w:rPr>
              <w:t>28/12/</w:t>
            </w:r>
            <w:r w:rsidR="005461CD" w:rsidRPr="00372501">
              <w:rPr>
                <w:rFonts w:cs="Arial"/>
                <w:b/>
                <w:spacing w:val="-2"/>
              </w:rPr>
              <w:t>2024</w:t>
            </w:r>
          </w:p>
        </w:tc>
        <w:tc>
          <w:tcPr>
            <w:tcW w:w="1417" w:type="dxa"/>
            <w:gridSpan w:val="2"/>
          </w:tcPr>
          <w:p w14:paraId="7CD14B26" w14:textId="77777777" w:rsidR="005461CD" w:rsidRPr="00372501" w:rsidRDefault="000A5878" w:rsidP="00872B96">
            <w:pPr>
              <w:suppressAutoHyphens/>
              <w:ind w:right="138"/>
              <w:jc w:val="right"/>
              <w:rPr>
                <w:rFonts w:cs="Arial"/>
                <w:b/>
                <w:spacing w:val="-2"/>
              </w:rPr>
            </w:pPr>
            <w:r>
              <w:rPr>
                <w:rFonts w:cs="Arial"/>
                <w:b/>
                <w:spacing w:val="-2"/>
              </w:rPr>
              <w:t>30/12/</w:t>
            </w:r>
            <w:r w:rsidR="005461CD" w:rsidRPr="00372501">
              <w:rPr>
                <w:rFonts w:cs="Arial"/>
                <w:b/>
                <w:spacing w:val="-2"/>
              </w:rPr>
              <w:t>2023</w:t>
            </w:r>
          </w:p>
        </w:tc>
        <w:tc>
          <w:tcPr>
            <w:tcW w:w="1418" w:type="dxa"/>
          </w:tcPr>
          <w:p w14:paraId="043CF236" w14:textId="77777777" w:rsidR="005461CD" w:rsidRPr="00FC0348" w:rsidRDefault="000A5878" w:rsidP="00872B96">
            <w:pPr>
              <w:suppressAutoHyphens/>
              <w:ind w:right="138"/>
              <w:jc w:val="right"/>
              <w:rPr>
                <w:rFonts w:cs="Arial"/>
                <w:b/>
                <w:spacing w:val="-2"/>
              </w:rPr>
            </w:pPr>
            <w:r>
              <w:rPr>
                <w:rFonts w:cs="Arial"/>
                <w:b/>
                <w:spacing w:val="-2"/>
              </w:rPr>
              <w:t>28/12/</w:t>
            </w:r>
            <w:r w:rsidR="005461CD" w:rsidRPr="00FC0348">
              <w:rPr>
                <w:rFonts w:cs="Arial"/>
                <w:b/>
                <w:spacing w:val="-2"/>
              </w:rPr>
              <w:t>2024</w:t>
            </w:r>
          </w:p>
        </w:tc>
        <w:tc>
          <w:tcPr>
            <w:tcW w:w="1417" w:type="dxa"/>
          </w:tcPr>
          <w:p w14:paraId="3124A968" w14:textId="77777777" w:rsidR="005461CD" w:rsidRPr="00FC0348" w:rsidRDefault="000A5878" w:rsidP="00872B96">
            <w:pPr>
              <w:suppressAutoHyphens/>
              <w:ind w:right="138"/>
              <w:jc w:val="right"/>
              <w:rPr>
                <w:rFonts w:cs="Arial"/>
                <w:b/>
                <w:spacing w:val="-2"/>
              </w:rPr>
            </w:pPr>
            <w:r>
              <w:rPr>
                <w:rFonts w:cs="Arial"/>
                <w:b/>
                <w:spacing w:val="-2"/>
              </w:rPr>
              <w:t>30/12/</w:t>
            </w:r>
            <w:r w:rsidR="005461CD" w:rsidRPr="00FC0348">
              <w:rPr>
                <w:rFonts w:cs="Arial"/>
                <w:b/>
                <w:spacing w:val="-2"/>
              </w:rPr>
              <w:t>2023</w:t>
            </w:r>
          </w:p>
        </w:tc>
      </w:tr>
      <w:tr w:rsidR="005461CD" w:rsidRPr="00C328EF" w14:paraId="5C48105E" w14:textId="77777777" w:rsidTr="00672ACD">
        <w:tc>
          <w:tcPr>
            <w:tcW w:w="4503" w:type="dxa"/>
          </w:tcPr>
          <w:p w14:paraId="6758EDC6" w14:textId="77777777" w:rsidR="005461CD" w:rsidRPr="00372501" w:rsidRDefault="005461CD" w:rsidP="00977682">
            <w:pPr>
              <w:ind w:left="510"/>
              <w:jc w:val="both"/>
              <w:rPr>
                <w:b/>
              </w:rPr>
            </w:pPr>
          </w:p>
        </w:tc>
        <w:tc>
          <w:tcPr>
            <w:tcW w:w="1559" w:type="dxa"/>
          </w:tcPr>
          <w:p w14:paraId="59A6A570" w14:textId="77777777" w:rsidR="005461CD" w:rsidRPr="00372501" w:rsidRDefault="005461CD" w:rsidP="00872B96">
            <w:pPr>
              <w:suppressAutoHyphens/>
              <w:ind w:right="138"/>
              <w:jc w:val="right"/>
              <w:rPr>
                <w:rFonts w:cs="Arial"/>
                <w:b/>
                <w:spacing w:val="-2"/>
              </w:rPr>
            </w:pPr>
            <w:r w:rsidRPr="00372501">
              <w:rPr>
                <w:rFonts w:cs="Arial"/>
                <w:b/>
                <w:spacing w:val="-2"/>
              </w:rPr>
              <w:t>£’000</w:t>
            </w:r>
          </w:p>
        </w:tc>
        <w:tc>
          <w:tcPr>
            <w:tcW w:w="1417" w:type="dxa"/>
            <w:gridSpan w:val="2"/>
          </w:tcPr>
          <w:p w14:paraId="692591BA" w14:textId="77777777" w:rsidR="005461CD" w:rsidRPr="00372501" w:rsidRDefault="005461CD" w:rsidP="00872B96">
            <w:pPr>
              <w:suppressAutoHyphens/>
              <w:ind w:right="138"/>
              <w:jc w:val="right"/>
              <w:rPr>
                <w:rFonts w:cs="Arial"/>
                <w:b/>
                <w:spacing w:val="-2"/>
              </w:rPr>
            </w:pPr>
            <w:r w:rsidRPr="00372501">
              <w:rPr>
                <w:rFonts w:cs="Arial"/>
                <w:b/>
                <w:spacing w:val="-2"/>
              </w:rPr>
              <w:t>£’000</w:t>
            </w:r>
          </w:p>
        </w:tc>
        <w:tc>
          <w:tcPr>
            <w:tcW w:w="1418" w:type="dxa"/>
          </w:tcPr>
          <w:p w14:paraId="615476D1" w14:textId="77777777" w:rsidR="005461CD" w:rsidRPr="00FC0348" w:rsidRDefault="005461CD" w:rsidP="00872B96">
            <w:pPr>
              <w:suppressAutoHyphens/>
              <w:ind w:right="138"/>
              <w:jc w:val="right"/>
              <w:rPr>
                <w:rFonts w:cs="Arial"/>
                <w:b/>
                <w:spacing w:val="-2"/>
              </w:rPr>
            </w:pPr>
            <w:r w:rsidRPr="00FC0348">
              <w:rPr>
                <w:rFonts w:cs="Arial"/>
                <w:b/>
                <w:spacing w:val="-2"/>
              </w:rPr>
              <w:t>£’000</w:t>
            </w:r>
          </w:p>
        </w:tc>
        <w:tc>
          <w:tcPr>
            <w:tcW w:w="1417" w:type="dxa"/>
          </w:tcPr>
          <w:p w14:paraId="005F1F80" w14:textId="77777777" w:rsidR="005461CD" w:rsidRPr="00FC0348" w:rsidRDefault="005461CD" w:rsidP="00872B96">
            <w:pPr>
              <w:suppressAutoHyphens/>
              <w:ind w:right="138"/>
              <w:jc w:val="right"/>
              <w:rPr>
                <w:rFonts w:cs="Arial"/>
                <w:b/>
                <w:spacing w:val="-2"/>
              </w:rPr>
            </w:pPr>
            <w:r w:rsidRPr="00FC0348">
              <w:rPr>
                <w:rFonts w:cs="Arial"/>
                <w:b/>
                <w:spacing w:val="-2"/>
              </w:rPr>
              <w:t>£’000</w:t>
            </w:r>
          </w:p>
        </w:tc>
      </w:tr>
      <w:tr w:rsidR="005461CD" w:rsidRPr="00C328EF" w14:paraId="7C22E107" w14:textId="77777777" w:rsidTr="00672ACD">
        <w:tc>
          <w:tcPr>
            <w:tcW w:w="4503" w:type="dxa"/>
          </w:tcPr>
          <w:p w14:paraId="53A8E00F" w14:textId="77777777" w:rsidR="005461CD" w:rsidRPr="00372501" w:rsidRDefault="005461CD" w:rsidP="00977682">
            <w:pPr>
              <w:ind w:left="510"/>
              <w:jc w:val="both"/>
              <w:rPr>
                <w:b/>
              </w:rPr>
            </w:pPr>
            <w:r w:rsidRPr="00372501">
              <w:rPr>
                <w:b/>
              </w:rPr>
              <w:t>(Liabilities)/assets</w:t>
            </w:r>
          </w:p>
        </w:tc>
        <w:tc>
          <w:tcPr>
            <w:tcW w:w="1559" w:type="dxa"/>
          </w:tcPr>
          <w:p w14:paraId="10A8759F" w14:textId="77777777" w:rsidR="005461CD" w:rsidRPr="00C328EF" w:rsidRDefault="005461CD" w:rsidP="00872B96">
            <w:pPr>
              <w:suppressAutoHyphens/>
              <w:ind w:right="138"/>
              <w:jc w:val="right"/>
              <w:rPr>
                <w:rFonts w:cs="Arial"/>
                <w:spacing w:val="-2"/>
                <w:highlight w:val="yellow"/>
              </w:rPr>
            </w:pPr>
          </w:p>
        </w:tc>
        <w:tc>
          <w:tcPr>
            <w:tcW w:w="1417" w:type="dxa"/>
            <w:gridSpan w:val="2"/>
          </w:tcPr>
          <w:p w14:paraId="29B503E5" w14:textId="77777777" w:rsidR="005461CD" w:rsidRPr="00C328EF" w:rsidRDefault="005461CD" w:rsidP="00872B96">
            <w:pPr>
              <w:suppressAutoHyphens/>
              <w:ind w:right="138"/>
              <w:jc w:val="right"/>
              <w:rPr>
                <w:rFonts w:cs="Arial"/>
                <w:spacing w:val="-2"/>
                <w:highlight w:val="yellow"/>
              </w:rPr>
            </w:pPr>
          </w:p>
        </w:tc>
        <w:tc>
          <w:tcPr>
            <w:tcW w:w="1418" w:type="dxa"/>
          </w:tcPr>
          <w:p w14:paraId="20632556" w14:textId="77777777" w:rsidR="005461CD" w:rsidRPr="00FC0348" w:rsidRDefault="005461CD" w:rsidP="00872B96">
            <w:pPr>
              <w:suppressAutoHyphens/>
              <w:ind w:right="138"/>
              <w:jc w:val="right"/>
              <w:rPr>
                <w:rFonts w:cs="Arial"/>
                <w:spacing w:val="-2"/>
              </w:rPr>
            </w:pPr>
          </w:p>
        </w:tc>
        <w:tc>
          <w:tcPr>
            <w:tcW w:w="1417" w:type="dxa"/>
          </w:tcPr>
          <w:p w14:paraId="169C101D" w14:textId="77777777" w:rsidR="005461CD" w:rsidRPr="00FC0348" w:rsidRDefault="005461CD" w:rsidP="00872B96">
            <w:pPr>
              <w:suppressAutoHyphens/>
              <w:ind w:right="138"/>
              <w:jc w:val="right"/>
              <w:rPr>
                <w:rFonts w:cs="Arial"/>
                <w:spacing w:val="-2"/>
              </w:rPr>
            </w:pPr>
          </w:p>
        </w:tc>
      </w:tr>
      <w:tr w:rsidR="005461CD" w:rsidRPr="00C328EF" w14:paraId="0C9B1669" w14:textId="77777777" w:rsidTr="00672ACD">
        <w:tc>
          <w:tcPr>
            <w:tcW w:w="4503" w:type="dxa"/>
          </w:tcPr>
          <w:p w14:paraId="611FC818" w14:textId="77777777" w:rsidR="005461CD" w:rsidRPr="00372501" w:rsidRDefault="005461CD" w:rsidP="00977682">
            <w:pPr>
              <w:ind w:left="510"/>
              <w:jc w:val="both"/>
            </w:pPr>
            <w:r w:rsidRPr="00372501">
              <w:t>Current</w:t>
            </w:r>
          </w:p>
        </w:tc>
        <w:tc>
          <w:tcPr>
            <w:tcW w:w="1559" w:type="dxa"/>
          </w:tcPr>
          <w:p w14:paraId="1B4C38FB" w14:textId="77777777" w:rsidR="005461CD" w:rsidRPr="00C328EF" w:rsidRDefault="005461CD" w:rsidP="00872B96">
            <w:pPr>
              <w:suppressAutoHyphens/>
              <w:ind w:right="138"/>
              <w:jc w:val="right"/>
              <w:rPr>
                <w:rFonts w:cs="Arial"/>
                <w:spacing w:val="-2"/>
                <w:highlight w:val="yellow"/>
              </w:rPr>
            </w:pPr>
            <w:r w:rsidRPr="00110FEE">
              <w:rPr>
                <w:rFonts w:cs="Arial"/>
                <w:spacing w:val="-2"/>
              </w:rPr>
              <w:t>(310)</w:t>
            </w:r>
          </w:p>
        </w:tc>
        <w:tc>
          <w:tcPr>
            <w:tcW w:w="1417" w:type="dxa"/>
            <w:gridSpan w:val="2"/>
          </w:tcPr>
          <w:p w14:paraId="5632BD1D" w14:textId="77777777" w:rsidR="005461CD" w:rsidRPr="00372501" w:rsidRDefault="005461CD" w:rsidP="00872B96">
            <w:pPr>
              <w:suppressAutoHyphens/>
              <w:ind w:right="138"/>
              <w:jc w:val="right"/>
              <w:rPr>
                <w:rFonts w:cs="Arial"/>
                <w:spacing w:val="-2"/>
              </w:rPr>
            </w:pPr>
            <w:r w:rsidRPr="00372501">
              <w:rPr>
                <w:rFonts w:cs="Arial"/>
                <w:spacing w:val="-2"/>
              </w:rPr>
              <w:t>(689)</w:t>
            </w:r>
          </w:p>
        </w:tc>
        <w:tc>
          <w:tcPr>
            <w:tcW w:w="1418" w:type="dxa"/>
          </w:tcPr>
          <w:p w14:paraId="738DE9C2" w14:textId="77777777" w:rsidR="005461CD" w:rsidRPr="00FC0348" w:rsidRDefault="005461CD" w:rsidP="00872B96">
            <w:pPr>
              <w:suppressAutoHyphens/>
              <w:ind w:right="138"/>
              <w:jc w:val="right"/>
              <w:rPr>
                <w:rFonts w:cs="Arial"/>
                <w:spacing w:val="-2"/>
              </w:rPr>
            </w:pPr>
            <w:r w:rsidRPr="00FC0348">
              <w:rPr>
                <w:rFonts w:cs="Arial"/>
                <w:spacing w:val="-2"/>
              </w:rPr>
              <w:t>-</w:t>
            </w:r>
          </w:p>
        </w:tc>
        <w:tc>
          <w:tcPr>
            <w:tcW w:w="1417" w:type="dxa"/>
          </w:tcPr>
          <w:p w14:paraId="264DAAB8" w14:textId="77777777" w:rsidR="005461CD" w:rsidRPr="00FC0348" w:rsidRDefault="005461CD" w:rsidP="00872B96">
            <w:pPr>
              <w:suppressAutoHyphens/>
              <w:ind w:right="138"/>
              <w:jc w:val="right"/>
              <w:rPr>
                <w:rFonts w:cs="Arial"/>
                <w:spacing w:val="-2"/>
              </w:rPr>
            </w:pPr>
            <w:r w:rsidRPr="00FC0348">
              <w:rPr>
                <w:rFonts w:cs="Arial"/>
                <w:spacing w:val="-2"/>
              </w:rPr>
              <w:t>-</w:t>
            </w:r>
          </w:p>
        </w:tc>
      </w:tr>
      <w:tr w:rsidR="005461CD" w:rsidRPr="00C328EF" w14:paraId="6B90954A" w14:textId="77777777" w:rsidTr="00672ACD">
        <w:tc>
          <w:tcPr>
            <w:tcW w:w="4503" w:type="dxa"/>
          </w:tcPr>
          <w:p w14:paraId="34B76B26" w14:textId="77777777" w:rsidR="005461CD" w:rsidRPr="00372501" w:rsidRDefault="005461CD" w:rsidP="00977682">
            <w:pPr>
              <w:ind w:left="510"/>
              <w:jc w:val="both"/>
            </w:pPr>
            <w:r w:rsidRPr="00372501">
              <w:t>Non-current</w:t>
            </w:r>
          </w:p>
        </w:tc>
        <w:tc>
          <w:tcPr>
            <w:tcW w:w="1559" w:type="dxa"/>
          </w:tcPr>
          <w:p w14:paraId="7B9662B3" w14:textId="77777777" w:rsidR="005461CD" w:rsidRPr="00110FEE" w:rsidRDefault="005461CD" w:rsidP="00872B96">
            <w:pPr>
              <w:suppressAutoHyphens/>
              <w:ind w:right="138"/>
              <w:jc w:val="right"/>
              <w:rPr>
                <w:rFonts w:cs="Arial"/>
                <w:spacing w:val="-2"/>
              </w:rPr>
            </w:pPr>
            <w:r w:rsidRPr="00110FEE">
              <w:rPr>
                <w:rFonts w:cs="Arial"/>
                <w:spacing w:val="-2"/>
              </w:rPr>
              <w:t>(195)</w:t>
            </w:r>
          </w:p>
        </w:tc>
        <w:tc>
          <w:tcPr>
            <w:tcW w:w="1417" w:type="dxa"/>
            <w:gridSpan w:val="2"/>
          </w:tcPr>
          <w:p w14:paraId="53555B52" w14:textId="77777777" w:rsidR="005461CD" w:rsidRPr="00372501" w:rsidRDefault="005461CD" w:rsidP="00872B96">
            <w:pPr>
              <w:suppressAutoHyphens/>
              <w:ind w:right="138"/>
              <w:jc w:val="right"/>
              <w:rPr>
                <w:rFonts w:cs="Arial"/>
                <w:spacing w:val="-2"/>
              </w:rPr>
            </w:pPr>
            <w:r w:rsidRPr="00372501">
              <w:rPr>
                <w:rFonts w:cs="Arial"/>
                <w:spacing w:val="-2"/>
              </w:rPr>
              <w:t>(1,016)</w:t>
            </w:r>
          </w:p>
        </w:tc>
        <w:tc>
          <w:tcPr>
            <w:tcW w:w="1418" w:type="dxa"/>
          </w:tcPr>
          <w:p w14:paraId="0C9D4105" w14:textId="77777777" w:rsidR="005461CD" w:rsidRPr="00FC0348" w:rsidRDefault="005461CD" w:rsidP="00872B96">
            <w:pPr>
              <w:suppressAutoHyphens/>
              <w:ind w:right="138"/>
              <w:jc w:val="right"/>
              <w:rPr>
                <w:rFonts w:cs="Arial"/>
                <w:spacing w:val="-2"/>
              </w:rPr>
            </w:pPr>
            <w:r w:rsidRPr="00FC0348">
              <w:rPr>
                <w:rFonts w:cs="Arial"/>
                <w:spacing w:val="-2"/>
              </w:rPr>
              <w:t>-</w:t>
            </w:r>
          </w:p>
        </w:tc>
        <w:tc>
          <w:tcPr>
            <w:tcW w:w="1417" w:type="dxa"/>
          </w:tcPr>
          <w:p w14:paraId="07D40355" w14:textId="77777777" w:rsidR="005461CD" w:rsidRPr="00FC0348" w:rsidRDefault="005461CD" w:rsidP="00872B96">
            <w:pPr>
              <w:suppressAutoHyphens/>
              <w:ind w:right="138"/>
              <w:jc w:val="right"/>
              <w:rPr>
                <w:rFonts w:cs="Arial"/>
                <w:spacing w:val="-2"/>
              </w:rPr>
            </w:pPr>
            <w:r w:rsidRPr="00FC0348">
              <w:rPr>
                <w:rFonts w:cs="Arial"/>
                <w:spacing w:val="-2"/>
              </w:rPr>
              <w:t>-</w:t>
            </w:r>
          </w:p>
        </w:tc>
      </w:tr>
      <w:tr w:rsidR="005461CD" w:rsidRPr="00C328EF" w14:paraId="5E44CCDC" w14:textId="77777777" w:rsidTr="00672ACD">
        <w:tc>
          <w:tcPr>
            <w:tcW w:w="4503" w:type="dxa"/>
          </w:tcPr>
          <w:p w14:paraId="24BC27AE" w14:textId="77777777" w:rsidR="005461CD" w:rsidRPr="00C328EF" w:rsidRDefault="005461CD" w:rsidP="00872B96">
            <w:pPr>
              <w:jc w:val="both"/>
              <w:rPr>
                <w:highlight w:val="yellow"/>
              </w:rPr>
            </w:pPr>
          </w:p>
        </w:tc>
        <w:tc>
          <w:tcPr>
            <w:tcW w:w="1559" w:type="dxa"/>
          </w:tcPr>
          <w:p w14:paraId="614AF1FC" w14:textId="77777777" w:rsidR="005461CD" w:rsidRPr="00110FEE" w:rsidRDefault="005461CD" w:rsidP="00872B96">
            <w:pPr>
              <w:jc w:val="center"/>
            </w:pPr>
            <w:r w:rsidRPr="00110FEE">
              <w:rPr>
                <w:rFonts w:cs="Arial"/>
                <w:spacing w:val="-2"/>
              </w:rPr>
              <w:t>═══════</w:t>
            </w:r>
          </w:p>
        </w:tc>
        <w:tc>
          <w:tcPr>
            <w:tcW w:w="1417" w:type="dxa"/>
            <w:gridSpan w:val="2"/>
          </w:tcPr>
          <w:p w14:paraId="13323E18" w14:textId="77777777" w:rsidR="005461CD" w:rsidRPr="00372501" w:rsidRDefault="005461CD" w:rsidP="00872B96">
            <w:pPr>
              <w:jc w:val="center"/>
            </w:pPr>
            <w:r w:rsidRPr="00372501">
              <w:rPr>
                <w:rFonts w:cs="Arial"/>
                <w:spacing w:val="-2"/>
              </w:rPr>
              <w:t>═══════</w:t>
            </w:r>
          </w:p>
        </w:tc>
        <w:tc>
          <w:tcPr>
            <w:tcW w:w="1418" w:type="dxa"/>
          </w:tcPr>
          <w:p w14:paraId="0984E7A1" w14:textId="77777777" w:rsidR="005461CD" w:rsidRPr="00FC0348" w:rsidRDefault="005461CD" w:rsidP="00872B96">
            <w:pPr>
              <w:jc w:val="center"/>
            </w:pPr>
            <w:r w:rsidRPr="00FC0348">
              <w:rPr>
                <w:rFonts w:cs="Arial"/>
                <w:spacing w:val="-2"/>
              </w:rPr>
              <w:t>══════</w:t>
            </w:r>
          </w:p>
        </w:tc>
        <w:tc>
          <w:tcPr>
            <w:tcW w:w="1417" w:type="dxa"/>
          </w:tcPr>
          <w:p w14:paraId="4AB6B4D9" w14:textId="77777777" w:rsidR="005461CD" w:rsidRPr="00FC0348" w:rsidRDefault="005461CD" w:rsidP="00872B96">
            <w:pPr>
              <w:jc w:val="center"/>
            </w:pPr>
            <w:r w:rsidRPr="00FC0348">
              <w:rPr>
                <w:rFonts w:cs="Arial"/>
                <w:spacing w:val="-2"/>
              </w:rPr>
              <w:t>══════</w:t>
            </w:r>
          </w:p>
        </w:tc>
      </w:tr>
    </w:tbl>
    <w:p w14:paraId="10740092" w14:textId="77777777" w:rsidR="005461CD" w:rsidRPr="00F45179" w:rsidRDefault="005461CD" w:rsidP="00965A04">
      <w:pPr>
        <w:tabs>
          <w:tab w:val="left" w:pos="567"/>
          <w:tab w:val="left" w:pos="1134"/>
        </w:tabs>
        <w:rPr>
          <w:b/>
        </w:rPr>
      </w:pPr>
    </w:p>
    <w:p w14:paraId="4D46A30D" w14:textId="77777777" w:rsidR="00965A04" w:rsidRPr="005461CD" w:rsidRDefault="00792295" w:rsidP="00A5227C">
      <w:pPr>
        <w:numPr>
          <w:ilvl w:val="0"/>
          <w:numId w:val="40"/>
        </w:numPr>
        <w:tabs>
          <w:tab w:val="left" w:pos="567"/>
          <w:tab w:val="left" w:pos="1134"/>
        </w:tabs>
        <w:ind w:left="360"/>
        <w:rPr>
          <w:b/>
        </w:rPr>
      </w:pPr>
      <w:r w:rsidRPr="005461CD">
        <w:rPr>
          <w:b/>
        </w:rPr>
        <w:t>Lease o</w:t>
      </w:r>
      <w:r w:rsidR="002D6212" w:rsidRPr="005461CD">
        <w:rPr>
          <w:b/>
        </w:rPr>
        <w:t>bligations</w:t>
      </w:r>
    </w:p>
    <w:p w14:paraId="29EA048A" w14:textId="77777777" w:rsidR="002D6212" w:rsidRPr="005461CD" w:rsidRDefault="002D6212" w:rsidP="00477562">
      <w:pPr>
        <w:tabs>
          <w:tab w:val="left" w:pos="567"/>
          <w:tab w:val="left" w:pos="1134"/>
        </w:tabs>
        <w:rPr>
          <w:b/>
        </w:rPr>
      </w:pPr>
    </w:p>
    <w:p w14:paraId="11BCDB4E" w14:textId="77777777" w:rsidR="00477562" w:rsidRPr="003114B6" w:rsidRDefault="00477562" w:rsidP="00977682">
      <w:pPr>
        <w:tabs>
          <w:tab w:val="left" w:pos="567"/>
          <w:tab w:val="left" w:pos="1134"/>
        </w:tabs>
        <w:ind w:left="567"/>
        <w:rPr>
          <w:b/>
        </w:rPr>
      </w:pPr>
      <w:r w:rsidRPr="005461CD">
        <w:rPr>
          <w:b/>
        </w:rPr>
        <w:t>As</w:t>
      </w:r>
      <w:r w:rsidRPr="003114B6">
        <w:rPr>
          <w:b/>
        </w:rPr>
        <w:t xml:space="preserve"> a lessee</w:t>
      </w:r>
    </w:p>
    <w:p w14:paraId="15360985" w14:textId="77777777" w:rsidR="00477562" w:rsidRPr="003114B6" w:rsidRDefault="00477562" w:rsidP="00977682">
      <w:pPr>
        <w:tabs>
          <w:tab w:val="left" w:pos="567"/>
          <w:tab w:val="left" w:pos="1134"/>
        </w:tabs>
        <w:ind w:left="567"/>
        <w:jc w:val="both"/>
      </w:pPr>
      <w:r w:rsidRPr="003114B6">
        <w:t>The Group has leases for several properties</w:t>
      </w:r>
      <w:r w:rsidR="00E80E65" w:rsidRPr="003114B6">
        <w:t>,</w:t>
      </w:r>
      <w:r w:rsidRPr="003114B6">
        <w:t xml:space="preserve"> passenger vehicles</w:t>
      </w:r>
      <w:r w:rsidR="00E80E65" w:rsidRPr="003114B6">
        <w:t xml:space="preserve"> and related infrastructure</w:t>
      </w:r>
      <w:r w:rsidRPr="003114B6">
        <w:t xml:space="preserve">. With the exception of leases of low-value </w:t>
      </w:r>
      <w:r w:rsidR="00802682" w:rsidRPr="003114B6">
        <w:t xml:space="preserve">immaterial </w:t>
      </w:r>
      <w:r w:rsidRPr="003114B6">
        <w:t>underlying assets, each lease is reflected in the Statement of Financial Position within Property, plant and equipment and Lease obligations.</w:t>
      </w:r>
      <w:r w:rsidR="00E80E65" w:rsidRPr="003114B6">
        <w:rPr>
          <w:rFonts w:cs="Arial"/>
        </w:rPr>
        <w:t xml:space="preserve"> Payments made under such leases are expensed on straight-line basis. </w:t>
      </w:r>
      <w:r w:rsidR="00AE279F" w:rsidRPr="003114B6">
        <w:rPr>
          <w:rFonts w:cs="Arial"/>
        </w:rPr>
        <w:t>The Group classifies its right-of-use assets in a consistent manner to property, plant and equipment (</w:t>
      </w:r>
      <w:r w:rsidR="008A3440" w:rsidRPr="003114B6">
        <w:rPr>
          <w:rFonts w:cs="Arial"/>
        </w:rPr>
        <w:t>n</w:t>
      </w:r>
      <w:r w:rsidR="00AE279F" w:rsidRPr="003114B6">
        <w:rPr>
          <w:rFonts w:cs="Arial"/>
        </w:rPr>
        <w:t>ote 8).</w:t>
      </w:r>
      <w:r w:rsidR="00802682" w:rsidRPr="003114B6">
        <w:rPr>
          <w:rFonts w:cs="Arial"/>
        </w:rPr>
        <w:t xml:space="preserve"> </w:t>
      </w:r>
      <w:r w:rsidR="00E80E65" w:rsidRPr="003114B6">
        <w:t xml:space="preserve">For </w:t>
      </w:r>
      <w:r w:rsidR="00186C2C" w:rsidRPr="003114B6">
        <w:t xml:space="preserve">lease </w:t>
      </w:r>
      <w:r w:rsidR="00E80E65" w:rsidRPr="003114B6">
        <w:t>interest expense see finance costs (</w:t>
      </w:r>
      <w:r w:rsidR="008A3440" w:rsidRPr="003114B6">
        <w:t>n</w:t>
      </w:r>
      <w:r w:rsidR="00E80E65" w:rsidRPr="003114B6">
        <w:t>ote 4).</w:t>
      </w:r>
    </w:p>
    <w:p w14:paraId="5517E00C" w14:textId="77777777" w:rsidR="00477562" w:rsidRPr="003114B6" w:rsidRDefault="00477562" w:rsidP="00977682">
      <w:pPr>
        <w:tabs>
          <w:tab w:val="left" w:pos="567"/>
          <w:tab w:val="left" w:pos="1134"/>
        </w:tabs>
        <w:ind w:left="567"/>
        <w:jc w:val="both"/>
      </w:pPr>
    </w:p>
    <w:p w14:paraId="0FFB170F" w14:textId="77777777" w:rsidR="00477562" w:rsidRPr="003114B6" w:rsidRDefault="00477562" w:rsidP="00977682">
      <w:pPr>
        <w:tabs>
          <w:tab w:val="left" w:pos="567"/>
          <w:tab w:val="left" w:pos="1134"/>
        </w:tabs>
        <w:ind w:left="567"/>
        <w:jc w:val="both"/>
      </w:pPr>
      <w:r w:rsidRPr="003114B6">
        <w:t xml:space="preserve">Leases of properties have a remaining lease term ranging from </w:t>
      </w:r>
      <w:r w:rsidR="003114B6" w:rsidRPr="003114B6">
        <w:t>1</w:t>
      </w:r>
      <w:r w:rsidRPr="003114B6">
        <w:t xml:space="preserve"> to 2</w:t>
      </w:r>
      <w:r w:rsidR="003114B6" w:rsidRPr="003114B6">
        <w:t>0</w:t>
      </w:r>
      <w:r w:rsidRPr="003114B6">
        <w:t xml:space="preserve"> years. Leases of passenger vehicles are generally 3 to 5 years.</w:t>
      </w:r>
      <w:r w:rsidR="00E80E65" w:rsidRPr="003114B6">
        <w:t xml:space="preserve"> Leases of Trams and their related infrastructure run until 31 May 2029 with an option to renew. Tram lease payments are renegotiated every 5 years.</w:t>
      </w:r>
      <w:r w:rsidRPr="003114B6">
        <w:t xml:space="preserve"> All </w:t>
      </w:r>
      <w:r w:rsidR="00E80E65" w:rsidRPr="003114B6">
        <w:t xml:space="preserve">other </w:t>
      </w:r>
      <w:r w:rsidRPr="003114B6">
        <w:t xml:space="preserve">lease payments are fixed and all lease contracts are non-cancellable. The Group does not sublet any of the properties under lease contract. </w:t>
      </w:r>
    </w:p>
    <w:p w14:paraId="2EB0671A" w14:textId="77777777" w:rsidR="00477562" w:rsidRPr="00C328EF" w:rsidRDefault="00477562" w:rsidP="00477562">
      <w:pPr>
        <w:tabs>
          <w:tab w:val="left" w:pos="567"/>
          <w:tab w:val="left" w:pos="1134"/>
        </w:tabs>
        <w:rPr>
          <w:b/>
          <w:highlight w:val="yellow"/>
        </w:rPr>
      </w:pPr>
    </w:p>
    <w:tbl>
      <w:tblPr>
        <w:tblW w:w="10314" w:type="dxa"/>
        <w:tblLayout w:type="fixed"/>
        <w:tblLook w:val="0000" w:firstRow="0" w:lastRow="0" w:firstColumn="0" w:lastColumn="0" w:noHBand="0" w:noVBand="0"/>
      </w:tblPr>
      <w:tblGrid>
        <w:gridCol w:w="4503"/>
        <w:gridCol w:w="1559"/>
        <w:gridCol w:w="1417"/>
        <w:gridCol w:w="1418"/>
        <w:gridCol w:w="1417"/>
      </w:tblGrid>
      <w:tr w:rsidR="002804FC" w:rsidRPr="00C328EF" w14:paraId="4CD8F42B" w14:textId="77777777" w:rsidTr="00625C11">
        <w:tc>
          <w:tcPr>
            <w:tcW w:w="4503" w:type="dxa"/>
          </w:tcPr>
          <w:p w14:paraId="40702351" w14:textId="77777777" w:rsidR="002804FC" w:rsidRPr="003114B6" w:rsidRDefault="002804FC" w:rsidP="002804FC">
            <w:pPr>
              <w:ind w:left="546"/>
              <w:jc w:val="both"/>
              <w:rPr>
                <w:b/>
              </w:rPr>
            </w:pPr>
            <w:bookmarkStart w:id="39" w:name="_Hlk35532439"/>
            <w:r w:rsidRPr="003114B6">
              <w:rPr>
                <w:b/>
              </w:rPr>
              <w:t>Analysed as:</w:t>
            </w:r>
          </w:p>
        </w:tc>
        <w:tc>
          <w:tcPr>
            <w:tcW w:w="2976" w:type="dxa"/>
            <w:gridSpan w:val="2"/>
          </w:tcPr>
          <w:p w14:paraId="2907B038" w14:textId="77777777" w:rsidR="002804FC" w:rsidRPr="003114B6" w:rsidRDefault="002804FC" w:rsidP="00604266">
            <w:pPr>
              <w:ind w:left="397"/>
              <w:jc w:val="center"/>
              <w:rPr>
                <w:b/>
              </w:rPr>
            </w:pPr>
            <w:r w:rsidRPr="003114B6">
              <w:rPr>
                <w:b/>
              </w:rPr>
              <w:t>Consolidated Group</w:t>
            </w:r>
          </w:p>
        </w:tc>
        <w:tc>
          <w:tcPr>
            <w:tcW w:w="2835" w:type="dxa"/>
            <w:gridSpan w:val="2"/>
          </w:tcPr>
          <w:p w14:paraId="27002D5C" w14:textId="77777777" w:rsidR="002804FC" w:rsidRPr="003114B6" w:rsidRDefault="002804FC" w:rsidP="002804FC">
            <w:pPr>
              <w:ind w:left="238"/>
              <w:jc w:val="center"/>
              <w:rPr>
                <w:b/>
              </w:rPr>
            </w:pPr>
            <w:r w:rsidRPr="003114B6">
              <w:rPr>
                <w:b/>
              </w:rPr>
              <w:t>Parent Entity</w:t>
            </w:r>
          </w:p>
        </w:tc>
      </w:tr>
      <w:tr w:rsidR="00777DB6" w:rsidRPr="00C328EF" w14:paraId="00080A1D" w14:textId="77777777" w:rsidTr="00625C11">
        <w:tc>
          <w:tcPr>
            <w:tcW w:w="4503" w:type="dxa"/>
          </w:tcPr>
          <w:p w14:paraId="3A1BF5FB" w14:textId="77777777" w:rsidR="00777DB6" w:rsidRPr="003114B6" w:rsidRDefault="00777DB6" w:rsidP="00777DB6">
            <w:pPr>
              <w:ind w:left="546"/>
              <w:jc w:val="both"/>
              <w:rPr>
                <w:b/>
              </w:rPr>
            </w:pPr>
          </w:p>
        </w:tc>
        <w:tc>
          <w:tcPr>
            <w:tcW w:w="1559" w:type="dxa"/>
          </w:tcPr>
          <w:p w14:paraId="5DB86849" w14:textId="77777777" w:rsidR="00777DB6" w:rsidRPr="003114B6" w:rsidRDefault="000A5878" w:rsidP="00777DB6">
            <w:pPr>
              <w:suppressAutoHyphens/>
              <w:ind w:right="138"/>
              <w:jc w:val="right"/>
              <w:rPr>
                <w:rFonts w:cs="Arial"/>
                <w:b/>
                <w:spacing w:val="-2"/>
              </w:rPr>
            </w:pPr>
            <w:r>
              <w:rPr>
                <w:rFonts w:cs="Arial"/>
                <w:b/>
                <w:spacing w:val="-2"/>
              </w:rPr>
              <w:t>28/12/</w:t>
            </w:r>
            <w:r w:rsidR="00777DB6" w:rsidRPr="003114B6">
              <w:rPr>
                <w:rFonts w:cs="Arial"/>
                <w:b/>
                <w:spacing w:val="-2"/>
              </w:rPr>
              <w:t>20</w:t>
            </w:r>
            <w:r w:rsidR="005F429C" w:rsidRPr="003114B6">
              <w:rPr>
                <w:rFonts w:cs="Arial"/>
                <w:b/>
                <w:spacing w:val="-2"/>
              </w:rPr>
              <w:t>2</w:t>
            </w:r>
            <w:r w:rsidR="003114B6" w:rsidRPr="003114B6">
              <w:rPr>
                <w:rFonts w:cs="Arial"/>
                <w:b/>
                <w:spacing w:val="-2"/>
              </w:rPr>
              <w:t>4</w:t>
            </w:r>
          </w:p>
        </w:tc>
        <w:tc>
          <w:tcPr>
            <w:tcW w:w="1417" w:type="dxa"/>
          </w:tcPr>
          <w:p w14:paraId="0685AB04" w14:textId="77777777" w:rsidR="00777DB6" w:rsidRPr="003114B6" w:rsidRDefault="000A5878" w:rsidP="00777DB6">
            <w:pPr>
              <w:suppressAutoHyphens/>
              <w:ind w:right="138"/>
              <w:jc w:val="right"/>
              <w:rPr>
                <w:rFonts w:cs="Arial"/>
                <w:b/>
                <w:spacing w:val="-2"/>
              </w:rPr>
            </w:pPr>
            <w:r>
              <w:rPr>
                <w:rFonts w:cs="Arial"/>
                <w:b/>
                <w:spacing w:val="-2"/>
              </w:rPr>
              <w:t>30/12/</w:t>
            </w:r>
            <w:r w:rsidR="00777DB6" w:rsidRPr="003114B6">
              <w:rPr>
                <w:rFonts w:cs="Arial"/>
                <w:b/>
                <w:spacing w:val="-2"/>
              </w:rPr>
              <w:t>20</w:t>
            </w:r>
            <w:r w:rsidR="005935D7" w:rsidRPr="003114B6">
              <w:rPr>
                <w:rFonts w:cs="Arial"/>
                <w:b/>
                <w:spacing w:val="-2"/>
              </w:rPr>
              <w:t>2</w:t>
            </w:r>
            <w:r w:rsidR="003114B6" w:rsidRPr="003114B6">
              <w:rPr>
                <w:rFonts w:cs="Arial"/>
                <w:b/>
                <w:spacing w:val="-2"/>
              </w:rPr>
              <w:t>3</w:t>
            </w:r>
          </w:p>
        </w:tc>
        <w:tc>
          <w:tcPr>
            <w:tcW w:w="1418" w:type="dxa"/>
          </w:tcPr>
          <w:p w14:paraId="50FE5A8B" w14:textId="77777777" w:rsidR="00777DB6" w:rsidRPr="003114B6" w:rsidRDefault="000A5878" w:rsidP="00777DB6">
            <w:pPr>
              <w:suppressAutoHyphens/>
              <w:ind w:right="138"/>
              <w:jc w:val="right"/>
              <w:rPr>
                <w:rFonts w:cs="Arial"/>
                <w:b/>
                <w:spacing w:val="-2"/>
              </w:rPr>
            </w:pPr>
            <w:r>
              <w:rPr>
                <w:rFonts w:cs="Arial"/>
                <w:b/>
                <w:spacing w:val="-2"/>
              </w:rPr>
              <w:t>28/12/</w:t>
            </w:r>
            <w:r w:rsidR="00777DB6" w:rsidRPr="003114B6">
              <w:rPr>
                <w:rFonts w:cs="Arial"/>
                <w:b/>
                <w:spacing w:val="-2"/>
              </w:rPr>
              <w:t>20</w:t>
            </w:r>
            <w:r w:rsidR="005F429C" w:rsidRPr="003114B6">
              <w:rPr>
                <w:rFonts w:cs="Arial"/>
                <w:b/>
                <w:spacing w:val="-2"/>
              </w:rPr>
              <w:t>2</w:t>
            </w:r>
            <w:r w:rsidR="003114B6" w:rsidRPr="003114B6">
              <w:rPr>
                <w:rFonts w:cs="Arial"/>
                <w:b/>
                <w:spacing w:val="-2"/>
              </w:rPr>
              <w:t>4</w:t>
            </w:r>
          </w:p>
        </w:tc>
        <w:tc>
          <w:tcPr>
            <w:tcW w:w="1417" w:type="dxa"/>
          </w:tcPr>
          <w:p w14:paraId="48E47923" w14:textId="77777777" w:rsidR="00777DB6" w:rsidRPr="003114B6" w:rsidRDefault="000A5878" w:rsidP="00777DB6">
            <w:pPr>
              <w:suppressAutoHyphens/>
              <w:ind w:right="138"/>
              <w:jc w:val="right"/>
              <w:rPr>
                <w:rFonts w:cs="Arial"/>
                <w:b/>
                <w:spacing w:val="-2"/>
              </w:rPr>
            </w:pPr>
            <w:r>
              <w:rPr>
                <w:rFonts w:cs="Arial"/>
                <w:b/>
                <w:spacing w:val="-2"/>
              </w:rPr>
              <w:t>30/12/</w:t>
            </w:r>
            <w:r w:rsidR="00777DB6" w:rsidRPr="003114B6">
              <w:rPr>
                <w:rFonts w:cs="Arial"/>
                <w:b/>
                <w:spacing w:val="-2"/>
              </w:rPr>
              <w:t>20</w:t>
            </w:r>
            <w:r w:rsidR="005935D7" w:rsidRPr="003114B6">
              <w:rPr>
                <w:rFonts w:cs="Arial"/>
                <w:b/>
                <w:spacing w:val="-2"/>
              </w:rPr>
              <w:t>2</w:t>
            </w:r>
            <w:r w:rsidR="003114B6" w:rsidRPr="003114B6">
              <w:rPr>
                <w:rFonts w:cs="Arial"/>
                <w:b/>
                <w:spacing w:val="-2"/>
              </w:rPr>
              <w:t>3</w:t>
            </w:r>
          </w:p>
        </w:tc>
      </w:tr>
      <w:tr w:rsidR="00777DB6" w:rsidRPr="00C328EF" w14:paraId="24EC3910" w14:textId="77777777" w:rsidTr="00625C11">
        <w:tc>
          <w:tcPr>
            <w:tcW w:w="4503" w:type="dxa"/>
          </w:tcPr>
          <w:p w14:paraId="4F789835" w14:textId="77777777" w:rsidR="00777DB6" w:rsidRPr="003114B6" w:rsidRDefault="00777DB6" w:rsidP="00777DB6">
            <w:pPr>
              <w:ind w:left="546"/>
              <w:jc w:val="both"/>
              <w:rPr>
                <w:b/>
              </w:rPr>
            </w:pPr>
          </w:p>
        </w:tc>
        <w:tc>
          <w:tcPr>
            <w:tcW w:w="1559" w:type="dxa"/>
          </w:tcPr>
          <w:p w14:paraId="60740065" w14:textId="77777777" w:rsidR="00777DB6" w:rsidRPr="003114B6" w:rsidRDefault="00777DB6" w:rsidP="00777DB6">
            <w:pPr>
              <w:suppressAutoHyphens/>
              <w:ind w:right="138"/>
              <w:jc w:val="right"/>
              <w:rPr>
                <w:rFonts w:cs="Arial"/>
                <w:b/>
                <w:spacing w:val="-2"/>
              </w:rPr>
            </w:pPr>
            <w:r w:rsidRPr="003114B6">
              <w:rPr>
                <w:rFonts w:cs="Arial"/>
                <w:b/>
                <w:spacing w:val="-2"/>
              </w:rPr>
              <w:t>£’000</w:t>
            </w:r>
          </w:p>
        </w:tc>
        <w:tc>
          <w:tcPr>
            <w:tcW w:w="1417" w:type="dxa"/>
          </w:tcPr>
          <w:p w14:paraId="5D4013AF" w14:textId="77777777" w:rsidR="00777DB6" w:rsidRPr="003114B6" w:rsidRDefault="00777DB6" w:rsidP="00777DB6">
            <w:pPr>
              <w:suppressAutoHyphens/>
              <w:ind w:right="138"/>
              <w:jc w:val="right"/>
              <w:rPr>
                <w:rFonts w:cs="Arial"/>
                <w:b/>
                <w:spacing w:val="-2"/>
              </w:rPr>
            </w:pPr>
            <w:r w:rsidRPr="003114B6">
              <w:rPr>
                <w:rFonts w:cs="Arial"/>
                <w:b/>
                <w:spacing w:val="-2"/>
              </w:rPr>
              <w:t>£’000</w:t>
            </w:r>
          </w:p>
        </w:tc>
        <w:tc>
          <w:tcPr>
            <w:tcW w:w="1418" w:type="dxa"/>
          </w:tcPr>
          <w:p w14:paraId="7E3FF71D" w14:textId="77777777" w:rsidR="00777DB6" w:rsidRPr="003114B6" w:rsidRDefault="00777DB6" w:rsidP="00777DB6">
            <w:pPr>
              <w:suppressAutoHyphens/>
              <w:ind w:right="138"/>
              <w:jc w:val="right"/>
              <w:rPr>
                <w:rFonts w:cs="Arial"/>
                <w:b/>
                <w:spacing w:val="-2"/>
              </w:rPr>
            </w:pPr>
            <w:r w:rsidRPr="003114B6">
              <w:rPr>
                <w:rFonts w:cs="Arial"/>
                <w:b/>
                <w:spacing w:val="-2"/>
              </w:rPr>
              <w:t>£’000</w:t>
            </w:r>
          </w:p>
        </w:tc>
        <w:tc>
          <w:tcPr>
            <w:tcW w:w="1417" w:type="dxa"/>
          </w:tcPr>
          <w:p w14:paraId="76F80BDE" w14:textId="77777777" w:rsidR="00777DB6" w:rsidRPr="003114B6" w:rsidRDefault="00777DB6" w:rsidP="00777DB6">
            <w:pPr>
              <w:suppressAutoHyphens/>
              <w:ind w:right="138"/>
              <w:jc w:val="right"/>
              <w:rPr>
                <w:rFonts w:cs="Arial"/>
                <w:b/>
                <w:spacing w:val="-2"/>
              </w:rPr>
            </w:pPr>
            <w:r w:rsidRPr="003114B6">
              <w:rPr>
                <w:rFonts w:cs="Arial"/>
                <w:b/>
                <w:spacing w:val="-2"/>
              </w:rPr>
              <w:t>£’000</w:t>
            </w:r>
          </w:p>
        </w:tc>
      </w:tr>
      <w:tr w:rsidR="00777DB6" w:rsidRPr="00C328EF" w14:paraId="4302F546" w14:textId="77777777" w:rsidTr="00625C11">
        <w:tc>
          <w:tcPr>
            <w:tcW w:w="4503" w:type="dxa"/>
          </w:tcPr>
          <w:p w14:paraId="1555E691" w14:textId="77777777" w:rsidR="00777DB6" w:rsidRPr="003114B6" w:rsidRDefault="00777DB6" w:rsidP="00777DB6">
            <w:pPr>
              <w:ind w:left="546"/>
              <w:jc w:val="both"/>
            </w:pPr>
          </w:p>
        </w:tc>
        <w:tc>
          <w:tcPr>
            <w:tcW w:w="1559" w:type="dxa"/>
          </w:tcPr>
          <w:p w14:paraId="1B7B14A8" w14:textId="77777777" w:rsidR="00777DB6" w:rsidRPr="003114B6" w:rsidRDefault="00777DB6" w:rsidP="00777DB6">
            <w:pPr>
              <w:suppressAutoHyphens/>
              <w:ind w:right="138"/>
              <w:jc w:val="right"/>
              <w:rPr>
                <w:rFonts w:cs="Arial"/>
                <w:spacing w:val="-2"/>
              </w:rPr>
            </w:pPr>
          </w:p>
        </w:tc>
        <w:tc>
          <w:tcPr>
            <w:tcW w:w="1417" w:type="dxa"/>
          </w:tcPr>
          <w:p w14:paraId="5BD42B8D" w14:textId="77777777" w:rsidR="00777DB6" w:rsidRPr="003114B6" w:rsidRDefault="00777DB6" w:rsidP="00777DB6">
            <w:pPr>
              <w:suppressAutoHyphens/>
              <w:ind w:right="138"/>
              <w:jc w:val="right"/>
              <w:rPr>
                <w:rFonts w:cs="Arial"/>
                <w:spacing w:val="-2"/>
              </w:rPr>
            </w:pPr>
          </w:p>
        </w:tc>
        <w:tc>
          <w:tcPr>
            <w:tcW w:w="1418" w:type="dxa"/>
          </w:tcPr>
          <w:p w14:paraId="759794BD" w14:textId="77777777" w:rsidR="00777DB6" w:rsidRPr="003114B6" w:rsidRDefault="00777DB6" w:rsidP="00777DB6">
            <w:pPr>
              <w:suppressAutoHyphens/>
              <w:ind w:right="138"/>
              <w:jc w:val="right"/>
              <w:rPr>
                <w:rFonts w:cs="Arial"/>
                <w:spacing w:val="-2"/>
              </w:rPr>
            </w:pPr>
          </w:p>
        </w:tc>
        <w:tc>
          <w:tcPr>
            <w:tcW w:w="1417" w:type="dxa"/>
          </w:tcPr>
          <w:p w14:paraId="533212AA" w14:textId="77777777" w:rsidR="00777DB6" w:rsidRPr="003114B6" w:rsidRDefault="00777DB6" w:rsidP="00777DB6">
            <w:pPr>
              <w:suppressAutoHyphens/>
              <w:ind w:right="138"/>
              <w:jc w:val="right"/>
              <w:rPr>
                <w:rFonts w:cs="Arial"/>
                <w:spacing w:val="-2"/>
              </w:rPr>
            </w:pPr>
          </w:p>
        </w:tc>
      </w:tr>
      <w:tr w:rsidR="003114B6" w:rsidRPr="00C328EF" w14:paraId="08B3A54C" w14:textId="77777777" w:rsidTr="00625C11">
        <w:tc>
          <w:tcPr>
            <w:tcW w:w="4503" w:type="dxa"/>
          </w:tcPr>
          <w:p w14:paraId="63885F63" w14:textId="77777777" w:rsidR="003114B6" w:rsidRPr="003114B6" w:rsidRDefault="003114B6" w:rsidP="003114B6">
            <w:pPr>
              <w:ind w:left="546"/>
              <w:jc w:val="both"/>
            </w:pPr>
            <w:r w:rsidRPr="003114B6">
              <w:t>Current</w:t>
            </w:r>
          </w:p>
        </w:tc>
        <w:tc>
          <w:tcPr>
            <w:tcW w:w="1559" w:type="dxa"/>
          </w:tcPr>
          <w:p w14:paraId="01C03475" w14:textId="77777777" w:rsidR="003114B6" w:rsidRPr="00C328EF" w:rsidRDefault="003114B6" w:rsidP="003114B6">
            <w:pPr>
              <w:suppressAutoHyphens/>
              <w:ind w:right="138"/>
              <w:jc w:val="right"/>
              <w:rPr>
                <w:rFonts w:cs="Arial"/>
                <w:spacing w:val="-2"/>
                <w:highlight w:val="yellow"/>
              </w:rPr>
            </w:pPr>
            <w:r w:rsidRPr="006B781D">
              <w:rPr>
                <w:rFonts w:cs="Arial"/>
                <w:spacing w:val="-2"/>
              </w:rPr>
              <w:t>12,</w:t>
            </w:r>
            <w:r w:rsidR="006B781D" w:rsidRPr="006B781D">
              <w:rPr>
                <w:rFonts w:cs="Arial"/>
                <w:spacing w:val="-2"/>
              </w:rPr>
              <w:t>955</w:t>
            </w:r>
          </w:p>
        </w:tc>
        <w:tc>
          <w:tcPr>
            <w:tcW w:w="1417" w:type="dxa"/>
          </w:tcPr>
          <w:p w14:paraId="45A917AA" w14:textId="77777777" w:rsidR="003114B6" w:rsidRPr="003114B6" w:rsidRDefault="003114B6" w:rsidP="003114B6">
            <w:pPr>
              <w:suppressAutoHyphens/>
              <w:ind w:right="138"/>
              <w:jc w:val="right"/>
              <w:rPr>
                <w:rFonts w:cs="Arial"/>
                <w:spacing w:val="-2"/>
              </w:rPr>
            </w:pPr>
            <w:r w:rsidRPr="003114B6">
              <w:rPr>
                <w:rFonts w:cs="Arial"/>
                <w:spacing w:val="-2"/>
              </w:rPr>
              <w:t>12,762</w:t>
            </w:r>
          </w:p>
        </w:tc>
        <w:tc>
          <w:tcPr>
            <w:tcW w:w="1418" w:type="dxa"/>
          </w:tcPr>
          <w:p w14:paraId="02FDA038"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Pr>
          <w:p w14:paraId="56F82516" w14:textId="77777777" w:rsidR="003114B6" w:rsidRPr="003114B6" w:rsidRDefault="003114B6" w:rsidP="003114B6">
            <w:pPr>
              <w:suppressAutoHyphens/>
              <w:ind w:right="138"/>
              <w:jc w:val="right"/>
              <w:rPr>
                <w:rFonts w:cs="Arial"/>
                <w:spacing w:val="-2"/>
              </w:rPr>
            </w:pPr>
            <w:r w:rsidRPr="003114B6">
              <w:rPr>
                <w:rFonts w:cs="Arial"/>
                <w:spacing w:val="-2"/>
              </w:rPr>
              <w:t>-</w:t>
            </w:r>
          </w:p>
        </w:tc>
      </w:tr>
      <w:tr w:rsidR="003114B6" w:rsidRPr="00C328EF" w14:paraId="29263D57" w14:textId="77777777" w:rsidTr="00625C11">
        <w:tc>
          <w:tcPr>
            <w:tcW w:w="4503" w:type="dxa"/>
          </w:tcPr>
          <w:p w14:paraId="6ED91917" w14:textId="77777777" w:rsidR="003114B6" w:rsidRPr="003114B6" w:rsidRDefault="003114B6" w:rsidP="003114B6">
            <w:pPr>
              <w:ind w:left="546"/>
              <w:jc w:val="both"/>
            </w:pPr>
            <w:r w:rsidRPr="003114B6">
              <w:t>Non-current</w:t>
            </w:r>
          </w:p>
        </w:tc>
        <w:tc>
          <w:tcPr>
            <w:tcW w:w="1559" w:type="dxa"/>
          </w:tcPr>
          <w:p w14:paraId="19A4884F" w14:textId="77777777" w:rsidR="003114B6" w:rsidRPr="006B781D" w:rsidRDefault="006B781D" w:rsidP="003114B6">
            <w:pPr>
              <w:suppressAutoHyphens/>
              <w:ind w:right="138"/>
              <w:jc w:val="right"/>
              <w:rPr>
                <w:rFonts w:cs="Arial"/>
                <w:spacing w:val="-2"/>
              </w:rPr>
            </w:pPr>
            <w:r w:rsidRPr="006B781D">
              <w:rPr>
                <w:rFonts w:cs="Arial"/>
                <w:spacing w:val="-2"/>
              </w:rPr>
              <w:t>37</w:t>
            </w:r>
            <w:r w:rsidR="003114B6" w:rsidRPr="006B781D">
              <w:rPr>
                <w:rFonts w:cs="Arial"/>
                <w:spacing w:val="-2"/>
              </w:rPr>
              <w:t>,</w:t>
            </w:r>
            <w:r w:rsidRPr="006B781D">
              <w:rPr>
                <w:rFonts w:cs="Arial"/>
                <w:spacing w:val="-2"/>
              </w:rPr>
              <w:t>851</w:t>
            </w:r>
          </w:p>
        </w:tc>
        <w:tc>
          <w:tcPr>
            <w:tcW w:w="1417" w:type="dxa"/>
          </w:tcPr>
          <w:p w14:paraId="580E0967" w14:textId="77777777" w:rsidR="003114B6" w:rsidRPr="003114B6" w:rsidRDefault="003114B6" w:rsidP="003114B6">
            <w:pPr>
              <w:suppressAutoHyphens/>
              <w:ind w:right="138"/>
              <w:jc w:val="right"/>
              <w:rPr>
                <w:rFonts w:cs="Arial"/>
                <w:spacing w:val="-2"/>
              </w:rPr>
            </w:pPr>
            <w:r w:rsidRPr="003114B6">
              <w:rPr>
                <w:rFonts w:cs="Arial"/>
                <w:spacing w:val="-2"/>
              </w:rPr>
              <w:t>50,016</w:t>
            </w:r>
          </w:p>
        </w:tc>
        <w:tc>
          <w:tcPr>
            <w:tcW w:w="1418" w:type="dxa"/>
          </w:tcPr>
          <w:p w14:paraId="2D8B91EE"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Pr>
          <w:p w14:paraId="5E6A254F" w14:textId="77777777" w:rsidR="003114B6" w:rsidRPr="003114B6" w:rsidRDefault="003114B6" w:rsidP="003114B6">
            <w:pPr>
              <w:suppressAutoHyphens/>
              <w:ind w:right="138"/>
              <w:jc w:val="right"/>
              <w:rPr>
                <w:rFonts w:cs="Arial"/>
                <w:spacing w:val="-2"/>
              </w:rPr>
            </w:pPr>
            <w:r w:rsidRPr="003114B6">
              <w:rPr>
                <w:rFonts w:cs="Arial"/>
                <w:spacing w:val="-2"/>
              </w:rPr>
              <w:t>-</w:t>
            </w:r>
          </w:p>
        </w:tc>
      </w:tr>
      <w:tr w:rsidR="003114B6" w:rsidRPr="00C328EF" w14:paraId="6F90E806" w14:textId="77777777" w:rsidTr="00625C11">
        <w:tc>
          <w:tcPr>
            <w:tcW w:w="4503" w:type="dxa"/>
          </w:tcPr>
          <w:p w14:paraId="3B0BECD3" w14:textId="77777777" w:rsidR="003114B6" w:rsidRPr="00C328EF" w:rsidRDefault="003114B6" w:rsidP="003114B6">
            <w:pPr>
              <w:jc w:val="both"/>
              <w:rPr>
                <w:highlight w:val="yellow"/>
              </w:rPr>
            </w:pPr>
          </w:p>
        </w:tc>
        <w:tc>
          <w:tcPr>
            <w:tcW w:w="1559" w:type="dxa"/>
          </w:tcPr>
          <w:p w14:paraId="538939A9" w14:textId="77777777" w:rsidR="003114B6" w:rsidRPr="006B781D" w:rsidRDefault="003114B6" w:rsidP="003114B6">
            <w:pPr>
              <w:jc w:val="center"/>
            </w:pPr>
            <w:r w:rsidRPr="006B781D">
              <w:rPr>
                <w:rFonts w:cs="Arial"/>
                <w:spacing w:val="-2"/>
              </w:rPr>
              <w:t>═══════</w:t>
            </w:r>
          </w:p>
        </w:tc>
        <w:tc>
          <w:tcPr>
            <w:tcW w:w="1417" w:type="dxa"/>
          </w:tcPr>
          <w:p w14:paraId="5275EE85" w14:textId="77777777" w:rsidR="003114B6" w:rsidRPr="003114B6" w:rsidRDefault="003114B6" w:rsidP="003114B6">
            <w:pPr>
              <w:jc w:val="center"/>
            </w:pPr>
            <w:r w:rsidRPr="003114B6">
              <w:rPr>
                <w:rFonts w:cs="Arial"/>
                <w:spacing w:val="-2"/>
              </w:rPr>
              <w:t>═══════</w:t>
            </w:r>
          </w:p>
        </w:tc>
        <w:tc>
          <w:tcPr>
            <w:tcW w:w="1418" w:type="dxa"/>
          </w:tcPr>
          <w:p w14:paraId="114C5443" w14:textId="77777777" w:rsidR="003114B6" w:rsidRPr="003114B6" w:rsidRDefault="003114B6" w:rsidP="003114B6">
            <w:pPr>
              <w:jc w:val="center"/>
            </w:pPr>
            <w:r w:rsidRPr="003114B6">
              <w:rPr>
                <w:rFonts w:cs="Arial"/>
                <w:spacing w:val="-2"/>
              </w:rPr>
              <w:t>═══════</w:t>
            </w:r>
          </w:p>
        </w:tc>
        <w:tc>
          <w:tcPr>
            <w:tcW w:w="1417" w:type="dxa"/>
          </w:tcPr>
          <w:p w14:paraId="3849500E" w14:textId="77777777" w:rsidR="003114B6" w:rsidRPr="003114B6" w:rsidRDefault="003114B6" w:rsidP="003114B6">
            <w:pPr>
              <w:jc w:val="center"/>
            </w:pPr>
            <w:r w:rsidRPr="003114B6">
              <w:rPr>
                <w:rFonts w:cs="Arial"/>
                <w:spacing w:val="-2"/>
              </w:rPr>
              <w:t>═══════</w:t>
            </w:r>
          </w:p>
        </w:tc>
      </w:tr>
      <w:bookmarkEnd w:id="39"/>
    </w:tbl>
    <w:p w14:paraId="25221E33" w14:textId="77777777" w:rsidR="00DC2347" w:rsidRPr="005461CD" w:rsidRDefault="00DC2347" w:rsidP="00DC2347">
      <w:pPr>
        <w:jc w:val="both"/>
        <w:rPr>
          <w:highlight w:val="yellow"/>
        </w:rPr>
      </w:pPr>
    </w:p>
    <w:p w14:paraId="28ED5349" w14:textId="77777777" w:rsidR="00E17591" w:rsidRPr="003114B6" w:rsidRDefault="007A7440" w:rsidP="007A7440">
      <w:pPr>
        <w:ind w:left="567"/>
        <w:jc w:val="both"/>
      </w:pPr>
      <w:r w:rsidRPr="003114B6">
        <w:t xml:space="preserve">The lease liabilities are secured on the related underlying assets. The undiscounted maturity analysis of lease liabilities as at </w:t>
      </w:r>
      <w:r w:rsidR="00020170">
        <w:t>28</w:t>
      </w:r>
      <w:r w:rsidRPr="003114B6">
        <w:t xml:space="preserve"> December is as follows:</w:t>
      </w:r>
    </w:p>
    <w:tbl>
      <w:tblPr>
        <w:tblW w:w="10314" w:type="dxa"/>
        <w:tblLayout w:type="fixed"/>
        <w:tblLook w:val="0000" w:firstRow="0" w:lastRow="0" w:firstColumn="0" w:lastColumn="0" w:noHBand="0" w:noVBand="0"/>
      </w:tblPr>
      <w:tblGrid>
        <w:gridCol w:w="4503"/>
        <w:gridCol w:w="1559"/>
        <w:gridCol w:w="1417"/>
        <w:gridCol w:w="1418"/>
        <w:gridCol w:w="1417"/>
      </w:tblGrid>
      <w:tr w:rsidR="0074379D" w:rsidRPr="003114B6" w14:paraId="3105414F" w14:textId="77777777" w:rsidTr="00625C11">
        <w:tc>
          <w:tcPr>
            <w:tcW w:w="4503" w:type="dxa"/>
          </w:tcPr>
          <w:p w14:paraId="33A0D94F" w14:textId="77777777" w:rsidR="0074379D" w:rsidRPr="003114B6" w:rsidRDefault="0074379D" w:rsidP="00F05515">
            <w:pPr>
              <w:ind w:left="546"/>
              <w:jc w:val="both"/>
              <w:rPr>
                <w:b/>
              </w:rPr>
            </w:pPr>
          </w:p>
        </w:tc>
        <w:tc>
          <w:tcPr>
            <w:tcW w:w="2976" w:type="dxa"/>
            <w:gridSpan w:val="2"/>
          </w:tcPr>
          <w:p w14:paraId="3CBD719C" w14:textId="77777777" w:rsidR="0074379D" w:rsidRPr="003114B6" w:rsidRDefault="0074379D" w:rsidP="00F05515">
            <w:pPr>
              <w:ind w:left="397"/>
              <w:jc w:val="center"/>
              <w:rPr>
                <w:b/>
              </w:rPr>
            </w:pPr>
            <w:r w:rsidRPr="003114B6">
              <w:rPr>
                <w:b/>
              </w:rPr>
              <w:t>Consolidated Group</w:t>
            </w:r>
          </w:p>
        </w:tc>
        <w:tc>
          <w:tcPr>
            <w:tcW w:w="2835" w:type="dxa"/>
            <w:gridSpan w:val="2"/>
          </w:tcPr>
          <w:p w14:paraId="4ABC3334" w14:textId="77777777" w:rsidR="0074379D" w:rsidRPr="003114B6" w:rsidRDefault="0074379D" w:rsidP="00F05515">
            <w:pPr>
              <w:ind w:left="238"/>
              <w:jc w:val="center"/>
              <w:rPr>
                <w:b/>
              </w:rPr>
            </w:pPr>
            <w:r w:rsidRPr="003114B6">
              <w:rPr>
                <w:b/>
              </w:rPr>
              <w:t>Parent Entity</w:t>
            </w:r>
          </w:p>
        </w:tc>
      </w:tr>
      <w:tr w:rsidR="0074379D" w:rsidRPr="003114B6" w14:paraId="5C5B69FD" w14:textId="77777777" w:rsidTr="00672ACD">
        <w:tc>
          <w:tcPr>
            <w:tcW w:w="4503" w:type="dxa"/>
          </w:tcPr>
          <w:p w14:paraId="31A7515C" w14:textId="77777777" w:rsidR="0074379D" w:rsidRPr="003114B6" w:rsidRDefault="0074379D" w:rsidP="00F05515">
            <w:pPr>
              <w:ind w:left="546"/>
              <w:jc w:val="both"/>
              <w:rPr>
                <w:b/>
              </w:rPr>
            </w:pPr>
          </w:p>
        </w:tc>
        <w:tc>
          <w:tcPr>
            <w:tcW w:w="1559" w:type="dxa"/>
          </w:tcPr>
          <w:p w14:paraId="7AE91235" w14:textId="77777777" w:rsidR="0074379D" w:rsidRPr="003114B6" w:rsidRDefault="000A5878" w:rsidP="00F05515">
            <w:pPr>
              <w:suppressAutoHyphens/>
              <w:ind w:right="138"/>
              <w:jc w:val="right"/>
              <w:rPr>
                <w:rFonts w:cs="Arial"/>
                <w:b/>
                <w:spacing w:val="-2"/>
              </w:rPr>
            </w:pPr>
            <w:r>
              <w:rPr>
                <w:rFonts w:cs="Arial"/>
                <w:b/>
                <w:spacing w:val="-2"/>
              </w:rPr>
              <w:t>28/12/</w:t>
            </w:r>
            <w:r w:rsidR="0074379D" w:rsidRPr="003114B6">
              <w:rPr>
                <w:rFonts w:cs="Arial"/>
                <w:b/>
                <w:spacing w:val="-2"/>
              </w:rPr>
              <w:t>20</w:t>
            </w:r>
            <w:r w:rsidR="005F429C" w:rsidRPr="003114B6">
              <w:rPr>
                <w:rFonts w:cs="Arial"/>
                <w:b/>
                <w:spacing w:val="-2"/>
              </w:rPr>
              <w:t>2</w:t>
            </w:r>
            <w:r w:rsidR="003114B6" w:rsidRPr="003114B6">
              <w:rPr>
                <w:rFonts w:cs="Arial"/>
                <w:b/>
                <w:spacing w:val="-2"/>
              </w:rPr>
              <w:t>4</w:t>
            </w:r>
          </w:p>
        </w:tc>
        <w:tc>
          <w:tcPr>
            <w:tcW w:w="1417" w:type="dxa"/>
          </w:tcPr>
          <w:p w14:paraId="5A6C68A6" w14:textId="77777777" w:rsidR="0074379D" w:rsidRPr="003114B6" w:rsidRDefault="000A5878" w:rsidP="00F05515">
            <w:pPr>
              <w:suppressAutoHyphens/>
              <w:ind w:right="138"/>
              <w:jc w:val="right"/>
              <w:rPr>
                <w:rFonts w:cs="Arial"/>
                <w:b/>
                <w:spacing w:val="-2"/>
              </w:rPr>
            </w:pPr>
            <w:r>
              <w:rPr>
                <w:rFonts w:cs="Arial"/>
                <w:b/>
                <w:spacing w:val="-2"/>
              </w:rPr>
              <w:t>30/12/</w:t>
            </w:r>
            <w:r w:rsidR="0074379D" w:rsidRPr="003114B6">
              <w:rPr>
                <w:rFonts w:cs="Arial"/>
                <w:b/>
                <w:spacing w:val="-2"/>
              </w:rPr>
              <w:t>20</w:t>
            </w:r>
            <w:r w:rsidR="00575F75" w:rsidRPr="003114B6">
              <w:rPr>
                <w:rFonts w:cs="Arial"/>
                <w:b/>
                <w:spacing w:val="-2"/>
              </w:rPr>
              <w:t>2</w:t>
            </w:r>
            <w:r w:rsidR="003114B6" w:rsidRPr="003114B6">
              <w:rPr>
                <w:rFonts w:cs="Arial"/>
                <w:b/>
                <w:spacing w:val="-2"/>
              </w:rPr>
              <w:t>3</w:t>
            </w:r>
          </w:p>
        </w:tc>
        <w:tc>
          <w:tcPr>
            <w:tcW w:w="1418" w:type="dxa"/>
          </w:tcPr>
          <w:p w14:paraId="0BF789A4" w14:textId="77777777" w:rsidR="0074379D" w:rsidRPr="003114B6" w:rsidRDefault="000A5878" w:rsidP="00F05515">
            <w:pPr>
              <w:suppressAutoHyphens/>
              <w:ind w:right="138"/>
              <w:jc w:val="right"/>
              <w:rPr>
                <w:rFonts w:cs="Arial"/>
                <w:b/>
                <w:spacing w:val="-2"/>
              </w:rPr>
            </w:pPr>
            <w:r>
              <w:rPr>
                <w:rFonts w:cs="Arial"/>
                <w:b/>
                <w:spacing w:val="-2"/>
              </w:rPr>
              <w:t>28/12/</w:t>
            </w:r>
            <w:r w:rsidR="0074379D" w:rsidRPr="003114B6">
              <w:rPr>
                <w:rFonts w:cs="Arial"/>
                <w:b/>
                <w:spacing w:val="-2"/>
              </w:rPr>
              <w:t>20</w:t>
            </w:r>
            <w:r w:rsidR="005F429C" w:rsidRPr="003114B6">
              <w:rPr>
                <w:rFonts w:cs="Arial"/>
                <w:b/>
                <w:spacing w:val="-2"/>
              </w:rPr>
              <w:t>2</w:t>
            </w:r>
            <w:r w:rsidR="003114B6" w:rsidRPr="003114B6">
              <w:rPr>
                <w:rFonts w:cs="Arial"/>
                <w:b/>
                <w:spacing w:val="-2"/>
              </w:rPr>
              <w:t>4</w:t>
            </w:r>
          </w:p>
        </w:tc>
        <w:tc>
          <w:tcPr>
            <w:tcW w:w="1417" w:type="dxa"/>
          </w:tcPr>
          <w:p w14:paraId="32680A2F" w14:textId="77777777" w:rsidR="0074379D" w:rsidRPr="003114B6" w:rsidRDefault="000A5878" w:rsidP="00F05515">
            <w:pPr>
              <w:suppressAutoHyphens/>
              <w:ind w:right="138"/>
              <w:jc w:val="right"/>
              <w:rPr>
                <w:rFonts w:cs="Arial"/>
                <w:b/>
                <w:spacing w:val="-2"/>
              </w:rPr>
            </w:pPr>
            <w:r>
              <w:rPr>
                <w:rFonts w:cs="Arial"/>
                <w:b/>
                <w:spacing w:val="-2"/>
              </w:rPr>
              <w:t>30/12/</w:t>
            </w:r>
            <w:r w:rsidR="0074379D" w:rsidRPr="003114B6">
              <w:rPr>
                <w:rFonts w:cs="Arial"/>
                <w:b/>
                <w:spacing w:val="-2"/>
              </w:rPr>
              <w:t>20</w:t>
            </w:r>
            <w:r w:rsidR="00575F75" w:rsidRPr="003114B6">
              <w:rPr>
                <w:rFonts w:cs="Arial"/>
                <w:b/>
                <w:spacing w:val="-2"/>
              </w:rPr>
              <w:t>2</w:t>
            </w:r>
            <w:r w:rsidR="003114B6" w:rsidRPr="003114B6">
              <w:rPr>
                <w:rFonts w:cs="Arial"/>
                <w:b/>
                <w:spacing w:val="-2"/>
              </w:rPr>
              <w:t>3</w:t>
            </w:r>
          </w:p>
        </w:tc>
      </w:tr>
      <w:tr w:rsidR="0074379D" w:rsidRPr="003114B6" w14:paraId="08A9997B" w14:textId="77777777" w:rsidTr="00672ACD">
        <w:tc>
          <w:tcPr>
            <w:tcW w:w="4503" w:type="dxa"/>
          </w:tcPr>
          <w:p w14:paraId="39FE029A" w14:textId="77777777" w:rsidR="0074379D" w:rsidRPr="003114B6" w:rsidRDefault="0074379D" w:rsidP="00F05515">
            <w:pPr>
              <w:ind w:left="546"/>
              <w:jc w:val="both"/>
              <w:rPr>
                <w:b/>
              </w:rPr>
            </w:pPr>
          </w:p>
        </w:tc>
        <w:tc>
          <w:tcPr>
            <w:tcW w:w="1559" w:type="dxa"/>
          </w:tcPr>
          <w:p w14:paraId="60B692CE" w14:textId="77777777" w:rsidR="0074379D" w:rsidRPr="003114B6" w:rsidRDefault="0074379D" w:rsidP="00F05515">
            <w:pPr>
              <w:suppressAutoHyphens/>
              <w:ind w:right="138"/>
              <w:jc w:val="right"/>
              <w:rPr>
                <w:rFonts w:cs="Arial"/>
                <w:b/>
                <w:spacing w:val="-2"/>
              </w:rPr>
            </w:pPr>
            <w:r w:rsidRPr="003114B6">
              <w:rPr>
                <w:rFonts w:cs="Arial"/>
                <w:b/>
                <w:spacing w:val="-2"/>
              </w:rPr>
              <w:t>£’000</w:t>
            </w:r>
          </w:p>
        </w:tc>
        <w:tc>
          <w:tcPr>
            <w:tcW w:w="1417" w:type="dxa"/>
          </w:tcPr>
          <w:p w14:paraId="572ABFE7" w14:textId="77777777" w:rsidR="0074379D" w:rsidRPr="003114B6" w:rsidRDefault="0074379D" w:rsidP="00F05515">
            <w:pPr>
              <w:suppressAutoHyphens/>
              <w:ind w:right="138"/>
              <w:jc w:val="right"/>
              <w:rPr>
                <w:rFonts w:cs="Arial"/>
                <w:b/>
                <w:spacing w:val="-2"/>
              </w:rPr>
            </w:pPr>
            <w:r w:rsidRPr="003114B6">
              <w:rPr>
                <w:rFonts w:cs="Arial"/>
                <w:b/>
                <w:spacing w:val="-2"/>
              </w:rPr>
              <w:t>£’000</w:t>
            </w:r>
          </w:p>
        </w:tc>
        <w:tc>
          <w:tcPr>
            <w:tcW w:w="1418" w:type="dxa"/>
          </w:tcPr>
          <w:p w14:paraId="1E10DD4F" w14:textId="77777777" w:rsidR="0074379D" w:rsidRPr="003114B6" w:rsidRDefault="0074379D" w:rsidP="00F05515">
            <w:pPr>
              <w:suppressAutoHyphens/>
              <w:ind w:right="138"/>
              <w:jc w:val="right"/>
              <w:rPr>
                <w:rFonts w:cs="Arial"/>
                <w:b/>
                <w:spacing w:val="-2"/>
              </w:rPr>
            </w:pPr>
            <w:r w:rsidRPr="003114B6">
              <w:rPr>
                <w:rFonts w:cs="Arial"/>
                <w:b/>
                <w:spacing w:val="-2"/>
              </w:rPr>
              <w:t>£’000</w:t>
            </w:r>
          </w:p>
        </w:tc>
        <w:tc>
          <w:tcPr>
            <w:tcW w:w="1417" w:type="dxa"/>
          </w:tcPr>
          <w:p w14:paraId="0806D1C1" w14:textId="77777777" w:rsidR="0074379D" w:rsidRPr="003114B6" w:rsidRDefault="0074379D" w:rsidP="00F05515">
            <w:pPr>
              <w:suppressAutoHyphens/>
              <w:ind w:right="138"/>
              <w:jc w:val="right"/>
              <w:rPr>
                <w:rFonts w:cs="Arial"/>
                <w:b/>
                <w:spacing w:val="-2"/>
              </w:rPr>
            </w:pPr>
            <w:r w:rsidRPr="003114B6">
              <w:rPr>
                <w:rFonts w:cs="Arial"/>
                <w:b/>
                <w:spacing w:val="-2"/>
              </w:rPr>
              <w:t>£’000</w:t>
            </w:r>
          </w:p>
        </w:tc>
      </w:tr>
      <w:tr w:rsidR="0074379D" w:rsidRPr="00C328EF" w14:paraId="5A4CDDC2" w14:textId="77777777" w:rsidTr="00672ACD">
        <w:tc>
          <w:tcPr>
            <w:tcW w:w="4503" w:type="dxa"/>
          </w:tcPr>
          <w:p w14:paraId="6D71B848" w14:textId="77777777" w:rsidR="0074379D" w:rsidRPr="00C328EF" w:rsidRDefault="0074379D" w:rsidP="00F05515">
            <w:pPr>
              <w:ind w:left="546"/>
              <w:jc w:val="both"/>
              <w:rPr>
                <w:highlight w:val="yellow"/>
              </w:rPr>
            </w:pPr>
          </w:p>
        </w:tc>
        <w:tc>
          <w:tcPr>
            <w:tcW w:w="1559" w:type="dxa"/>
          </w:tcPr>
          <w:p w14:paraId="3EB78FA0" w14:textId="77777777" w:rsidR="0074379D" w:rsidRPr="00C328EF" w:rsidRDefault="0074379D" w:rsidP="00F05515">
            <w:pPr>
              <w:suppressAutoHyphens/>
              <w:ind w:right="138"/>
              <w:jc w:val="right"/>
              <w:rPr>
                <w:rFonts w:cs="Arial"/>
                <w:spacing w:val="-2"/>
                <w:highlight w:val="yellow"/>
              </w:rPr>
            </w:pPr>
          </w:p>
        </w:tc>
        <w:tc>
          <w:tcPr>
            <w:tcW w:w="1417" w:type="dxa"/>
          </w:tcPr>
          <w:p w14:paraId="230DD581" w14:textId="77777777" w:rsidR="0074379D" w:rsidRPr="00C328EF" w:rsidRDefault="0074379D" w:rsidP="00F05515">
            <w:pPr>
              <w:suppressAutoHyphens/>
              <w:ind w:right="138"/>
              <w:jc w:val="right"/>
              <w:rPr>
                <w:rFonts w:cs="Arial"/>
                <w:spacing w:val="-2"/>
                <w:highlight w:val="yellow"/>
              </w:rPr>
            </w:pPr>
          </w:p>
        </w:tc>
        <w:tc>
          <w:tcPr>
            <w:tcW w:w="1418" w:type="dxa"/>
          </w:tcPr>
          <w:p w14:paraId="64C46A50" w14:textId="77777777" w:rsidR="0074379D" w:rsidRPr="003114B6" w:rsidRDefault="0074379D" w:rsidP="00F05515">
            <w:pPr>
              <w:suppressAutoHyphens/>
              <w:ind w:right="138"/>
              <w:jc w:val="right"/>
              <w:rPr>
                <w:rFonts w:cs="Arial"/>
                <w:spacing w:val="-2"/>
              </w:rPr>
            </w:pPr>
          </w:p>
        </w:tc>
        <w:tc>
          <w:tcPr>
            <w:tcW w:w="1417" w:type="dxa"/>
          </w:tcPr>
          <w:p w14:paraId="5E2F5E98" w14:textId="77777777" w:rsidR="0074379D" w:rsidRPr="003114B6" w:rsidRDefault="0074379D" w:rsidP="00F05515">
            <w:pPr>
              <w:suppressAutoHyphens/>
              <w:ind w:right="138"/>
              <w:jc w:val="right"/>
              <w:rPr>
                <w:rFonts w:cs="Arial"/>
                <w:spacing w:val="-2"/>
              </w:rPr>
            </w:pPr>
          </w:p>
        </w:tc>
      </w:tr>
      <w:tr w:rsidR="003114B6" w:rsidRPr="00C328EF" w14:paraId="6B691782" w14:textId="77777777" w:rsidTr="00672ACD">
        <w:tc>
          <w:tcPr>
            <w:tcW w:w="4503" w:type="dxa"/>
          </w:tcPr>
          <w:p w14:paraId="51E454EF" w14:textId="77777777" w:rsidR="003114B6" w:rsidRPr="003114B6" w:rsidRDefault="003114B6" w:rsidP="003114B6">
            <w:pPr>
              <w:ind w:left="546"/>
              <w:jc w:val="both"/>
            </w:pPr>
            <w:r w:rsidRPr="003114B6">
              <w:t>Within one year</w:t>
            </w:r>
          </w:p>
        </w:tc>
        <w:tc>
          <w:tcPr>
            <w:tcW w:w="1559" w:type="dxa"/>
          </w:tcPr>
          <w:p w14:paraId="3F9B3F86" w14:textId="77777777" w:rsidR="003114B6" w:rsidRPr="00020170" w:rsidRDefault="003114B6" w:rsidP="003114B6">
            <w:pPr>
              <w:suppressAutoHyphens/>
              <w:ind w:right="138"/>
              <w:jc w:val="right"/>
              <w:rPr>
                <w:rFonts w:cs="Arial"/>
                <w:spacing w:val="-2"/>
              </w:rPr>
            </w:pPr>
            <w:r w:rsidRPr="00020170">
              <w:rPr>
                <w:rFonts w:cs="Arial"/>
                <w:spacing w:val="-2"/>
              </w:rPr>
              <w:t>14,</w:t>
            </w:r>
            <w:r w:rsidR="000F5601" w:rsidRPr="00020170">
              <w:rPr>
                <w:rFonts w:cs="Arial"/>
                <w:spacing w:val="-2"/>
              </w:rPr>
              <w:t>105</w:t>
            </w:r>
          </w:p>
        </w:tc>
        <w:tc>
          <w:tcPr>
            <w:tcW w:w="1417" w:type="dxa"/>
          </w:tcPr>
          <w:p w14:paraId="41E0C455" w14:textId="77777777" w:rsidR="003114B6" w:rsidRPr="000F5601" w:rsidRDefault="003114B6" w:rsidP="003114B6">
            <w:pPr>
              <w:suppressAutoHyphens/>
              <w:ind w:right="138"/>
              <w:jc w:val="right"/>
              <w:rPr>
                <w:rFonts w:cs="Arial"/>
                <w:spacing w:val="-2"/>
              </w:rPr>
            </w:pPr>
            <w:r w:rsidRPr="000F5601">
              <w:rPr>
                <w:rFonts w:cs="Arial"/>
                <w:spacing w:val="-2"/>
              </w:rPr>
              <w:t>14,089</w:t>
            </w:r>
          </w:p>
        </w:tc>
        <w:tc>
          <w:tcPr>
            <w:tcW w:w="1418" w:type="dxa"/>
          </w:tcPr>
          <w:p w14:paraId="66D8C3BF"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Pr>
          <w:p w14:paraId="24DA728B" w14:textId="77777777" w:rsidR="003114B6" w:rsidRPr="003114B6" w:rsidRDefault="003114B6" w:rsidP="003114B6">
            <w:pPr>
              <w:suppressAutoHyphens/>
              <w:ind w:right="138"/>
              <w:jc w:val="right"/>
              <w:rPr>
                <w:rFonts w:cs="Arial"/>
                <w:spacing w:val="-2"/>
              </w:rPr>
            </w:pPr>
            <w:r w:rsidRPr="003114B6">
              <w:rPr>
                <w:rFonts w:cs="Arial"/>
                <w:spacing w:val="-2"/>
              </w:rPr>
              <w:t>-</w:t>
            </w:r>
          </w:p>
        </w:tc>
      </w:tr>
      <w:tr w:rsidR="003114B6" w:rsidRPr="00C328EF" w14:paraId="7649BE2F" w14:textId="77777777" w:rsidTr="00672ACD">
        <w:tc>
          <w:tcPr>
            <w:tcW w:w="4503" w:type="dxa"/>
          </w:tcPr>
          <w:p w14:paraId="39B7CE56" w14:textId="77777777" w:rsidR="003114B6" w:rsidRPr="003114B6" w:rsidRDefault="003114B6" w:rsidP="003114B6">
            <w:pPr>
              <w:ind w:left="546"/>
              <w:jc w:val="both"/>
            </w:pPr>
            <w:r w:rsidRPr="003114B6">
              <w:t>Between 2 and 5 years</w:t>
            </w:r>
          </w:p>
        </w:tc>
        <w:tc>
          <w:tcPr>
            <w:tcW w:w="1559" w:type="dxa"/>
          </w:tcPr>
          <w:p w14:paraId="5B7399AC" w14:textId="77777777" w:rsidR="003114B6" w:rsidRPr="00020170" w:rsidRDefault="00020170" w:rsidP="003114B6">
            <w:pPr>
              <w:suppressAutoHyphens/>
              <w:ind w:right="138"/>
              <w:jc w:val="right"/>
              <w:rPr>
                <w:rFonts w:cs="Arial"/>
                <w:spacing w:val="-2"/>
              </w:rPr>
            </w:pPr>
            <w:r w:rsidRPr="00020170">
              <w:rPr>
                <w:rFonts w:cs="Arial"/>
                <w:spacing w:val="-2"/>
              </w:rPr>
              <w:t>3</w:t>
            </w:r>
            <w:r w:rsidR="003114B6" w:rsidRPr="00020170">
              <w:rPr>
                <w:rFonts w:cs="Arial"/>
                <w:spacing w:val="-2"/>
              </w:rPr>
              <w:t>4,</w:t>
            </w:r>
            <w:r w:rsidRPr="00020170">
              <w:rPr>
                <w:rFonts w:cs="Arial"/>
                <w:spacing w:val="-2"/>
              </w:rPr>
              <w:t>284</w:t>
            </w:r>
          </w:p>
        </w:tc>
        <w:tc>
          <w:tcPr>
            <w:tcW w:w="1417" w:type="dxa"/>
          </w:tcPr>
          <w:p w14:paraId="7CDB52EB" w14:textId="77777777" w:rsidR="003114B6" w:rsidRPr="003114B6" w:rsidRDefault="003114B6" w:rsidP="003114B6">
            <w:pPr>
              <w:suppressAutoHyphens/>
              <w:ind w:right="138"/>
              <w:jc w:val="right"/>
              <w:rPr>
                <w:rFonts w:cs="Arial"/>
                <w:spacing w:val="-2"/>
              </w:rPr>
            </w:pPr>
            <w:r w:rsidRPr="003114B6">
              <w:rPr>
                <w:rFonts w:cs="Arial"/>
                <w:spacing w:val="-2"/>
              </w:rPr>
              <w:t>44,026</w:t>
            </w:r>
          </w:p>
        </w:tc>
        <w:tc>
          <w:tcPr>
            <w:tcW w:w="1418" w:type="dxa"/>
          </w:tcPr>
          <w:p w14:paraId="0508EFBF"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Pr>
          <w:p w14:paraId="42E214EE" w14:textId="77777777" w:rsidR="003114B6" w:rsidRPr="003114B6" w:rsidRDefault="003114B6" w:rsidP="003114B6">
            <w:pPr>
              <w:suppressAutoHyphens/>
              <w:ind w:right="138"/>
              <w:jc w:val="right"/>
              <w:rPr>
                <w:rFonts w:cs="Arial"/>
                <w:spacing w:val="-2"/>
              </w:rPr>
            </w:pPr>
            <w:r w:rsidRPr="003114B6">
              <w:rPr>
                <w:rFonts w:cs="Arial"/>
                <w:spacing w:val="-2"/>
              </w:rPr>
              <w:t>-</w:t>
            </w:r>
          </w:p>
        </w:tc>
      </w:tr>
      <w:tr w:rsidR="003114B6" w:rsidRPr="00C328EF" w14:paraId="13037E11" w14:textId="77777777" w:rsidTr="00672ACD">
        <w:tc>
          <w:tcPr>
            <w:tcW w:w="4503" w:type="dxa"/>
          </w:tcPr>
          <w:p w14:paraId="0611F51B" w14:textId="77777777" w:rsidR="003114B6" w:rsidRPr="003114B6" w:rsidRDefault="003114B6" w:rsidP="003114B6">
            <w:pPr>
              <w:ind w:left="546"/>
              <w:jc w:val="both"/>
            </w:pPr>
            <w:r w:rsidRPr="003114B6">
              <w:t>Over 5 years</w:t>
            </w:r>
          </w:p>
        </w:tc>
        <w:tc>
          <w:tcPr>
            <w:tcW w:w="1559" w:type="dxa"/>
          </w:tcPr>
          <w:p w14:paraId="79F4D32A" w14:textId="77777777" w:rsidR="003114B6" w:rsidRPr="00020170" w:rsidRDefault="00020170" w:rsidP="003114B6">
            <w:pPr>
              <w:suppressAutoHyphens/>
              <w:ind w:right="138"/>
              <w:jc w:val="right"/>
              <w:rPr>
                <w:rFonts w:cs="Arial"/>
                <w:spacing w:val="-2"/>
              </w:rPr>
            </w:pPr>
            <w:r w:rsidRPr="00020170">
              <w:rPr>
                <w:rFonts w:cs="Arial"/>
                <w:spacing w:val="-2"/>
              </w:rPr>
              <w:t>6,094</w:t>
            </w:r>
          </w:p>
        </w:tc>
        <w:tc>
          <w:tcPr>
            <w:tcW w:w="1417" w:type="dxa"/>
          </w:tcPr>
          <w:p w14:paraId="4055E19A" w14:textId="77777777" w:rsidR="003114B6" w:rsidRPr="003114B6" w:rsidRDefault="003114B6" w:rsidP="003114B6">
            <w:pPr>
              <w:suppressAutoHyphens/>
              <w:ind w:right="138"/>
              <w:jc w:val="right"/>
              <w:rPr>
                <w:rFonts w:cs="Arial"/>
                <w:spacing w:val="-2"/>
              </w:rPr>
            </w:pPr>
            <w:r w:rsidRPr="003114B6">
              <w:rPr>
                <w:rFonts w:cs="Arial"/>
                <w:spacing w:val="-2"/>
              </w:rPr>
              <w:t>9,587</w:t>
            </w:r>
          </w:p>
        </w:tc>
        <w:tc>
          <w:tcPr>
            <w:tcW w:w="1418" w:type="dxa"/>
          </w:tcPr>
          <w:p w14:paraId="39BCA7CA"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Pr>
          <w:p w14:paraId="157DB7DE" w14:textId="77777777" w:rsidR="003114B6" w:rsidRPr="003114B6" w:rsidRDefault="003114B6" w:rsidP="003114B6">
            <w:pPr>
              <w:suppressAutoHyphens/>
              <w:ind w:right="138"/>
              <w:jc w:val="right"/>
              <w:rPr>
                <w:rFonts w:cs="Arial"/>
                <w:spacing w:val="-2"/>
              </w:rPr>
            </w:pPr>
            <w:r w:rsidRPr="003114B6">
              <w:rPr>
                <w:rFonts w:cs="Arial"/>
                <w:spacing w:val="-2"/>
              </w:rPr>
              <w:t>-</w:t>
            </w:r>
          </w:p>
        </w:tc>
      </w:tr>
      <w:tr w:rsidR="003114B6" w:rsidRPr="00C328EF" w14:paraId="5628DCEC" w14:textId="77777777" w:rsidTr="00672ACD">
        <w:tc>
          <w:tcPr>
            <w:tcW w:w="4503" w:type="dxa"/>
          </w:tcPr>
          <w:p w14:paraId="0808116B" w14:textId="77777777" w:rsidR="003114B6" w:rsidRPr="003114B6" w:rsidRDefault="003114B6" w:rsidP="003114B6">
            <w:pPr>
              <w:ind w:left="574"/>
            </w:pPr>
          </w:p>
        </w:tc>
        <w:tc>
          <w:tcPr>
            <w:tcW w:w="1559" w:type="dxa"/>
          </w:tcPr>
          <w:p w14:paraId="3890F509" w14:textId="77777777" w:rsidR="003114B6" w:rsidRPr="000F5601" w:rsidRDefault="003114B6" w:rsidP="003114B6">
            <w:pPr>
              <w:ind w:right="138"/>
              <w:jc w:val="right"/>
            </w:pPr>
            <w:r w:rsidRPr="000F5601">
              <w:rPr>
                <w:rFonts w:cs="Arial"/>
                <w:spacing w:val="-2"/>
              </w:rPr>
              <w:t>──────</w:t>
            </w:r>
          </w:p>
        </w:tc>
        <w:tc>
          <w:tcPr>
            <w:tcW w:w="1417" w:type="dxa"/>
          </w:tcPr>
          <w:p w14:paraId="2C1538D5" w14:textId="77777777" w:rsidR="003114B6" w:rsidRPr="003114B6" w:rsidRDefault="003114B6" w:rsidP="003114B6">
            <w:pPr>
              <w:ind w:right="138"/>
              <w:jc w:val="right"/>
            </w:pPr>
            <w:r w:rsidRPr="003114B6">
              <w:rPr>
                <w:rFonts w:cs="Arial"/>
                <w:spacing w:val="-2"/>
              </w:rPr>
              <w:t>──────</w:t>
            </w:r>
          </w:p>
        </w:tc>
        <w:tc>
          <w:tcPr>
            <w:tcW w:w="1418" w:type="dxa"/>
          </w:tcPr>
          <w:p w14:paraId="4531FFB2" w14:textId="77777777" w:rsidR="003114B6" w:rsidRPr="003114B6" w:rsidRDefault="003114B6" w:rsidP="003114B6">
            <w:pPr>
              <w:ind w:right="108"/>
              <w:jc w:val="right"/>
            </w:pPr>
            <w:r w:rsidRPr="003114B6">
              <w:rPr>
                <w:rFonts w:cs="Arial"/>
                <w:spacing w:val="-2"/>
              </w:rPr>
              <w:t>──────</w:t>
            </w:r>
          </w:p>
        </w:tc>
        <w:tc>
          <w:tcPr>
            <w:tcW w:w="1417" w:type="dxa"/>
          </w:tcPr>
          <w:p w14:paraId="2A2B31F9" w14:textId="77777777" w:rsidR="003114B6" w:rsidRPr="003114B6" w:rsidRDefault="003114B6" w:rsidP="003114B6">
            <w:pPr>
              <w:ind w:right="108"/>
              <w:jc w:val="right"/>
            </w:pPr>
            <w:r w:rsidRPr="003114B6">
              <w:rPr>
                <w:rFonts w:cs="Arial"/>
                <w:spacing w:val="-2"/>
              </w:rPr>
              <w:t>──────</w:t>
            </w:r>
          </w:p>
        </w:tc>
      </w:tr>
      <w:tr w:rsidR="003114B6" w:rsidRPr="00C328EF" w14:paraId="30010881" w14:textId="77777777" w:rsidTr="00672ACD">
        <w:tc>
          <w:tcPr>
            <w:tcW w:w="4503" w:type="dxa"/>
          </w:tcPr>
          <w:p w14:paraId="78B01DCD" w14:textId="77777777" w:rsidR="003114B6" w:rsidRPr="003114B6" w:rsidRDefault="003114B6" w:rsidP="003114B6">
            <w:pPr>
              <w:ind w:left="546"/>
              <w:jc w:val="both"/>
            </w:pPr>
            <w:r w:rsidRPr="003114B6">
              <w:t>Total undiscounted liabilities</w:t>
            </w:r>
          </w:p>
        </w:tc>
        <w:tc>
          <w:tcPr>
            <w:tcW w:w="1559" w:type="dxa"/>
          </w:tcPr>
          <w:p w14:paraId="17743A09" w14:textId="77777777" w:rsidR="003114B6" w:rsidRPr="000F5601" w:rsidRDefault="000F5601" w:rsidP="003114B6">
            <w:pPr>
              <w:suppressAutoHyphens/>
              <w:ind w:right="138"/>
              <w:jc w:val="right"/>
              <w:rPr>
                <w:rFonts w:cs="Arial"/>
                <w:spacing w:val="-2"/>
              </w:rPr>
            </w:pPr>
            <w:r w:rsidRPr="000F5601">
              <w:rPr>
                <w:rFonts w:cs="Arial"/>
                <w:spacing w:val="-2"/>
              </w:rPr>
              <w:t>54,483</w:t>
            </w:r>
          </w:p>
        </w:tc>
        <w:tc>
          <w:tcPr>
            <w:tcW w:w="1417" w:type="dxa"/>
          </w:tcPr>
          <w:p w14:paraId="60E328C9" w14:textId="77777777" w:rsidR="003114B6" w:rsidRPr="003114B6" w:rsidRDefault="003114B6" w:rsidP="003114B6">
            <w:pPr>
              <w:suppressAutoHyphens/>
              <w:ind w:right="138"/>
              <w:jc w:val="right"/>
              <w:rPr>
                <w:rFonts w:cs="Arial"/>
                <w:spacing w:val="-2"/>
              </w:rPr>
            </w:pPr>
            <w:r w:rsidRPr="003114B6">
              <w:rPr>
                <w:rFonts w:cs="Arial"/>
                <w:spacing w:val="-2"/>
              </w:rPr>
              <w:t>67,702</w:t>
            </w:r>
          </w:p>
        </w:tc>
        <w:tc>
          <w:tcPr>
            <w:tcW w:w="1418" w:type="dxa"/>
          </w:tcPr>
          <w:p w14:paraId="05A085BC"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Pr>
          <w:p w14:paraId="7A37212F" w14:textId="77777777" w:rsidR="003114B6" w:rsidRPr="003114B6" w:rsidRDefault="003114B6" w:rsidP="003114B6">
            <w:pPr>
              <w:suppressAutoHyphens/>
              <w:ind w:right="138"/>
              <w:jc w:val="right"/>
              <w:rPr>
                <w:rFonts w:cs="Arial"/>
                <w:spacing w:val="-2"/>
              </w:rPr>
            </w:pPr>
            <w:r w:rsidRPr="003114B6">
              <w:rPr>
                <w:rFonts w:cs="Arial"/>
                <w:spacing w:val="-2"/>
              </w:rPr>
              <w:t>-</w:t>
            </w:r>
          </w:p>
        </w:tc>
      </w:tr>
      <w:tr w:rsidR="003114B6" w:rsidRPr="00C328EF" w14:paraId="15944D75" w14:textId="77777777" w:rsidTr="00672ACD">
        <w:tc>
          <w:tcPr>
            <w:tcW w:w="4503" w:type="dxa"/>
          </w:tcPr>
          <w:p w14:paraId="32AFFD3A" w14:textId="77777777" w:rsidR="003114B6" w:rsidRPr="00C328EF" w:rsidRDefault="003114B6" w:rsidP="003114B6">
            <w:pPr>
              <w:jc w:val="both"/>
              <w:rPr>
                <w:highlight w:val="yellow"/>
              </w:rPr>
            </w:pPr>
          </w:p>
        </w:tc>
        <w:tc>
          <w:tcPr>
            <w:tcW w:w="1559" w:type="dxa"/>
          </w:tcPr>
          <w:p w14:paraId="24927509" w14:textId="77777777" w:rsidR="003114B6" w:rsidRPr="000F5601" w:rsidRDefault="003114B6" w:rsidP="003114B6">
            <w:pPr>
              <w:jc w:val="center"/>
            </w:pPr>
            <w:r w:rsidRPr="000F5601">
              <w:rPr>
                <w:rFonts w:cs="Arial"/>
                <w:spacing w:val="-2"/>
              </w:rPr>
              <w:t>═══════</w:t>
            </w:r>
          </w:p>
        </w:tc>
        <w:tc>
          <w:tcPr>
            <w:tcW w:w="1417" w:type="dxa"/>
          </w:tcPr>
          <w:p w14:paraId="21A0A161" w14:textId="77777777" w:rsidR="003114B6" w:rsidRPr="003114B6" w:rsidRDefault="003114B6" w:rsidP="003114B6">
            <w:pPr>
              <w:jc w:val="center"/>
            </w:pPr>
            <w:r w:rsidRPr="003114B6">
              <w:rPr>
                <w:rFonts w:cs="Arial"/>
                <w:spacing w:val="-2"/>
              </w:rPr>
              <w:t>═══════</w:t>
            </w:r>
          </w:p>
        </w:tc>
        <w:tc>
          <w:tcPr>
            <w:tcW w:w="1418" w:type="dxa"/>
          </w:tcPr>
          <w:p w14:paraId="2A5BC82D" w14:textId="77777777" w:rsidR="003114B6" w:rsidRPr="003114B6" w:rsidRDefault="003114B6" w:rsidP="003114B6">
            <w:pPr>
              <w:jc w:val="center"/>
            </w:pPr>
            <w:r w:rsidRPr="003114B6">
              <w:rPr>
                <w:rFonts w:cs="Arial"/>
                <w:spacing w:val="-2"/>
              </w:rPr>
              <w:t>═══════</w:t>
            </w:r>
          </w:p>
        </w:tc>
        <w:tc>
          <w:tcPr>
            <w:tcW w:w="1417" w:type="dxa"/>
          </w:tcPr>
          <w:p w14:paraId="1E1B3A32" w14:textId="77777777" w:rsidR="003114B6" w:rsidRPr="003114B6" w:rsidRDefault="003114B6" w:rsidP="003114B6">
            <w:pPr>
              <w:jc w:val="center"/>
            </w:pPr>
            <w:r w:rsidRPr="003114B6">
              <w:rPr>
                <w:rFonts w:cs="Arial"/>
                <w:spacing w:val="-2"/>
              </w:rPr>
              <w:t>═══════</w:t>
            </w:r>
          </w:p>
        </w:tc>
      </w:tr>
    </w:tbl>
    <w:p w14:paraId="756C4B4E" w14:textId="77777777" w:rsidR="00163125" w:rsidRPr="00F45179" w:rsidRDefault="0094037F" w:rsidP="00163125">
      <w:pPr>
        <w:jc w:val="center"/>
        <w:rPr>
          <w:b/>
        </w:rPr>
      </w:pPr>
      <w:r w:rsidRPr="00C328EF">
        <w:rPr>
          <w:highlight w:val="yellow"/>
        </w:rPr>
        <w:br w:type="page"/>
      </w:r>
      <w:r w:rsidR="00163125" w:rsidRPr="00F45179">
        <w:rPr>
          <w:b/>
        </w:rPr>
        <w:lastRenderedPageBreak/>
        <w:t>TRANSPORT FOR EDINBURGH LIMITED</w:t>
      </w:r>
    </w:p>
    <w:p w14:paraId="5691EC51" w14:textId="77777777" w:rsidR="00163125" w:rsidRPr="00F45179" w:rsidRDefault="00163125" w:rsidP="00163125">
      <w:pPr>
        <w:jc w:val="center"/>
        <w:rPr>
          <w:b/>
        </w:rPr>
      </w:pPr>
    </w:p>
    <w:p w14:paraId="3723B85E" w14:textId="77777777" w:rsidR="00163125" w:rsidRPr="00F45179" w:rsidRDefault="00163125" w:rsidP="00163125">
      <w:pPr>
        <w:jc w:val="center"/>
        <w:rPr>
          <w:b/>
        </w:rPr>
      </w:pPr>
      <w:r w:rsidRPr="00F45179">
        <w:rPr>
          <w:b/>
        </w:rPr>
        <w:t>Notes to the Financial Statements (continued)</w:t>
      </w:r>
    </w:p>
    <w:p w14:paraId="7064B8ED" w14:textId="77777777" w:rsidR="00163125" w:rsidRPr="00F45179" w:rsidRDefault="00163125" w:rsidP="00163125">
      <w:pPr>
        <w:jc w:val="center"/>
        <w:rPr>
          <w:b/>
        </w:rPr>
      </w:pPr>
    </w:p>
    <w:p w14:paraId="63174093" w14:textId="77777777" w:rsidR="00163125" w:rsidRPr="00F45179" w:rsidRDefault="00D90B89" w:rsidP="00163125">
      <w:pPr>
        <w:tabs>
          <w:tab w:val="left" w:pos="567"/>
        </w:tabs>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0E153793" w14:textId="77777777" w:rsidR="0094037F" w:rsidRDefault="0094037F" w:rsidP="005461CD">
      <w:pPr>
        <w:ind w:firstLine="489"/>
      </w:pPr>
    </w:p>
    <w:p w14:paraId="5F01B2A8" w14:textId="77777777" w:rsidR="005461CD" w:rsidRPr="00977682" w:rsidRDefault="00977682" w:rsidP="00A5227C">
      <w:pPr>
        <w:numPr>
          <w:ilvl w:val="0"/>
          <w:numId w:val="40"/>
        </w:numPr>
        <w:tabs>
          <w:tab w:val="left" w:pos="567"/>
        </w:tabs>
        <w:ind w:left="360"/>
        <w:rPr>
          <w:b/>
          <w:bCs/>
        </w:rPr>
      </w:pPr>
      <w:r w:rsidRPr="00977682">
        <w:rPr>
          <w:b/>
          <w:bCs/>
        </w:rPr>
        <w:t>Provisions for liabilities and charges</w:t>
      </w:r>
    </w:p>
    <w:tbl>
      <w:tblPr>
        <w:tblW w:w="10206" w:type="dxa"/>
        <w:tblInd w:w="108" w:type="dxa"/>
        <w:tblLayout w:type="fixed"/>
        <w:tblLook w:val="01E0" w:firstRow="1" w:lastRow="1" w:firstColumn="1" w:lastColumn="1" w:noHBand="0" w:noVBand="0"/>
      </w:tblPr>
      <w:tblGrid>
        <w:gridCol w:w="4536"/>
        <w:gridCol w:w="1418"/>
        <w:gridCol w:w="1417"/>
        <w:gridCol w:w="1418"/>
        <w:gridCol w:w="1417"/>
      </w:tblGrid>
      <w:tr w:rsidR="005461CD" w:rsidRPr="00D07531" w14:paraId="08832587" w14:textId="77777777" w:rsidTr="00625C11">
        <w:tc>
          <w:tcPr>
            <w:tcW w:w="4536" w:type="dxa"/>
          </w:tcPr>
          <w:p w14:paraId="5F2FAFF8" w14:textId="77777777" w:rsidR="005461CD" w:rsidRPr="00D07531" w:rsidRDefault="005461CD" w:rsidP="00872B96">
            <w:pPr>
              <w:suppressAutoHyphens/>
              <w:rPr>
                <w:rFonts w:cs="Arial"/>
                <w:spacing w:val="-2"/>
              </w:rPr>
            </w:pPr>
          </w:p>
        </w:tc>
        <w:tc>
          <w:tcPr>
            <w:tcW w:w="2835" w:type="dxa"/>
            <w:gridSpan w:val="2"/>
          </w:tcPr>
          <w:p w14:paraId="437EAE3C" w14:textId="77777777" w:rsidR="005461CD" w:rsidRPr="00D07531" w:rsidRDefault="005461CD" w:rsidP="00872B96">
            <w:pPr>
              <w:ind w:left="282"/>
              <w:jc w:val="center"/>
              <w:rPr>
                <w:b/>
              </w:rPr>
            </w:pPr>
            <w:r w:rsidRPr="00D07531">
              <w:rPr>
                <w:b/>
              </w:rPr>
              <w:t>Consolidated Group</w:t>
            </w:r>
          </w:p>
        </w:tc>
        <w:tc>
          <w:tcPr>
            <w:tcW w:w="2835" w:type="dxa"/>
            <w:gridSpan w:val="2"/>
          </w:tcPr>
          <w:p w14:paraId="6DEF1846" w14:textId="77777777" w:rsidR="005461CD" w:rsidRPr="00D07531" w:rsidRDefault="005461CD" w:rsidP="00872B96">
            <w:pPr>
              <w:ind w:left="238"/>
              <w:jc w:val="center"/>
              <w:rPr>
                <w:b/>
              </w:rPr>
            </w:pPr>
            <w:r w:rsidRPr="00D07531">
              <w:rPr>
                <w:b/>
              </w:rPr>
              <w:t>Parent Entity</w:t>
            </w:r>
          </w:p>
        </w:tc>
      </w:tr>
      <w:tr w:rsidR="005461CD" w:rsidRPr="00C328EF" w14:paraId="2139EDC1" w14:textId="77777777" w:rsidTr="00625C11">
        <w:tc>
          <w:tcPr>
            <w:tcW w:w="4536" w:type="dxa"/>
          </w:tcPr>
          <w:p w14:paraId="2A435555" w14:textId="77777777" w:rsidR="005461CD" w:rsidRPr="00C328EF" w:rsidRDefault="005461CD" w:rsidP="00872B96">
            <w:pPr>
              <w:suppressAutoHyphens/>
              <w:rPr>
                <w:rFonts w:cs="Arial"/>
                <w:spacing w:val="-2"/>
                <w:highlight w:val="yellow"/>
              </w:rPr>
            </w:pPr>
          </w:p>
        </w:tc>
        <w:tc>
          <w:tcPr>
            <w:tcW w:w="1418" w:type="dxa"/>
          </w:tcPr>
          <w:p w14:paraId="742D5493" w14:textId="77777777" w:rsidR="005461CD" w:rsidRPr="003114B6" w:rsidRDefault="000A5878" w:rsidP="00872B96">
            <w:pPr>
              <w:suppressAutoHyphens/>
              <w:ind w:left="203" w:right="138" w:hanging="203"/>
              <w:jc w:val="right"/>
              <w:rPr>
                <w:rFonts w:cs="Arial"/>
                <w:b/>
                <w:spacing w:val="-2"/>
              </w:rPr>
            </w:pPr>
            <w:r>
              <w:rPr>
                <w:rFonts w:cs="Arial"/>
                <w:b/>
                <w:spacing w:val="-2"/>
              </w:rPr>
              <w:t>28/12/</w:t>
            </w:r>
            <w:r w:rsidR="005461CD" w:rsidRPr="003114B6">
              <w:rPr>
                <w:rFonts w:cs="Arial"/>
                <w:b/>
                <w:spacing w:val="-2"/>
              </w:rPr>
              <w:t>2024</w:t>
            </w:r>
          </w:p>
        </w:tc>
        <w:tc>
          <w:tcPr>
            <w:tcW w:w="1417" w:type="dxa"/>
          </w:tcPr>
          <w:p w14:paraId="0A127C2C" w14:textId="77777777" w:rsidR="005461CD" w:rsidRPr="003114B6" w:rsidRDefault="000A5878" w:rsidP="00872B96">
            <w:pPr>
              <w:suppressAutoHyphens/>
              <w:ind w:right="138"/>
              <w:jc w:val="right"/>
              <w:rPr>
                <w:rFonts w:cs="Arial"/>
                <w:b/>
                <w:spacing w:val="-2"/>
              </w:rPr>
            </w:pPr>
            <w:r>
              <w:rPr>
                <w:rFonts w:cs="Arial"/>
                <w:b/>
                <w:spacing w:val="-2"/>
              </w:rPr>
              <w:t>30/12/</w:t>
            </w:r>
            <w:r w:rsidR="005461CD" w:rsidRPr="003114B6">
              <w:rPr>
                <w:rFonts w:cs="Arial"/>
                <w:b/>
                <w:spacing w:val="-2"/>
              </w:rPr>
              <w:t>2023</w:t>
            </w:r>
          </w:p>
        </w:tc>
        <w:tc>
          <w:tcPr>
            <w:tcW w:w="1418" w:type="dxa"/>
          </w:tcPr>
          <w:p w14:paraId="023265B3" w14:textId="77777777" w:rsidR="005461CD" w:rsidRPr="003114B6" w:rsidRDefault="000A5878" w:rsidP="00872B96">
            <w:pPr>
              <w:suppressAutoHyphens/>
              <w:ind w:right="138"/>
              <w:jc w:val="right"/>
              <w:rPr>
                <w:rFonts w:cs="Arial"/>
                <w:b/>
                <w:spacing w:val="-2"/>
              </w:rPr>
            </w:pPr>
            <w:r>
              <w:rPr>
                <w:rFonts w:cs="Arial"/>
                <w:b/>
                <w:spacing w:val="-2"/>
              </w:rPr>
              <w:t>28/12/</w:t>
            </w:r>
            <w:r w:rsidR="005461CD" w:rsidRPr="003114B6">
              <w:rPr>
                <w:rFonts w:cs="Arial"/>
                <w:b/>
                <w:spacing w:val="-2"/>
              </w:rPr>
              <w:t>2024</w:t>
            </w:r>
          </w:p>
        </w:tc>
        <w:tc>
          <w:tcPr>
            <w:tcW w:w="1417" w:type="dxa"/>
          </w:tcPr>
          <w:p w14:paraId="627442F7" w14:textId="77777777" w:rsidR="005461CD" w:rsidRPr="003114B6" w:rsidRDefault="000A5878" w:rsidP="00872B96">
            <w:pPr>
              <w:suppressAutoHyphens/>
              <w:ind w:right="138"/>
              <w:jc w:val="right"/>
              <w:rPr>
                <w:rFonts w:cs="Arial"/>
                <w:b/>
                <w:spacing w:val="-2"/>
              </w:rPr>
            </w:pPr>
            <w:r>
              <w:rPr>
                <w:rFonts w:cs="Arial"/>
                <w:b/>
                <w:spacing w:val="-2"/>
              </w:rPr>
              <w:t>30/12/</w:t>
            </w:r>
            <w:r w:rsidR="005461CD" w:rsidRPr="003114B6">
              <w:rPr>
                <w:rFonts w:cs="Arial"/>
                <w:b/>
                <w:spacing w:val="-2"/>
              </w:rPr>
              <w:t>2023</w:t>
            </w:r>
          </w:p>
        </w:tc>
      </w:tr>
      <w:tr w:rsidR="005461CD" w:rsidRPr="00C328EF" w14:paraId="631A1F80" w14:textId="77777777" w:rsidTr="00625C11">
        <w:tc>
          <w:tcPr>
            <w:tcW w:w="4536" w:type="dxa"/>
          </w:tcPr>
          <w:p w14:paraId="4662BE6F" w14:textId="77777777" w:rsidR="005461CD" w:rsidRPr="00C328EF" w:rsidRDefault="005461CD" w:rsidP="00872B96">
            <w:pPr>
              <w:suppressAutoHyphens/>
              <w:rPr>
                <w:rFonts w:cs="Arial"/>
                <w:spacing w:val="-2"/>
                <w:highlight w:val="yellow"/>
              </w:rPr>
            </w:pPr>
          </w:p>
        </w:tc>
        <w:tc>
          <w:tcPr>
            <w:tcW w:w="1418" w:type="dxa"/>
          </w:tcPr>
          <w:p w14:paraId="55308070" w14:textId="77777777" w:rsidR="005461CD" w:rsidRPr="003114B6" w:rsidRDefault="005461CD" w:rsidP="00872B96">
            <w:pPr>
              <w:suppressAutoHyphens/>
              <w:ind w:right="138"/>
              <w:jc w:val="right"/>
              <w:rPr>
                <w:rFonts w:cs="Arial"/>
                <w:b/>
                <w:spacing w:val="-2"/>
              </w:rPr>
            </w:pPr>
            <w:r w:rsidRPr="003114B6">
              <w:rPr>
                <w:rFonts w:cs="Arial"/>
                <w:b/>
                <w:spacing w:val="-2"/>
              </w:rPr>
              <w:t>£’000</w:t>
            </w:r>
          </w:p>
        </w:tc>
        <w:tc>
          <w:tcPr>
            <w:tcW w:w="1417" w:type="dxa"/>
          </w:tcPr>
          <w:p w14:paraId="40BC39E8" w14:textId="77777777" w:rsidR="005461CD" w:rsidRPr="003114B6" w:rsidRDefault="005461CD" w:rsidP="00872B96">
            <w:pPr>
              <w:suppressAutoHyphens/>
              <w:ind w:right="138"/>
              <w:jc w:val="right"/>
              <w:rPr>
                <w:rFonts w:cs="Arial"/>
                <w:b/>
                <w:spacing w:val="-2"/>
              </w:rPr>
            </w:pPr>
            <w:r w:rsidRPr="003114B6">
              <w:rPr>
                <w:rFonts w:cs="Arial"/>
                <w:b/>
                <w:spacing w:val="-2"/>
              </w:rPr>
              <w:t>£’000</w:t>
            </w:r>
          </w:p>
        </w:tc>
        <w:tc>
          <w:tcPr>
            <w:tcW w:w="1418" w:type="dxa"/>
          </w:tcPr>
          <w:p w14:paraId="10063E5E" w14:textId="77777777" w:rsidR="005461CD" w:rsidRPr="003114B6" w:rsidRDefault="005461CD" w:rsidP="00872B96">
            <w:pPr>
              <w:suppressAutoHyphens/>
              <w:ind w:right="138"/>
              <w:jc w:val="right"/>
              <w:rPr>
                <w:rFonts w:cs="Arial"/>
                <w:b/>
                <w:spacing w:val="-2"/>
              </w:rPr>
            </w:pPr>
            <w:r w:rsidRPr="003114B6">
              <w:rPr>
                <w:rFonts w:cs="Arial"/>
                <w:b/>
                <w:spacing w:val="-2"/>
              </w:rPr>
              <w:t>£’000</w:t>
            </w:r>
          </w:p>
        </w:tc>
        <w:tc>
          <w:tcPr>
            <w:tcW w:w="1417" w:type="dxa"/>
          </w:tcPr>
          <w:p w14:paraId="5A9361C1" w14:textId="77777777" w:rsidR="005461CD" w:rsidRPr="003114B6" w:rsidRDefault="005461CD" w:rsidP="00872B96">
            <w:pPr>
              <w:suppressAutoHyphens/>
              <w:ind w:right="138"/>
              <w:jc w:val="right"/>
              <w:rPr>
                <w:rFonts w:cs="Arial"/>
                <w:b/>
                <w:spacing w:val="-2"/>
              </w:rPr>
            </w:pPr>
            <w:r w:rsidRPr="003114B6">
              <w:rPr>
                <w:rFonts w:cs="Arial"/>
                <w:b/>
                <w:spacing w:val="-2"/>
              </w:rPr>
              <w:t>£’000</w:t>
            </w:r>
          </w:p>
        </w:tc>
      </w:tr>
      <w:tr w:rsidR="005461CD" w:rsidRPr="00C328EF" w14:paraId="17489739" w14:textId="77777777" w:rsidTr="00625C11">
        <w:tc>
          <w:tcPr>
            <w:tcW w:w="4536" w:type="dxa"/>
          </w:tcPr>
          <w:p w14:paraId="7C374B09" w14:textId="77777777" w:rsidR="005461CD" w:rsidRPr="00977682" w:rsidRDefault="005461CD" w:rsidP="00872B96">
            <w:pPr>
              <w:rPr>
                <w:b/>
                <w:bCs/>
                <w:iCs/>
                <w:u w:val="single"/>
              </w:rPr>
            </w:pPr>
            <w:r w:rsidRPr="00977682">
              <w:rPr>
                <w:b/>
                <w:bCs/>
                <w:iCs/>
                <w:u w:val="single"/>
              </w:rPr>
              <w:t>Deferred tax liabilities</w:t>
            </w:r>
          </w:p>
        </w:tc>
        <w:tc>
          <w:tcPr>
            <w:tcW w:w="1418" w:type="dxa"/>
          </w:tcPr>
          <w:p w14:paraId="70469ACB" w14:textId="77777777" w:rsidR="005461CD" w:rsidRPr="00C328EF" w:rsidRDefault="005461CD" w:rsidP="00872B96">
            <w:pPr>
              <w:suppressAutoHyphens/>
              <w:jc w:val="center"/>
              <w:rPr>
                <w:rFonts w:cs="Arial"/>
                <w:b/>
                <w:spacing w:val="-2"/>
                <w:highlight w:val="yellow"/>
              </w:rPr>
            </w:pPr>
          </w:p>
        </w:tc>
        <w:tc>
          <w:tcPr>
            <w:tcW w:w="1417" w:type="dxa"/>
          </w:tcPr>
          <w:p w14:paraId="5FAD47C5" w14:textId="77777777" w:rsidR="005461CD" w:rsidRPr="00C328EF" w:rsidRDefault="005461CD" w:rsidP="00872B96">
            <w:pPr>
              <w:suppressAutoHyphens/>
              <w:jc w:val="center"/>
              <w:rPr>
                <w:rFonts w:cs="Arial"/>
                <w:b/>
                <w:spacing w:val="-2"/>
                <w:highlight w:val="yellow"/>
              </w:rPr>
            </w:pPr>
          </w:p>
        </w:tc>
        <w:tc>
          <w:tcPr>
            <w:tcW w:w="1418" w:type="dxa"/>
          </w:tcPr>
          <w:p w14:paraId="15A72B4F" w14:textId="77777777" w:rsidR="005461CD" w:rsidRPr="003114B6" w:rsidRDefault="005461CD" w:rsidP="00872B96">
            <w:pPr>
              <w:suppressAutoHyphens/>
              <w:ind w:right="108"/>
              <w:jc w:val="right"/>
              <w:rPr>
                <w:rFonts w:cs="Arial"/>
                <w:b/>
                <w:spacing w:val="-2"/>
              </w:rPr>
            </w:pPr>
          </w:p>
        </w:tc>
        <w:tc>
          <w:tcPr>
            <w:tcW w:w="1417" w:type="dxa"/>
          </w:tcPr>
          <w:p w14:paraId="493527E7" w14:textId="77777777" w:rsidR="005461CD" w:rsidRPr="003114B6" w:rsidRDefault="005461CD" w:rsidP="00872B96">
            <w:pPr>
              <w:suppressAutoHyphens/>
              <w:ind w:right="108"/>
              <w:jc w:val="right"/>
              <w:rPr>
                <w:rFonts w:cs="Arial"/>
                <w:b/>
                <w:spacing w:val="-2"/>
              </w:rPr>
            </w:pPr>
          </w:p>
        </w:tc>
      </w:tr>
      <w:tr w:rsidR="005461CD" w:rsidRPr="00C328EF" w14:paraId="1276F568" w14:textId="77777777" w:rsidTr="00625C11">
        <w:tc>
          <w:tcPr>
            <w:tcW w:w="4536" w:type="dxa"/>
          </w:tcPr>
          <w:p w14:paraId="56DE1210" w14:textId="77777777" w:rsidR="005461CD" w:rsidRPr="003114B6" w:rsidRDefault="005461CD" w:rsidP="00872B96">
            <w:r w:rsidRPr="003114B6">
              <w:t xml:space="preserve">At beginning of the </w:t>
            </w:r>
            <w:r>
              <w:t>period</w:t>
            </w:r>
          </w:p>
        </w:tc>
        <w:tc>
          <w:tcPr>
            <w:tcW w:w="1418" w:type="dxa"/>
          </w:tcPr>
          <w:p w14:paraId="2067DE09" w14:textId="77777777" w:rsidR="005461CD" w:rsidRPr="00C328EF" w:rsidRDefault="005461CD" w:rsidP="00872B96">
            <w:pPr>
              <w:suppressAutoHyphens/>
              <w:ind w:right="138"/>
              <w:jc w:val="right"/>
              <w:rPr>
                <w:rFonts w:cs="Arial"/>
                <w:spacing w:val="-2"/>
                <w:highlight w:val="yellow"/>
              </w:rPr>
            </w:pPr>
            <w:r w:rsidRPr="003114B6">
              <w:rPr>
                <w:rFonts w:cs="Arial"/>
                <w:spacing w:val="-2"/>
              </w:rPr>
              <w:t>22,159</w:t>
            </w:r>
          </w:p>
        </w:tc>
        <w:tc>
          <w:tcPr>
            <w:tcW w:w="1417" w:type="dxa"/>
          </w:tcPr>
          <w:p w14:paraId="4BBDBA2A" w14:textId="77777777" w:rsidR="005461CD" w:rsidRPr="003114B6" w:rsidRDefault="005461CD" w:rsidP="00872B96">
            <w:pPr>
              <w:suppressAutoHyphens/>
              <w:ind w:right="138"/>
              <w:jc w:val="right"/>
              <w:rPr>
                <w:rFonts w:cs="Arial"/>
                <w:spacing w:val="-2"/>
              </w:rPr>
            </w:pPr>
            <w:r w:rsidRPr="003114B6">
              <w:rPr>
                <w:rFonts w:cs="Arial"/>
                <w:spacing w:val="-2"/>
              </w:rPr>
              <w:t>16,034</w:t>
            </w:r>
          </w:p>
        </w:tc>
        <w:tc>
          <w:tcPr>
            <w:tcW w:w="1418" w:type="dxa"/>
          </w:tcPr>
          <w:p w14:paraId="489BAE41" w14:textId="77777777" w:rsidR="005461CD" w:rsidRPr="003114B6" w:rsidRDefault="005461CD" w:rsidP="00872B96">
            <w:pPr>
              <w:suppressAutoHyphens/>
              <w:ind w:right="108"/>
              <w:jc w:val="right"/>
              <w:rPr>
                <w:rFonts w:cs="Arial"/>
                <w:spacing w:val="-2"/>
              </w:rPr>
            </w:pPr>
            <w:r w:rsidRPr="003114B6">
              <w:rPr>
                <w:rFonts w:cs="Arial"/>
                <w:spacing w:val="-2"/>
              </w:rPr>
              <w:t>-</w:t>
            </w:r>
          </w:p>
        </w:tc>
        <w:tc>
          <w:tcPr>
            <w:tcW w:w="1417" w:type="dxa"/>
          </w:tcPr>
          <w:p w14:paraId="1778DB04" w14:textId="77777777" w:rsidR="005461CD" w:rsidRPr="003114B6" w:rsidRDefault="005461CD" w:rsidP="00872B96">
            <w:pPr>
              <w:suppressAutoHyphens/>
              <w:ind w:right="108"/>
              <w:jc w:val="right"/>
              <w:rPr>
                <w:rFonts w:cs="Arial"/>
                <w:spacing w:val="-2"/>
              </w:rPr>
            </w:pPr>
            <w:r w:rsidRPr="003114B6">
              <w:rPr>
                <w:rFonts w:cs="Arial"/>
                <w:spacing w:val="-2"/>
              </w:rPr>
              <w:t>-</w:t>
            </w:r>
          </w:p>
        </w:tc>
      </w:tr>
      <w:tr w:rsidR="005461CD" w:rsidRPr="00C328EF" w14:paraId="71A16734" w14:textId="77777777" w:rsidTr="00625C11">
        <w:tc>
          <w:tcPr>
            <w:tcW w:w="4536" w:type="dxa"/>
          </w:tcPr>
          <w:p w14:paraId="78B15F29" w14:textId="77777777" w:rsidR="005461CD" w:rsidRPr="00020170" w:rsidRDefault="005461CD" w:rsidP="00872B96">
            <w:r w:rsidRPr="00020170">
              <w:t>On acquisition of subsidiary</w:t>
            </w:r>
          </w:p>
        </w:tc>
        <w:tc>
          <w:tcPr>
            <w:tcW w:w="1418" w:type="dxa"/>
          </w:tcPr>
          <w:p w14:paraId="479C9391" w14:textId="77777777" w:rsidR="005461CD" w:rsidRPr="00020170" w:rsidRDefault="005461CD" w:rsidP="00872B96">
            <w:pPr>
              <w:ind w:right="138"/>
              <w:jc w:val="right"/>
              <w:rPr>
                <w:rFonts w:cs="Arial"/>
                <w:spacing w:val="-2"/>
              </w:rPr>
            </w:pPr>
            <w:r w:rsidRPr="00020170">
              <w:rPr>
                <w:rFonts w:cs="Arial"/>
                <w:spacing w:val="-2"/>
              </w:rPr>
              <w:t>365</w:t>
            </w:r>
          </w:p>
        </w:tc>
        <w:tc>
          <w:tcPr>
            <w:tcW w:w="1417" w:type="dxa"/>
          </w:tcPr>
          <w:p w14:paraId="5CD5FC43" w14:textId="77777777" w:rsidR="005461CD" w:rsidRPr="003114B6" w:rsidRDefault="00557329" w:rsidP="00872B96">
            <w:pPr>
              <w:ind w:right="138"/>
              <w:jc w:val="right"/>
              <w:rPr>
                <w:rFonts w:cs="Arial"/>
                <w:spacing w:val="-2"/>
              </w:rPr>
            </w:pPr>
            <w:r>
              <w:rPr>
                <w:rFonts w:cs="Arial"/>
                <w:spacing w:val="-2"/>
              </w:rPr>
              <w:t>-</w:t>
            </w:r>
          </w:p>
        </w:tc>
        <w:tc>
          <w:tcPr>
            <w:tcW w:w="1418" w:type="dxa"/>
          </w:tcPr>
          <w:p w14:paraId="183B8756" w14:textId="77777777" w:rsidR="005461CD" w:rsidRPr="003114B6" w:rsidRDefault="005461CD" w:rsidP="00872B96">
            <w:pPr>
              <w:ind w:right="108"/>
              <w:jc w:val="right"/>
              <w:rPr>
                <w:rFonts w:cs="Arial"/>
                <w:spacing w:val="-2"/>
              </w:rPr>
            </w:pPr>
            <w:r w:rsidRPr="003114B6">
              <w:rPr>
                <w:rFonts w:cs="Arial"/>
                <w:spacing w:val="-2"/>
              </w:rPr>
              <w:t>-</w:t>
            </w:r>
          </w:p>
        </w:tc>
        <w:tc>
          <w:tcPr>
            <w:tcW w:w="1417" w:type="dxa"/>
          </w:tcPr>
          <w:p w14:paraId="3EC39E6C" w14:textId="77777777" w:rsidR="005461CD" w:rsidRPr="003114B6" w:rsidRDefault="005461CD" w:rsidP="00872B96">
            <w:pPr>
              <w:ind w:right="108"/>
              <w:jc w:val="right"/>
              <w:rPr>
                <w:rFonts w:cs="Arial"/>
                <w:spacing w:val="-2"/>
              </w:rPr>
            </w:pPr>
            <w:r w:rsidRPr="003114B6">
              <w:rPr>
                <w:rFonts w:cs="Arial"/>
                <w:spacing w:val="-2"/>
              </w:rPr>
              <w:t>-</w:t>
            </w:r>
          </w:p>
        </w:tc>
      </w:tr>
      <w:tr w:rsidR="005461CD" w:rsidRPr="00C328EF" w14:paraId="52D35840" w14:textId="77777777" w:rsidTr="00625C11">
        <w:tc>
          <w:tcPr>
            <w:tcW w:w="4536" w:type="dxa"/>
          </w:tcPr>
          <w:p w14:paraId="58012B27" w14:textId="77777777" w:rsidR="005461CD" w:rsidRPr="00020170" w:rsidRDefault="005461CD" w:rsidP="00872B96">
            <w:r w:rsidRPr="00020170">
              <w:t>Charge for the period to profit or loss</w:t>
            </w:r>
          </w:p>
        </w:tc>
        <w:tc>
          <w:tcPr>
            <w:tcW w:w="1418" w:type="dxa"/>
          </w:tcPr>
          <w:p w14:paraId="3FE15B59" w14:textId="77777777" w:rsidR="005461CD" w:rsidRPr="00020170" w:rsidRDefault="005461CD" w:rsidP="00872B96">
            <w:pPr>
              <w:ind w:right="138"/>
              <w:jc w:val="right"/>
              <w:rPr>
                <w:rFonts w:cs="Arial"/>
                <w:spacing w:val="-2"/>
              </w:rPr>
            </w:pPr>
            <w:r w:rsidRPr="00020170">
              <w:rPr>
                <w:rFonts w:cs="Arial"/>
                <w:spacing w:val="-2"/>
              </w:rPr>
              <w:t>2,709</w:t>
            </w:r>
          </w:p>
        </w:tc>
        <w:tc>
          <w:tcPr>
            <w:tcW w:w="1417" w:type="dxa"/>
          </w:tcPr>
          <w:p w14:paraId="437A398D" w14:textId="77777777" w:rsidR="005461CD" w:rsidRPr="003114B6" w:rsidRDefault="005461CD" w:rsidP="00872B96">
            <w:pPr>
              <w:ind w:right="138"/>
              <w:jc w:val="right"/>
              <w:rPr>
                <w:rFonts w:cs="Arial"/>
                <w:spacing w:val="-2"/>
              </w:rPr>
            </w:pPr>
            <w:r w:rsidRPr="003114B6">
              <w:rPr>
                <w:rFonts w:cs="Arial"/>
                <w:spacing w:val="-2"/>
              </w:rPr>
              <w:t>722</w:t>
            </w:r>
          </w:p>
        </w:tc>
        <w:tc>
          <w:tcPr>
            <w:tcW w:w="1418" w:type="dxa"/>
          </w:tcPr>
          <w:p w14:paraId="42FEB65B" w14:textId="77777777" w:rsidR="005461CD" w:rsidRPr="003114B6" w:rsidRDefault="005461CD" w:rsidP="00872B96">
            <w:pPr>
              <w:ind w:right="108"/>
              <w:jc w:val="right"/>
              <w:rPr>
                <w:rFonts w:cs="Arial"/>
                <w:spacing w:val="-2"/>
              </w:rPr>
            </w:pPr>
            <w:r w:rsidRPr="003114B6">
              <w:rPr>
                <w:rFonts w:cs="Arial"/>
                <w:spacing w:val="-2"/>
              </w:rPr>
              <w:t>-</w:t>
            </w:r>
          </w:p>
        </w:tc>
        <w:tc>
          <w:tcPr>
            <w:tcW w:w="1417" w:type="dxa"/>
          </w:tcPr>
          <w:p w14:paraId="40A69C9F" w14:textId="77777777" w:rsidR="005461CD" w:rsidRPr="003114B6" w:rsidRDefault="005461CD" w:rsidP="00872B96">
            <w:pPr>
              <w:ind w:right="108"/>
              <w:jc w:val="right"/>
              <w:rPr>
                <w:rFonts w:cs="Arial"/>
                <w:spacing w:val="-2"/>
              </w:rPr>
            </w:pPr>
            <w:r w:rsidRPr="003114B6">
              <w:rPr>
                <w:rFonts w:cs="Arial"/>
                <w:spacing w:val="-2"/>
              </w:rPr>
              <w:t>-</w:t>
            </w:r>
          </w:p>
        </w:tc>
      </w:tr>
      <w:tr w:rsidR="005461CD" w:rsidRPr="00C328EF" w14:paraId="1C42DDCE" w14:textId="77777777" w:rsidTr="00625C11">
        <w:tc>
          <w:tcPr>
            <w:tcW w:w="4536" w:type="dxa"/>
          </w:tcPr>
          <w:p w14:paraId="10ED7CF3" w14:textId="77777777" w:rsidR="005461CD" w:rsidRPr="00020170" w:rsidRDefault="005461CD" w:rsidP="00872B96">
            <w:r w:rsidRPr="00020170">
              <w:t>(Credit)/charge to other comprehensive income</w:t>
            </w:r>
          </w:p>
        </w:tc>
        <w:tc>
          <w:tcPr>
            <w:tcW w:w="1418" w:type="dxa"/>
          </w:tcPr>
          <w:p w14:paraId="01DF26C3" w14:textId="77777777" w:rsidR="005461CD" w:rsidRPr="00020170" w:rsidRDefault="005461CD" w:rsidP="00872B96">
            <w:pPr>
              <w:ind w:right="138"/>
              <w:jc w:val="right"/>
              <w:rPr>
                <w:rFonts w:cs="Arial"/>
                <w:spacing w:val="-2"/>
              </w:rPr>
            </w:pPr>
            <w:r w:rsidRPr="00020170">
              <w:rPr>
                <w:rFonts w:cs="Arial"/>
                <w:spacing w:val="-2"/>
              </w:rPr>
              <w:t>(4,387)</w:t>
            </w:r>
          </w:p>
        </w:tc>
        <w:tc>
          <w:tcPr>
            <w:tcW w:w="1417" w:type="dxa"/>
          </w:tcPr>
          <w:p w14:paraId="68DEA7F5" w14:textId="77777777" w:rsidR="005461CD" w:rsidRPr="003114B6" w:rsidRDefault="005461CD" w:rsidP="00872B96">
            <w:pPr>
              <w:ind w:right="138"/>
              <w:jc w:val="right"/>
              <w:rPr>
                <w:rFonts w:cs="Arial"/>
                <w:spacing w:val="-2"/>
              </w:rPr>
            </w:pPr>
            <w:r w:rsidRPr="003114B6">
              <w:rPr>
                <w:rFonts w:cs="Arial"/>
                <w:spacing w:val="-2"/>
              </w:rPr>
              <w:t>5,403</w:t>
            </w:r>
          </w:p>
        </w:tc>
        <w:tc>
          <w:tcPr>
            <w:tcW w:w="1418" w:type="dxa"/>
          </w:tcPr>
          <w:p w14:paraId="40DE46C9" w14:textId="77777777" w:rsidR="005461CD" w:rsidRPr="003114B6" w:rsidRDefault="005461CD" w:rsidP="00872B96">
            <w:pPr>
              <w:ind w:right="108"/>
              <w:jc w:val="right"/>
              <w:rPr>
                <w:rFonts w:cs="Arial"/>
                <w:spacing w:val="-2"/>
              </w:rPr>
            </w:pPr>
            <w:r w:rsidRPr="003114B6">
              <w:rPr>
                <w:rFonts w:cs="Arial"/>
                <w:spacing w:val="-2"/>
              </w:rPr>
              <w:t>-</w:t>
            </w:r>
          </w:p>
        </w:tc>
        <w:tc>
          <w:tcPr>
            <w:tcW w:w="1417" w:type="dxa"/>
          </w:tcPr>
          <w:p w14:paraId="2A4E6343" w14:textId="77777777" w:rsidR="005461CD" w:rsidRPr="003114B6" w:rsidRDefault="005461CD" w:rsidP="00872B96">
            <w:pPr>
              <w:ind w:right="108"/>
              <w:jc w:val="right"/>
              <w:rPr>
                <w:rFonts w:cs="Arial"/>
                <w:spacing w:val="-2"/>
              </w:rPr>
            </w:pPr>
            <w:r w:rsidRPr="003114B6">
              <w:rPr>
                <w:rFonts w:cs="Arial"/>
                <w:spacing w:val="-2"/>
              </w:rPr>
              <w:t>-</w:t>
            </w:r>
          </w:p>
        </w:tc>
      </w:tr>
      <w:tr w:rsidR="005461CD" w:rsidRPr="00C328EF" w14:paraId="1B2C1525" w14:textId="77777777" w:rsidTr="00625C11">
        <w:tc>
          <w:tcPr>
            <w:tcW w:w="4536" w:type="dxa"/>
          </w:tcPr>
          <w:p w14:paraId="4C43E0DB" w14:textId="77777777" w:rsidR="005461CD" w:rsidRPr="00020170" w:rsidRDefault="005461CD" w:rsidP="00872B96">
            <w:pPr>
              <w:ind w:left="574"/>
            </w:pPr>
          </w:p>
        </w:tc>
        <w:tc>
          <w:tcPr>
            <w:tcW w:w="1418" w:type="dxa"/>
          </w:tcPr>
          <w:p w14:paraId="6316142A" w14:textId="77777777" w:rsidR="005461CD" w:rsidRPr="00020170" w:rsidRDefault="005461CD" w:rsidP="00872B96">
            <w:pPr>
              <w:ind w:right="138"/>
              <w:jc w:val="right"/>
            </w:pPr>
            <w:r w:rsidRPr="00020170">
              <w:rPr>
                <w:rFonts w:cs="Arial"/>
                <w:spacing w:val="-2"/>
              </w:rPr>
              <w:t>──────</w:t>
            </w:r>
          </w:p>
        </w:tc>
        <w:tc>
          <w:tcPr>
            <w:tcW w:w="1417" w:type="dxa"/>
          </w:tcPr>
          <w:p w14:paraId="61106A98" w14:textId="77777777" w:rsidR="005461CD" w:rsidRPr="003114B6" w:rsidRDefault="005461CD" w:rsidP="00872B96">
            <w:pPr>
              <w:ind w:right="138"/>
              <w:jc w:val="right"/>
            </w:pPr>
            <w:r w:rsidRPr="003114B6">
              <w:rPr>
                <w:rFonts w:cs="Arial"/>
                <w:spacing w:val="-2"/>
              </w:rPr>
              <w:t>──────</w:t>
            </w:r>
          </w:p>
        </w:tc>
        <w:tc>
          <w:tcPr>
            <w:tcW w:w="1418" w:type="dxa"/>
          </w:tcPr>
          <w:p w14:paraId="4DD6332B" w14:textId="77777777" w:rsidR="005461CD" w:rsidRPr="003114B6" w:rsidRDefault="005461CD" w:rsidP="00872B96">
            <w:pPr>
              <w:ind w:right="108"/>
              <w:jc w:val="right"/>
            </w:pPr>
            <w:r w:rsidRPr="003114B6">
              <w:rPr>
                <w:rFonts w:cs="Arial"/>
                <w:spacing w:val="-2"/>
              </w:rPr>
              <w:t>──────</w:t>
            </w:r>
          </w:p>
        </w:tc>
        <w:tc>
          <w:tcPr>
            <w:tcW w:w="1417" w:type="dxa"/>
          </w:tcPr>
          <w:p w14:paraId="2D75CC51" w14:textId="77777777" w:rsidR="005461CD" w:rsidRPr="003114B6" w:rsidRDefault="005461CD" w:rsidP="00872B96">
            <w:pPr>
              <w:ind w:right="108"/>
              <w:jc w:val="right"/>
            </w:pPr>
            <w:r w:rsidRPr="003114B6">
              <w:rPr>
                <w:rFonts w:cs="Arial"/>
                <w:spacing w:val="-2"/>
              </w:rPr>
              <w:t>──────</w:t>
            </w:r>
          </w:p>
        </w:tc>
      </w:tr>
      <w:tr w:rsidR="005461CD" w:rsidRPr="00C328EF" w14:paraId="06877765" w14:textId="77777777" w:rsidTr="00625C11">
        <w:tc>
          <w:tcPr>
            <w:tcW w:w="4536" w:type="dxa"/>
          </w:tcPr>
          <w:p w14:paraId="0533FE7E" w14:textId="77777777" w:rsidR="005461CD" w:rsidRPr="00020170" w:rsidRDefault="005461CD" w:rsidP="00872B96">
            <w:r w:rsidRPr="00020170">
              <w:t>At end of the period</w:t>
            </w:r>
          </w:p>
        </w:tc>
        <w:tc>
          <w:tcPr>
            <w:tcW w:w="1418" w:type="dxa"/>
          </w:tcPr>
          <w:p w14:paraId="36B6D747" w14:textId="77777777" w:rsidR="005461CD" w:rsidRPr="00020170" w:rsidRDefault="005461CD" w:rsidP="00872B96">
            <w:pPr>
              <w:suppressAutoHyphens/>
              <w:ind w:right="138"/>
              <w:jc w:val="right"/>
              <w:rPr>
                <w:rFonts w:cs="Arial"/>
                <w:spacing w:val="-2"/>
              </w:rPr>
            </w:pPr>
            <w:r w:rsidRPr="00020170">
              <w:rPr>
                <w:rFonts w:cs="Arial"/>
                <w:spacing w:val="-2"/>
              </w:rPr>
              <w:t>20,846</w:t>
            </w:r>
          </w:p>
        </w:tc>
        <w:tc>
          <w:tcPr>
            <w:tcW w:w="1417" w:type="dxa"/>
          </w:tcPr>
          <w:p w14:paraId="1F6D9EC7" w14:textId="77777777" w:rsidR="005461CD" w:rsidRPr="003114B6" w:rsidRDefault="005461CD" w:rsidP="00872B96">
            <w:pPr>
              <w:suppressAutoHyphens/>
              <w:ind w:right="138"/>
              <w:jc w:val="right"/>
              <w:rPr>
                <w:rFonts w:cs="Arial"/>
                <w:spacing w:val="-2"/>
              </w:rPr>
            </w:pPr>
            <w:r w:rsidRPr="003114B6">
              <w:rPr>
                <w:rFonts w:cs="Arial"/>
                <w:spacing w:val="-2"/>
              </w:rPr>
              <w:t>22,159</w:t>
            </w:r>
          </w:p>
        </w:tc>
        <w:tc>
          <w:tcPr>
            <w:tcW w:w="1418" w:type="dxa"/>
          </w:tcPr>
          <w:p w14:paraId="4B7105EB" w14:textId="77777777" w:rsidR="005461CD" w:rsidRPr="003114B6" w:rsidRDefault="005461CD" w:rsidP="00872B96">
            <w:pPr>
              <w:suppressAutoHyphens/>
              <w:ind w:right="108"/>
              <w:jc w:val="right"/>
              <w:rPr>
                <w:rFonts w:cs="Arial"/>
                <w:spacing w:val="-2"/>
              </w:rPr>
            </w:pPr>
            <w:r w:rsidRPr="003114B6">
              <w:rPr>
                <w:rFonts w:cs="Arial"/>
                <w:spacing w:val="-2"/>
              </w:rPr>
              <w:t>-</w:t>
            </w:r>
          </w:p>
        </w:tc>
        <w:tc>
          <w:tcPr>
            <w:tcW w:w="1417" w:type="dxa"/>
          </w:tcPr>
          <w:p w14:paraId="49FCE91A" w14:textId="77777777" w:rsidR="005461CD" w:rsidRPr="003114B6" w:rsidRDefault="005461CD" w:rsidP="00872B96">
            <w:pPr>
              <w:suppressAutoHyphens/>
              <w:ind w:right="108"/>
              <w:jc w:val="right"/>
              <w:rPr>
                <w:rFonts w:cs="Arial"/>
                <w:spacing w:val="-2"/>
              </w:rPr>
            </w:pPr>
            <w:r w:rsidRPr="003114B6">
              <w:rPr>
                <w:rFonts w:cs="Arial"/>
                <w:spacing w:val="-2"/>
              </w:rPr>
              <w:t>-</w:t>
            </w:r>
          </w:p>
        </w:tc>
      </w:tr>
      <w:tr w:rsidR="005461CD" w:rsidRPr="00C328EF" w14:paraId="3392030F" w14:textId="77777777" w:rsidTr="00625C11">
        <w:trPr>
          <w:trHeight w:val="87"/>
        </w:trPr>
        <w:tc>
          <w:tcPr>
            <w:tcW w:w="4536" w:type="dxa"/>
          </w:tcPr>
          <w:p w14:paraId="15FC1537" w14:textId="77777777" w:rsidR="005461CD" w:rsidRPr="00020170" w:rsidRDefault="005461CD" w:rsidP="00872B96"/>
        </w:tc>
        <w:tc>
          <w:tcPr>
            <w:tcW w:w="1418" w:type="dxa"/>
          </w:tcPr>
          <w:p w14:paraId="02C6A950" w14:textId="77777777" w:rsidR="005461CD" w:rsidRPr="00020170" w:rsidRDefault="005461CD" w:rsidP="00872B96">
            <w:pPr>
              <w:ind w:right="138"/>
              <w:jc w:val="right"/>
            </w:pPr>
            <w:r w:rsidRPr="00020170">
              <w:rPr>
                <w:rFonts w:cs="Arial"/>
                <w:spacing w:val="-2"/>
              </w:rPr>
              <w:t>══════</w:t>
            </w:r>
          </w:p>
        </w:tc>
        <w:tc>
          <w:tcPr>
            <w:tcW w:w="1417" w:type="dxa"/>
          </w:tcPr>
          <w:p w14:paraId="1A5A1CBC" w14:textId="77777777" w:rsidR="005461CD" w:rsidRPr="003114B6" w:rsidRDefault="005461CD" w:rsidP="00872B96">
            <w:pPr>
              <w:ind w:right="138"/>
              <w:jc w:val="right"/>
            </w:pPr>
            <w:r w:rsidRPr="003114B6">
              <w:rPr>
                <w:rFonts w:cs="Arial"/>
                <w:spacing w:val="-2"/>
              </w:rPr>
              <w:t>══════</w:t>
            </w:r>
          </w:p>
        </w:tc>
        <w:tc>
          <w:tcPr>
            <w:tcW w:w="1418" w:type="dxa"/>
          </w:tcPr>
          <w:p w14:paraId="0E0D1465" w14:textId="77777777" w:rsidR="005461CD" w:rsidRPr="003114B6" w:rsidRDefault="005461CD" w:rsidP="00872B96">
            <w:pPr>
              <w:ind w:right="108"/>
              <w:jc w:val="right"/>
            </w:pPr>
            <w:r w:rsidRPr="003114B6">
              <w:rPr>
                <w:rFonts w:cs="Arial"/>
                <w:spacing w:val="-2"/>
              </w:rPr>
              <w:t>══════</w:t>
            </w:r>
          </w:p>
        </w:tc>
        <w:tc>
          <w:tcPr>
            <w:tcW w:w="1417" w:type="dxa"/>
          </w:tcPr>
          <w:p w14:paraId="26D424BC" w14:textId="77777777" w:rsidR="005461CD" w:rsidRPr="003114B6" w:rsidRDefault="005461CD" w:rsidP="00872B96">
            <w:pPr>
              <w:ind w:right="108"/>
              <w:jc w:val="right"/>
            </w:pPr>
            <w:r w:rsidRPr="003114B6">
              <w:rPr>
                <w:rFonts w:cs="Arial"/>
                <w:spacing w:val="-2"/>
              </w:rPr>
              <w:t>══════</w:t>
            </w:r>
          </w:p>
        </w:tc>
      </w:tr>
      <w:tr w:rsidR="005461CD" w:rsidRPr="00C328EF" w14:paraId="4D8BD617" w14:textId="77777777" w:rsidTr="00625C11">
        <w:trPr>
          <w:trHeight w:val="87"/>
        </w:trPr>
        <w:tc>
          <w:tcPr>
            <w:tcW w:w="4536" w:type="dxa"/>
            <w:tcBorders>
              <w:top w:val="nil"/>
              <w:left w:val="nil"/>
              <w:bottom w:val="nil"/>
              <w:right w:val="nil"/>
            </w:tcBorders>
          </w:tcPr>
          <w:p w14:paraId="038C2A39" w14:textId="77777777" w:rsidR="005461CD" w:rsidRPr="00020170" w:rsidRDefault="005461CD" w:rsidP="00872B96">
            <w:pPr>
              <w:ind w:left="709"/>
              <w:rPr>
                <w:sz w:val="10"/>
                <w:szCs w:val="10"/>
              </w:rPr>
            </w:pPr>
            <w:r w:rsidRPr="00020170">
              <w:rPr>
                <w:sz w:val="10"/>
                <w:szCs w:val="10"/>
              </w:rPr>
              <w:br w:type="page"/>
            </w:r>
          </w:p>
        </w:tc>
        <w:tc>
          <w:tcPr>
            <w:tcW w:w="1418" w:type="dxa"/>
            <w:tcBorders>
              <w:top w:val="nil"/>
              <w:left w:val="nil"/>
              <w:bottom w:val="nil"/>
              <w:right w:val="nil"/>
            </w:tcBorders>
          </w:tcPr>
          <w:p w14:paraId="333C8308" w14:textId="77777777" w:rsidR="005461CD" w:rsidRPr="00020170" w:rsidRDefault="005461CD" w:rsidP="00872B96">
            <w:pPr>
              <w:ind w:left="282"/>
              <w:jc w:val="center"/>
              <w:rPr>
                <w:b/>
                <w:sz w:val="10"/>
                <w:szCs w:val="10"/>
              </w:rPr>
            </w:pPr>
          </w:p>
        </w:tc>
        <w:tc>
          <w:tcPr>
            <w:tcW w:w="1417" w:type="dxa"/>
            <w:tcBorders>
              <w:top w:val="nil"/>
              <w:left w:val="nil"/>
              <w:bottom w:val="nil"/>
              <w:right w:val="nil"/>
            </w:tcBorders>
          </w:tcPr>
          <w:p w14:paraId="337B97D5" w14:textId="77777777" w:rsidR="005461CD" w:rsidRPr="00020170" w:rsidRDefault="005461CD" w:rsidP="00872B96">
            <w:pPr>
              <w:ind w:left="282"/>
              <w:jc w:val="center"/>
              <w:rPr>
                <w:b/>
                <w:sz w:val="10"/>
                <w:szCs w:val="10"/>
                <w:highlight w:val="yellow"/>
              </w:rPr>
            </w:pPr>
          </w:p>
        </w:tc>
        <w:tc>
          <w:tcPr>
            <w:tcW w:w="1418" w:type="dxa"/>
          </w:tcPr>
          <w:p w14:paraId="277C9CA0" w14:textId="77777777" w:rsidR="005461CD" w:rsidRPr="00020170" w:rsidRDefault="005461CD" w:rsidP="00872B96">
            <w:pPr>
              <w:ind w:right="108"/>
              <w:jc w:val="right"/>
              <w:rPr>
                <w:rFonts w:cs="Arial"/>
                <w:spacing w:val="-2"/>
                <w:sz w:val="10"/>
                <w:szCs w:val="10"/>
              </w:rPr>
            </w:pPr>
          </w:p>
        </w:tc>
        <w:tc>
          <w:tcPr>
            <w:tcW w:w="1417" w:type="dxa"/>
          </w:tcPr>
          <w:p w14:paraId="72915C38" w14:textId="77777777" w:rsidR="005461CD" w:rsidRPr="00020170" w:rsidRDefault="005461CD" w:rsidP="00872B96">
            <w:pPr>
              <w:ind w:right="108"/>
              <w:jc w:val="right"/>
              <w:rPr>
                <w:rFonts w:cs="Arial"/>
                <w:spacing w:val="-2"/>
                <w:sz w:val="10"/>
                <w:szCs w:val="10"/>
              </w:rPr>
            </w:pPr>
          </w:p>
        </w:tc>
      </w:tr>
      <w:tr w:rsidR="005461CD" w:rsidRPr="00C328EF" w14:paraId="1D0DF442" w14:textId="77777777" w:rsidTr="00625C11">
        <w:trPr>
          <w:trHeight w:val="87"/>
        </w:trPr>
        <w:tc>
          <w:tcPr>
            <w:tcW w:w="4536" w:type="dxa"/>
            <w:tcBorders>
              <w:top w:val="nil"/>
              <w:left w:val="nil"/>
              <w:bottom w:val="nil"/>
              <w:right w:val="nil"/>
            </w:tcBorders>
          </w:tcPr>
          <w:p w14:paraId="08A1130A" w14:textId="77777777" w:rsidR="005461CD" w:rsidRPr="00977682" w:rsidRDefault="005461CD" w:rsidP="00872B96">
            <w:pPr>
              <w:suppressAutoHyphens/>
              <w:rPr>
                <w:rFonts w:cs="Arial"/>
                <w:spacing w:val="-2"/>
                <w:u w:val="single"/>
              </w:rPr>
            </w:pPr>
            <w:r w:rsidRPr="00977682">
              <w:rPr>
                <w:u w:val="single"/>
              </w:rPr>
              <w:t>The elements of deferred tax are as follows:</w:t>
            </w:r>
          </w:p>
        </w:tc>
        <w:tc>
          <w:tcPr>
            <w:tcW w:w="1418" w:type="dxa"/>
            <w:tcBorders>
              <w:top w:val="nil"/>
              <w:left w:val="nil"/>
              <w:bottom w:val="nil"/>
              <w:right w:val="nil"/>
            </w:tcBorders>
          </w:tcPr>
          <w:p w14:paraId="26642294" w14:textId="77777777" w:rsidR="005461CD" w:rsidRPr="00C328EF" w:rsidRDefault="005461CD" w:rsidP="00872B96">
            <w:pPr>
              <w:suppressAutoHyphens/>
              <w:ind w:right="138"/>
              <w:jc w:val="right"/>
              <w:rPr>
                <w:rFonts w:cs="Arial"/>
                <w:b/>
                <w:spacing w:val="-2"/>
                <w:highlight w:val="yellow"/>
              </w:rPr>
            </w:pPr>
          </w:p>
        </w:tc>
        <w:tc>
          <w:tcPr>
            <w:tcW w:w="1417" w:type="dxa"/>
            <w:tcBorders>
              <w:top w:val="nil"/>
              <w:left w:val="nil"/>
              <w:bottom w:val="nil"/>
              <w:right w:val="nil"/>
            </w:tcBorders>
          </w:tcPr>
          <w:p w14:paraId="6A8F473A" w14:textId="77777777" w:rsidR="005461CD" w:rsidRPr="00C328EF" w:rsidRDefault="005461CD" w:rsidP="00872B96">
            <w:pPr>
              <w:suppressAutoHyphens/>
              <w:ind w:right="138"/>
              <w:jc w:val="right"/>
              <w:rPr>
                <w:rFonts w:cs="Arial"/>
                <w:b/>
                <w:spacing w:val="-2"/>
                <w:highlight w:val="yellow"/>
              </w:rPr>
            </w:pPr>
          </w:p>
        </w:tc>
        <w:tc>
          <w:tcPr>
            <w:tcW w:w="1418" w:type="dxa"/>
            <w:tcBorders>
              <w:top w:val="nil"/>
              <w:left w:val="nil"/>
              <w:bottom w:val="nil"/>
              <w:right w:val="nil"/>
            </w:tcBorders>
          </w:tcPr>
          <w:p w14:paraId="15AC7682" w14:textId="77777777" w:rsidR="005461CD" w:rsidRPr="003114B6" w:rsidRDefault="005461CD" w:rsidP="00872B96">
            <w:pPr>
              <w:suppressAutoHyphens/>
              <w:ind w:right="138"/>
              <w:jc w:val="right"/>
              <w:rPr>
                <w:rFonts w:cs="Arial"/>
                <w:b/>
                <w:spacing w:val="-2"/>
              </w:rPr>
            </w:pPr>
          </w:p>
        </w:tc>
        <w:tc>
          <w:tcPr>
            <w:tcW w:w="1417" w:type="dxa"/>
            <w:tcBorders>
              <w:top w:val="nil"/>
              <w:left w:val="nil"/>
              <w:bottom w:val="nil"/>
              <w:right w:val="nil"/>
            </w:tcBorders>
          </w:tcPr>
          <w:p w14:paraId="144B0510" w14:textId="77777777" w:rsidR="005461CD" w:rsidRPr="003114B6" w:rsidRDefault="005461CD" w:rsidP="00872B96">
            <w:pPr>
              <w:suppressAutoHyphens/>
              <w:ind w:right="138"/>
              <w:jc w:val="right"/>
              <w:rPr>
                <w:rFonts w:cs="Arial"/>
                <w:b/>
                <w:spacing w:val="-2"/>
              </w:rPr>
            </w:pPr>
          </w:p>
        </w:tc>
      </w:tr>
      <w:tr w:rsidR="005461CD" w:rsidRPr="00C328EF" w14:paraId="610B47E7" w14:textId="77777777" w:rsidTr="00625C11">
        <w:trPr>
          <w:trHeight w:val="87"/>
        </w:trPr>
        <w:tc>
          <w:tcPr>
            <w:tcW w:w="4536" w:type="dxa"/>
            <w:tcBorders>
              <w:top w:val="nil"/>
              <w:left w:val="nil"/>
              <w:bottom w:val="nil"/>
              <w:right w:val="nil"/>
            </w:tcBorders>
          </w:tcPr>
          <w:p w14:paraId="3B60395B" w14:textId="77777777" w:rsidR="005461CD" w:rsidRPr="003114B6" w:rsidRDefault="005461CD" w:rsidP="00872B96">
            <w:r w:rsidRPr="003114B6">
              <w:t>Accelerated capital allowances</w:t>
            </w:r>
          </w:p>
        </w:tc>
        <w:tc>
          <w:tcPr>
            <w:tcW w:w="1418" w:type="dxa"/>
            <w:tcBorders>
              <w:top w:val="nil"/>
              <w:left w:val="nil"/>
              <w:bottom w:val="nil"/>
              <w:right w:val="nil"/>
            </w:tcBorders>
          </w:tcPr>
          <w:p w14:paraId="7585266E" w14:textId="77777777" w:rsidR="005461CD" w:rsidRPr="00020170" w:rsidRDefault="005461CD" w:rsidP="00872B96">
            <w:pPr>
              <w:suppressAutoHyphens/>
              <w:ind w:right="138"/>
              <w:jc w:val="right"/>
              <w:rPr>
                <w:rFonts w:cs="Arial"/>
                <w:spacing w:val="-2"/>
              </w:rPr>
            </w:pPr>
            <w:r w:rsidRPr="00020170">
              <w:rPr>
                <w:rFonts w:cs="Arial"/>
                <w:spacing w:val="-2"/>
              </w:rPr>
              <w:t>12,972</w:t>
            </w:r>
          </w:p>
        </w:tc>
        <w:tc>
          <w:tcPr>
            <w:tcW w:w="1417" w:type="dxa"/>
            <w:tcBorders>
              <w:top w:val="nil"/>
              <w:left w:val="nil"/>
              <w:bottom w:val="nil"/>
              <w:right w:val="nil"/>
            </w:tcBorders>
          </w:tcPr>
          <w:p w14:paraId="10204A04" w14:textId="77777777" w:rsidR="005461CD" w:rsidRPr="003114B6" w:rsidRDefault="005461CD" w:rsidP="00872B96">
            <w:pPr>
              <w:suppressAutoHyphens/>
              <w:ind w:right="138"/>
              <w:jc w:val="right"/>
              <w:rPr>
                <w:rFonts w:cs="Arial"/>
                <w:spacing w:val="-2"/>
              </w:rPr>
            </w:pPr>
            <w:r w:rsidRPr="003114B6">
              <w:rPr>
                <w:rFonts w:cs="Arial"/>
                <w:spacing w:val="-2"/>
              </w:rPr>
              <w:t>9,778</w:t>
            </w:r>
          </w:p>
        </w:tc>
        <w:tc>
          <w:tcPr>
            <w:tcW w:w="1418" w:type="dxa"/>
            <w:tcBorders>
              <w:top w:val="nil"/>
              <w:left w:val="nil"/>
              <w:bottom w:val="nil"/>
              <w:right w:val="nil"/>
            </w:tcBorders>
          </w:tcPr>
          <w:p w14:paraId="41C43F43" w14:textId="77777777" w:rsidR="005461CD" w:rsidRPr="003114B6" w:rsidRDefault="005461CD" w:rsidP="00872B9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20BBD5F1" w14:textId="77777777" w:rsidR="005461CD" w:rsidRPr="003114B6" w:rsidRDefault="005461CD" w:rsidP="00872B96">
            <w:pPr>
              <w:suppressAutoHyphens/>
              <w:ind w:right="138"/>
              <w:jc w:val="right"/>
              <w:rPr>
                <w:rFonts w:cs="Arial"/>
                <w:spacing w:val="-2"/>
              </w:rPr>
            </w:pPr>
            <w:r w:rsidRPr="003114B6">
              <w:rPr>
                <w:rFonts w:cs="Arial"/>
                <w:spacing w:val="-2"/>
              </w:rPr>
              <w:t>-</w:t>
            </w:r>
          </w:p>
        </w:tc>
      </w:tr>
      <w:tr w:rsidR="005461CD" w:rsidRPr="00C328EF" w14:paraId="33DEC808" w14:textId="77777777" w:rsidTr="00625C11">
        <w:trPr>
          <w:trHeight w:val="87"/>
        </w:trPr>
        <w:tc>
          <w:tcPr>
            <w:tcW w:w="4536" w:type="dxa"/>
            <w:tcBorders>
              <w:top w:val="nil"/>
              <w:left w:val="nil"/>
              <w:bottom w:val="nil"/>
              <w:right w:val="nil"/>
            </w:tcBorders>
          </w:tcPr>
          <w:p w14:paraId="08D26275" w14:textId="77777777" w:rsidR="005461CD" w:rsidRPr="003114B6" w:rsidRDefault="005461CD" w:rsidP="00872B96">
            <w:r w:rsidRPr="003114B6">
              <w:t>Short term timing differences</w:t>
            </w:r>
          </w:p>
        </w:tc>
        <w:tc>
          <w:tcPr>
            <w:tcW w:w="1418" w:type="dxa"/>
            <w:tcBorders>
              <w:top w:val="nil"/>
              <w:left w:val="nil"/>
              <w:bottom w:val="nil"/>
              <w:right w:val="nil"/>
            </w:tcBorders>
          </w:tcPr>
          <w:p w14:paraId="0A17C772" w14:textId="77777777" w:rsidR="005461CD" w:rsidRPr="00020170" w:rsidRDefault="005461CD" w:rsidP="00872B96">
            <w:pPr>
              <w:suppressAutoHyphens/>
              <w:ind w:right="138"/>
              <w:jc w:val="right"/>
              <w:rPr>
                <w:rFonts w:cs="Arial"/>
                <w:spacing w:val="-2"/>
              </w:rPr>
            </w:pPr>
            <w:r w:rsidRPr="00020170">
              <w:rPr>
                <w:rFonts w:cs="Arial"/>
                <w:spacing w:val="-2"/>
              </w:rPr>
              <w:t>(238)</w:t>
            </w:r>
          </w:p>
        </w:tc>
        <w:tc>
          <w:tcPr>
            <w:tcW w:w="1417" w:type="dxa"/>
            <w:tcBorders>
              <w:top w:val="nil"/>
              <w:left w:val="nil"/>
              <w:bottom w:val="nil"/>
              <w:right w:val="nil"/>
            </w:tcBorders>
          </w:tcPr>
          <w:p w14:paraId="4D4B28F2" w14:textId="77777777" w:rsidR="005461CD" w:rsidRPr="003114B6" w:rsidRDefault="005461CD" w:rsidP="00872B96">
            <w:pPr>
              <w:suppressAutoHyphens/>
              <w:ind w:right="138"/>
              <w:jc w:val="right"/>
              <w:rPr>
                <w:rFonts w:cs="Arial"/>
                <w:spacing w:val="-2"/>
              </w:rPr>
            </w:pPr>
            <w:r w:rsidRPr="003114B6">
              <w:rPr>
                <w:rFonts w:cs="Arial"/>
                <w:spacing w:val="-2"/>
              </w:rPr>
              <w:t>(206)</w:t>
            </w:r>
          </w:p>
        </w:tc>
        <w:tc>
          <w:tcPr>
            <w:tcW w:w="1418" w:type="dxa"/>
            <w:tcBorders>
              <w:top w:val="nil"/>
              <w:left w:val="nil"/>
              <w:bottom w:val="nil"/>
              <w:right w:val="nil"/>
            </w:tcBorders>
          </w:tcPr>
          <w:p w14:paraId="576E9F29" w14:textId="77777777" w:rsidR="005461CD" w:rsidRPr="003114B6" w:rsidRDefault="005461CD" w:rsidP="00872B9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49DCBA2A" w14:textId="77777777" w:rsidR="005461CD" w:rsidRPr="003114B6" w:rsidRDefault="005461CD" w:rsidP="00872B96">
            <w:pPr>
              <w:suppressAutoHyphens/>
              <w:ind w:right="138"/>
              <w:jc w:val="right"/>
              <w:rPr>
                <w:rFonts w:cs="Arial"/>
                <w:spacing w:val="-2"/>
              </w:rPr>
            </w:pPr>
            <w:r w:rsidRPr="003114B6">
              <w:rPr>
                <w:rFonts w:cs="Arial"/>
                <w:spacing w:val="-2"/>
              </w:rPr>
              <w:t>-</w:t>
            </w:r>
          </w:p>
        </w:tc>
      </w:tr>
      <w:tr w:rsidR="005461CD" w:rsidRPr="00C328EF" w14:paraId="4232B060" w14:textId="77777777" w:rsidTr="00625C11">
        <w:trPr>
          <w:trHeight w:val="87"/>
        </w:trPr>
        <w:tc>
          <w:tcPr>
            <w:tcW w:w="4536" w:type="dxa"/>
            <w:tcBorders>
              <w:top w:val="nil"/>
              <w:left w:val="nil"/>
              <w:bottom w:val="nil"/>
              <w:right w:val="nil"/>
            </w:tcBorders>
          </w:tcPr>
          <w:p w14:paraId="04ACAE88" w14:textId="77777777" w:rsidR="005461CD" w:rsidRPr="003114B6" w:rsidRDefault="005461CD" w:rsidP="00872B96">
            <w:r w:rsidRPr="003114B6">
              <w:t xml:space="preserve">Pension scheme </w:t>
            </w:r>
          </w:p>
        </w:tc>
        <w:tc>
          <w:tcPr>
            <w:tcW w:w="1418" w:type="dxa"/>
            <w:tcBorders>
              <w:top w:val="nil"/>
              <w:left w:val="nil"/>
              <w:bottom w:val="nil"/>
              <w:right w:val="nil"/>
            </w:tcBorders>
          </w:tcPr>
          <w:p w14:paraId="6FB03FCA" w14:textId="77777777" w:rsidR="005461CD" w:rsidRPr="00020170" w:rsidRDefault="005461CD" w:rsidP="00872B96">
            <w:pPr>
              <w:suppressAutoHyphens/>
              <w:ind w:right="138"/>
              <w:jc w:val="right"/>
              <w:rPr>
                <w:rFonts w:cs="Arial"/>
                <w:spacing w:val="-2"/>
              </w:rPr>
            </w:pPr>
            <w:r w:rsidRPr="00020170">
              <w:rPr>
                <w:rFonts w:cs="Arial"/>
                <w:spacing w:val="-2"/>
              </w:rPr>
              <w:t>8,238</w:t>
            </w:r>
          </w:p>
        </w:tc>
        <w:tc>
          <w:tcPr>
            <w:tcW w:w="1417" w:type="dxa"/>
            <w:tcBorders>
              <w:top w:val="nil"/>
              <w:left w:val="nil"/>
              <w:bottom w:val="nil"/>
              <w:right w:val="nil"/>
            </w:tcBorders>
          </w:tcPr>
          <w:p w14:paraId="578C24EA" w14:textId="77777777" w:rsidR="005461CD" w:rsidRPr="003114B6" w:rsidRDefault="005461CD" w:rsidP="00872B96">
            <w:pPr>
              <w:suppressAutoHyphens/>
              <w:ind w:right="138"/>
              <w:jc w:val="right"/>
              <w:rPr>
                <w:rFonts w:cs="Arial"/>
                <w:spacing w:val="-2"/>
              </w:rPr>
            </w:pPr>
            <w:r w:rsidRPr="003114B6">
              <w:rPr>
                <w:rFonts w:cs="Arial"/>
                <w:spacing w:val="-2"/>
              </w:rPr>
              <w:t>12,925</w:t>
            </w:r>
          </w:p>
        </w:tc>
        <w:tc>
          <w:tcPr>
            <w:tcW w:w="1418" w:type="dxa"/>
            <w:tcBorders>
              <w:top w:val="nil"/>
              <w:left w:val="nil"/>
              <w:bottom w:val="nil"/>
              <w:right w:val="nil"/>
            </w:tcBorders>
          </w:tcPr>
          <w:p w14:paraId="3670FAA7" w14:textId="77777777" w:rsidR="005461CD" w:rsidRPr="003114B6" w:rsidRDefault="005461CD" w:rsidP="00872B9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274CA3BF" w14:textId="77777777" w:rsidR="005461CD" w:rsidRPr="003114B6" w:rsidRDefault="005461CD" w:rsidP="00872B96">
            <w:pPr>
              <w:suppressAutoHyphens/>
              <w:ind w:right="138"/>
              <w:jc w:val="right"/>
              <w:rPr>
                <w:rFonts w:cs="Arial"/>
                <w:spacing w:val="-2"/>
              </w:rPr>
            </w:pPr>
            <w:r w:rsidRPr="003114B6">
              <w:rPr>
                <w:rFonts w:cs="Arial"/>
                <w:spacing w:val="-2"/>
              </w:rPr>
              <w:t>-</w:t>
            </w:r>
          </w:p>
        </w:tc>
      </w:tr>
      <w:tr w:rsidR="005461CD" w:rsidRPr="00C328EF" w14:paraId="0E40DE39" w14:textId="77777777" w:rsidTr="00625C11">
        <w:trPr>
          <w:trHeight w:val="87"/>
        </w:trPr>
        <w:tc>
          <w:tcPr>
            <w:tcW w:w="4536" w:type="dxa"/>
            <w:tcBorders>
              <w:top w:val="nil"/>
              <w:left w:val="nil"/>
              <w:bottom w:val="nil"/>
              <w:right w:val="nil"/>
            </w:tcBorders>
          </w:tcPr>
          <w:p w14:paraId="2DA5327C" w14:textId="77777777" w:rsidR="005461CD" w:rsidRPr="003114B6" w:rsidRDefault="005461CD" w:rsidP="00872B96">
            <w:pPr>
              <w:rPr>
                <w:rFonts w:cs="Arial"/>
                <w:spacing w:val="-2"/>
              </w:rPr>
            </w:pPr>
            <w:r w:rsidRPr="003114B6">
              <w:t>Fair value movements on cash flow hedges</w:t>
            </w:r>
          </w:p>
        </w:tc>
        <w:tc>
          <w:tcPr>
            <w:tcW w:w="1418" w:type="dxa"/>
            <w:tcBorders>
              <w:top w:val="nil"/>
              <w:left w:val="nil"/>
              <w:bottom w:val="nil"/>
              <w:right w:val="nil"/>
            </w:tcBorders>
          </w:tcPr>
          <w:p w14:paraId="358E9032" w14:textId="77777777" w:rsidR="005461CD" w:rsidRPr="00020170" w:rsidRDefault="005461CD" w:rsidP="00872B96">
            <w:pPr>
              <w:ind w:right="138"/>
              <w:jc w:val="right"/>
              <w:rPr>
                <w:rFonts w:cs="Arial"/>
                <w:spacing w:val="-2"/>
              </w:rPr>
            </w:pPr>
            <w:r w:rsidRPr="00020170">
              <w:rPr>
                <w:rFonts w:cs="Arial"/>
                <w:spacing w:val="-2"/>
              </w:rPr>
              <w:t>(126)</w:t>
            </w:r>
          </w:p>
        </w:tc>
        <w:tc>
          <w:tcPr>
            <w:tcW w:w="1417" w:type="dxa"/>
            <w:tcBorders>
              <w:top w:val="nil"/>
              <w:left w:val="nil"/>
              <w:bottom w:val="nil"/>
              <w:right w:val="nil"/>
            </w:tcBorders>
          </w:tcPr>
          <w:p w14:paraId="393E9D24" w14:textId="77777777" w:rsidR="005461CD" w:rsidRPr="003114B6" w:rsidRDefault="005461CD" w:rsidP="00872B96">
            <w:pPr>
              <w:ind w:right="138"/>
              <w:jc w:val="right"/>
              <w:rPr>
                <w:rFonts w:cs="Arial"/>
                <w:spacing w:val="-2"/>
              </w:rPr>
            </w:pPr>
            <w:r w:rsidRPr="003114B6">
              <w:rPr>
                <w:rFonts w:cs="Arial"/>
                <w:spacing w:val="-2"/>
              </w:rPr>
              <w:t>(426)</w:t>
            </w:r>
          </w:p>
        </w:tc>
        <w:tc>
          <w:tcPr>
            <w:tcW w:w="1418" w:type="dxa"/>
            <w:tcBorders>
              <w:top w:val="nil"/>
              <w:left w:val="nil"/>
              <w:bottom w:val="nil"/>
              <w:right w:val="nil"/>
            </w:tcBorders>
          </w:tcPr>
          <w:p w14:paraId="321F32CA" w14:textId="77777777" w:rsidR="005461CD" w:rsidRPr="003114B6" w:rsidRDefault="005461CD" w:rsidP="00872B9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71EC3883" w14:textId="77777777" w:rsidR="005461CD" w:rsidRPr="003114B6" w:rsidRDefault="005461CD" w:rsidP="00872B96">
            <w:pPr>
              <w:suppressAutoHyphens/>
              <w:ind w:right="138"/>
              <w:jc w:val="right"/>
              <w:rPr>
                <w:rFonts w:cs="Arial"/>
                <w:spacing w:val="-2"/>
              </w:rPr>
            </w:pPr>
            <w:r w:rsidRPr="003114B6">
              <w:rPr>
                <w:rFonts w:cs="Arial"/>
                <w:spacing w:val="-2"/>
              </w:rPr>
              <w:t>-</w:t>
            </w:r>
          </w:p>
        </w:tc>
      </w:tr>
      <w:tr w:rsidR="005461CD" w:rsidRPr="00C328EF" w14:paraId="40296723" w14:textId="77777777" w:rsidTr="00625C11">
        <w:trPr>
          <w:trHeight w:val="87"/>
        </w:trPr>
        <w:tc>
          <w:tcPr>
            <w:tcW w:w="4536" w:type="dxa"/>
            <w:tcBorders>
              <w:top w:val="nil"/>
              <w:left w:val="nil"/>
              <w:bottom w:val="nil"/>
              <w:right w:val="nil"/>
            </w:tcBorders>
          </w:tcPr>
          <w:p w14:paraId="6999E215" w14:textId="77777777" w:rsidR="005461CD" w:rsidRPr="003114B6" w:rsidRDefault="005461CD" w:rsidP="00872B96">
            <w:pPr>
              <w:rPr>
                <w:rFonts w:cs="Arial"/>
                <w:spacing w:val="-2"/>
              </w:rPr>
            </w:pPr>
            <w:r w:rsidRPr="003114B6">
              <w:t>Revaluation gain</w:t>
            </w:r>
          </w:p>
        </w:tc>
        <w:tc>
          <w:tcPr>
            <w:tcW w:w="1418" w:type="dxa"/>
            <w:tcBorders>
              <w:top w:val="nil"/>
              <w:left w:val="nil"/>
              <w:bottom w:val="nil"/>
              <w:right w:val="nil"/>
            </w:tcBorders>
          </w:tcPr>
          <w:p w14:paraId="4F83345E" w14:textId="77777777" w:rsidR="005461CD" w:rsidRPr="00020170" w:rsidRDefault="005461CD" w:rsidP="00872B96">
            <w:pPr>
              <w:ind w:right="138"/>
              <w:jc w:val="right"/>
              <w:rPr>
                <w:rFonts w:cs="Arial"/>
                <w:spacing w:val="-2"/>
              </w:rPr>
            </w:pPr>
            <w:r w:rsidRPr="00020170">
              <w:rPr>
                <w:rFonts w:cs="Arial"/>
                <w:spacing w:val="-2"/>
              </w:rPr>
              <w:t>-</w:t>
            </w:r>
          </w:p>
        </w:tc>
        <w:tc>
          <w:tcPr>
            <w:tcW w:w="1417" w:type="dxa"/>
            <w:tcBorders>
              <w:top w:val="nil"/>
              <w:left w:val="nil"/>
              <w:bottom w:val="nil"/>
              <w:right w:val="nil"/>
            </w:tcBorders>
          </w:tcPr>
          <w:p w14:paraId="777CD3D6" w14:textId="77777777" w:rsidR="005461CD" w:rsidRPr="003114B6" w:rsidRDefault="005461CD" w:rsidP="00872B96">
            <w:pPr>
              <w:ind w:right="138"/>
              <w:jc w:val="right"/>
              <w:rPr>
                <w:rFonts w:cs="Arial"/>
                <w:spacing w:val="-2"/>
              </w:rPr>
            </w:pPr>
            <w:r w:rsidRPr="003114B6">
              <w:rPr>
                <w:rFonts w:cs="Arial"/>
                <w:spacing w:val="-2"/>
              </w:rPr>
              <w:t>88</w:t>
            </w:r>
          </w:p>
        </w:tc>
        <w:tc>
          <w:tcPr>
            <w:tcW w:w="1418" w:type="dxa"/>
            <w:tcBorders>
              <w:top w:val="nil"/>
              <w:left w:val="nil"/>
              <w:bottom w:val="nil"/>
              <w:right w:val="nil"/>
            </w:tcBorders>
          </w:tcPr>
          <w:p w14:paraId="0AD7A2D8" w14:textId="77777777" w:rsidR="005461CD" w:rsidRPr="003114B6" w:rsidRDefault="005461CD" w:rsidP="00872B9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0D8EF3BE" w14:textId="77777777" w:rsidR="005461CD" w:rsidRPr="003114B6" w:rsidRDefault="005461CD" w:rsidP="00872B96">
            <w:pPr>
              <w:suppressAutoHyphens/>
              <w:ind w:right="138"/>
              <w:jc w:val="right"/>
              <w:rPr>
                <w:rFonts w:cs="Arial"/>
                <w:spacing w:val="-2"/>
              </w:rPr>
            </w:pPr>
            <w:r w:rsidRPr="003114B6">
              <w:rPr>
                <w:rFonts w:cs="Arial"/>
                <w:spacing w:val="-2"/>
              </w:rPr>
              <w:t>-</w:t>
            </w:r>
          </w:p>
        </w:tc>
      </w:tr>
      <w:tr w:rsidR="005461CD" w:rsidRPr="00C328EF" w14:paraId="4AD77643" w14:textId="77777777" w:rsidTr="0062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tcBorders>
              <w:top w:val="nil"/>
              <w:left w:val="nil"/>
              <w:bottom w:val="nil"/>
              <w:right w:val="nil"/>
            </w:tcBorders>
          </w:tcPr>
          <w:p w14:paraId="0F667C84" w14:textId="77777777" w:rsidR="005461CD" w:rsidRPr="00C328EF" w:rsidRDefault="005461CD" w:rsidP="00872B96">
            <w:pPr>
              <w:suppressAutoHyphens/>
              <w:rPr>
                <w:rFonts w:cs="Arial"/>
                <w:spacing w:val="-2"/>
                <w:highlight w:val="yellow"/>
              </w:rPr>
            </w:pPr>
          </w:p>
        </w:tc>
        <w:tc>
          <w:tcPr>
            <w:tcW w:w="1418" w:type="dxa"/>
            <w:tcBorders>
              <w:top w:val="nil"/>
              <w:left w:val="nil"/>
              <w:bottom w:val="nil"/>
              <w:right w:val="nil"/>
            </w:tcBorders>
          </w:tcPr>
          <w:p w14:paraId="69C37C6A" w14:textId="77777777" w:rsidR="005461CD" w:rsidRPr="00020170" w:rsidRDefault="005461CD" w:rsidP="00872B96">
            <w:pPr>
              <w:suppressAutoHyphens/>
              <w:ind w:right="138"/>
              <w:jc w:val="right"/>
              <w:rPr>
                <w:rFonts w:cs="Arial"/>
                <w:spacing w:val="-2"/>
              </w:rPr>
            </w:pPr>
            <w:r w:rsidRPr="00020170">
              <w:rPr>
                <w:rFonts w:cs="Arial"/>
                <w:spacing w:val="-2"/>
              </w:rPr>
              <w:t>──────</w:t>
            </w:r>
          </w:p>
        </w:tc>
        <w:tc>
          <w:tcPr>
            <w:tcW w:w="1417" w:type="dxa"/>
            <w:tcBorders>
              <w:top w:val="nil"/>
              <w:left w:val="nil"/>
              <w:bottom w:val="nil"/>
              <w:right w:val="nil"/>
            </w:tcBorders>
          </w:tcPr>
          <w:p w14:paraId="0B88CBA6" w14:textId="77777777" w:rsidR="005461CD" w:rsidRPr="003114B6" w:rsidRDefault="005461CD" w:rsidP="00872B96">
            <w:pPr>
              <w:suppressAutoHyphens/>
              <w:ind w:right="138"/>
              <w:jc w:val="right"/>
              <w:rPr>
                <w:rFonts w:cs="Arial"/>
                <w:spacing w:val="-2"/>
              </w:rPr>
            </w:pPr>
            <w:r w:rsidRPr="003114B6">
              <w:rPr>
                <w:rFonts w:cs="Arial"/>
                <w:spacing w:val="-2"/>
              </w:rPr>
              <w:t>──────</w:t>
            </w:r>
          </w:p>
        </w:tc>
        <w:tc>
          <w:tcPr>
            <w:tcW w:w="1418" w:type="dxa"/>
            <w:tcBorders>
              <w:top w:val="nil"/>
              <w:left w:val="nil"/>
              <w:bottom w:val="nil"/>
              <w:right w:val="nil"/>
            </w:tcBorders>
          </w:tcPr>
          <w:p w14:paraId="19F94A51" w14:textId="77777777" w:rsidR="005461CD" w:rsidRPr="003114B6" w:rsidRDefault="005461CD" w:rsidP="00872B9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0BA4C2F2" w14:textId="77777777" w:rsidR="005461CD" w:rsidRPr="003114B6" w:rsidRDefault="005461CD" w:rsidP="00872B96">
            <w:pPr>
              <w:suppressAutoHyphens/>
              <w:ind w:right="138"/>
              <w:jc w:val="right"/>
              <w:rPr>
                <w:rFonts w:cs="Arial"/>
                <w:spacing w:val="-2"/>
              </w:rPr>
            </w:pPr>
            <w:r w:rsidRPr="003114B6">
              <w:rPr>
                <w:rFonts w:cs="Arial"/>
                <w:spacing w:val="-2"/>
              </w:rPr>
              <w:t>──────</w:t>
            </w:r>
          </w:p>
        </w:tc>
      </w:tr>
      <w:tr w:rsidR="005461CD" w:rsidRPr="00C328EF" w14:paraId="6037250D" w14:textId="77777777" w:rsidTr="0062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tcBorders>
              <w:top w:val="nil"/>
              <w:left w:val="nil"/>
              <w:bottom w:val="nil"/>
              <w:right w:val="nil"/>
            </w:tcBorders>
          </w:tcPr>
          <w:p w14:paraId="46E0B298" w14:textId="77777777" w:rsidR="005461CD" w:rsidRPr="00C328EF" w:rsidRDefault="005461CD" w:rsidP="00872B96">
            <w:pPr>
              <w:suppressAutoHyphens/>
              <w:rPr>
                <w:rFonts w:cs="Arial"/>
                <w:spacing w:val="-2"/>
                <w:highlight w:val="yellow"/>
              </w:rPr>
            </w:pPr>
          </w:p>
        </w:tc>
        <w:tc>
          <w:tcPr>
            <w:tcW w:w="1418" w:type="dxa"/>
            <w:tcBorders>
              <w:top w:val="nil"/>
              <w:left w:val="nil"/>
              <w:bottom w:val="nil"/>
              <w:right w:val="nil"/>
            </w:tcBorders>
          </w:tcPr>
          <w:p w14:paraId="35304B49" w14:textId="77777777" w:rsidR="005461CD" w:rsidRPr="00020170" w:rsidRDefault="005461CD" w:rsidP="00872B96">
            <w:pPr>
              <w:suppressAutoHyphens/>
              <w:ind w:right="138"/>
              <w:jc w:val="right"/>
              <w:rPr>
                <w:rFonts w:cs="Arial"/>
                <w:spacing w:val="-2"/>
              </w:rPr>
            </w:pPr>
            <w:r w:rsidRPr="00020170">
              <w:rPr>
                <w:rFonts w:cs="Arial"/>
                <w:spacing w:val="-2"/>
              </w:rPr>
              <w:t>20,846</w:t>
            </w:r>
          </w:p>
        </w:tc>
        <w:tc>
          <w:tcPr>
            <w:tcW w:w="1417" w:type="dxa"/>
            <w:tcBorders>
              <w:top w:val="nil"/>
              <w:left w:val="nil"/>
              <w:bottom w:val="nil"/>
              <w:right w:val="nil"/>
            </w:tcBorders>
          </w:tcPr>
          <w:p w14:paraId="18C4EFBC" w14:textId="77777777" w:rsidR="005461CD" w:rsidRPr="003114B6" w:rsidRDefault="005461CD" w:rsidP="00872B96">
            <w:pPr>
              <w:suppressAutoHyphens/>
              <w:ind w:right="138"/>
              <w:jc w:val="right"/>
              <w:rPr>
                <w:rFonts w:cs="Arial"/>
                <w:spacing w:val="-2"/>
              </w:rPr>
            </w:pPr>
            <w:r w:rsidRPr="003114B6">
              <w:rPr>
                <w:rFonts w:cs="Arial"/>
                <w:spacing w:val="-2"/>
              </w:rPr>
              <w:t>22,159</w:t>
            </w:r>
          </w:p>
        </w:tc>
        <w:tc>
          <w:tcPr>
            <w:tcW w:w="1418" w:type="dxa"/>
            <w:tcBorders>
              <w:top w:val="nil"/>
              <w:left w:val="nil"/>
              <w:bottom w:val="nil"/>
              <w:right w:val="nil"/>
            </w:tcBorders>
          </w:tcPr>
          <w:p w14:paraId="562DCC52" w14:textId="77777777" w:rsidR="005461CD" w:rsidRPr="003114B6" w:rsidRDefault="005461CD" w:rsidP="00872B9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36045B81" w14:textId="77777777" w:rsidR="005461CD" w:rsidRPr="003114B6" w:rsidRDefault="005461CD" w:rsidP="00872B96">
            <w:pPr>
              <w:suppressAutoHyphens/>
              <w:ind w:right="138"/>
              <w:jc w:val="right"/>
              <w:rPr>
                <w:rFonts w:cs="Arial"/>
                <w:spacing w:val="-2"/>
              </w:rPr>
            </w:pPr>
            <w:r w:rsidRPr="003114B6">
              <w:rPr>
                <w:rFonts w:cs="Arial"/>
                <w:spacing w:val="-2"/>
              </w:rPr>
              <w:t>-</w:t>
            </w:r>
          </w:p>
        </w:tc>
      </w:tr>
      <w:tr w:rsidR="005461CD" w:rsidRPr="00C328EF" w14:paraId="327CA5C5" w14:textId="77777777" w:rsidTr="0062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tcBorders>
              <w:top w:val="nil"/>
              <w:left w:val="nil"/>
              <w:bottom w:val="nil"/>
              <w:right w:val="nil"/>
            </w:tcBorders>
          </w:tcPr>
          <w:p w14:paraId="3E953E9C" w14:textId="77777777" w:rsidR="005461CD" w:rsidRPr="00C328EF" w:rsidRDefault="005461CD" w:rsidP="00872B96">
            <w:pPr>
              <w:suppressAutoHyphens/>
              <w:rPr>
                <w:rFonts w:cs="Arial"/>
                <w:spacing w:val="-2"/>
                <w:highlight w:val="yellow"/>
              </w:rPr>
            </w:pPr>
          </w:p>
        </w:tc>
        <w:tc>
          <w:tcPr>
            <w:tcW w:w="1418" w:type="dxa"/>
            <w:tcBorders>
              <w:top w:val="nil"/>
              <w:left w:val="nil"/>
              <w:bottom w:val="nil"/>
              <w:right w:val="nil"/>
            </w:tcBorders>
          </w:tcPr>
          <w:p w14:paraId="7E8FCD2C" w14:textId="77777777" w:rsidR="005461CD" w:rsidRPr="00020170" w:rsidRDefault="005461CD" w:rsidP="00872B96">
            <w:pPr>
              <w:suppressAutoHyphens/>
              <w:ind w:right="138"/>
              <w:jc w:val="right"/>
              <w:rPr>
                <w:rFonts w:cs="Arial"/>
                <w:spacing w:val="-2"/>
              </w:rPr>
            </w:pPr>
            <w:r w:rsidRPr="00020170">
              <w:rPr>
                <w:rFonts w:cs="Arial"/>
                <w:spacing w:val="-2"/>
              </w:rPr>
              <w:t>══════</w:t>
            </w:r>
          </w:p>
        </w:tc>
        <w:tc>
          <w:tcPr>
            <w:tcW w:w="1417" w:type="dxa"/>
            <w:tcBorders>
              <w:top w:val="nil"/>
              <w:left w:val="nil"/>
              <w:bottom w:val="nil"/>
              <w:right w:val="nil"/>
            </w:tcBorders>
          </w:tcPr>
          <w:p w14:paraId="6DBEFD67" w14:textId="77777777" w:rsidR="005461CD" w:rsidRPr="003114B6" w:rsidRDefault="005461CD" w:rsidP="00872B96">
            <w:pPr>
              <w:suppressAutoHyphens/>
              <w:ind w:right="138"/>
              <w:jc w:val="right"/>
              <w:rPr>
                <w:rFonts w:cs="Arial"/>
                <w:spacing w:val="-2"/>
              </w:rPr>
            </w:pPr>
            <w:r w:rsidRPr="003114B6">
              <w:rPr>
                <w:rFonts w:cs="Arial"/>
                <w:spacing w:val="-2"/>
              </w:rPr>
              <w:t>══════</w:t>
            </w:r>
          </w:p>
        </w:tc>
        <w:tc>
          <w:tcPr>
            <w:tcW w:w="1418" w:type="dxa"/>
            <w:tcBorders>
              <w:top w:val="nil"/>
              <w:left w:val="nil"/>
              <w:bottom w:val="nil"/>
              <w:right w:val="nil"/>
            </w:tcBorders>
          </w:tcPr>
          <w:p w14:paraId="530C5253" w14:textId="77777777" w:rsidR="005461CD" w:rsidRPr="003114B6" w:rsidRDefault="005461CD" w:rsidP="00872B9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1ABF2860" w14:textId="77777777" w:rsidR="005461CD" w:rsidRPr="003114B6" w:rsidRDefault="005461CD" w:rsidP="00872B96">
            <w:pPr>
              <w:suppressAutoHyphens/>
              <w:ind w:right="138"/>
              <w:jc w:val="right"/>
              <w:rPr>
                <w:rFonts w:cs="Arial"/>
                <w:spacing w:val="-2"/>
              </w:rPr>
            </w:pPr>
            <w:r w:rsidRPr="003114B6">
              <w:rPr>
                <w:rFonts w:cs="Arial"/>
                <w:spacing w:val="-2"/>
              </w:rPr>
              <w:t>══════</w:t>
            </w:r>
          </w:p>
        </w:tc>
      </w:tr>
    </w:tbl>
    <w:p w14:paraId="72F04790" w14:textId="77777777" w:rsidR="0094037F" w:rsidRPr="00C328EF" w:rsidRDefault="0094037F" w:rsidP="005461CD">
      <w:pPr>
        <w:tabs>
          <w:tab w:val="num" w:pos="546"/>
        </w:tabs>
        <w:rPr>
          <w:b/>
          <w:highlight w:val="yellow"/>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418"/>
        <w:gridCol w:w="1417"/>
        <w:gridCol w:w="1418"/>
        <w:gridCol w:w="1417"/>
      </w:tblGrid>
      <w:tr w:rsidR="00F12726" w:rsidRPr="00C328EF" w14:paraId="19BC8611" w14:textId="77777777" w:rsidTr="00625C11">
        <w:tc>
          <w:tcPr>
            <w:tcW w:w="4678" w:type="dxa"/>
            <w:tcBorders>
              <w:top w:val="nil"/>
              <w:left w:val="nil"/>
              <w:bottom w:val="nil"/>
              <w:right w:val="nil"/>
            </w:tcBorders>
          </w:tcPr>
          <w:p w14:paraId="06F646B8" w14:textId="77777777" w:rsidR="00F12726" w:rsidRPr="00C328EF" w:rsidRDefault="00F12726" w:rsidP="008A06C2">
            <w:pPr>
              <w:suppressAutoHyphens/>
              <w:rPr>
                <w:rFonts w:cs="Arial"/>
                <w:spacing w:val="-2"/>
                <w:highlight w:val="yellow"/>
              </w:rPr>
            </w:pPr>
          </w:p>
        </w:tc>
        <w:tc>
          <w:tcPr>
            <w:tcW w:w="2835" w:type="dxa"/>
            <w:gridSpan w:val="2"/>
            <w:tcBorders>
              <w:top w:val="nil"/>
              <w:left w:val="nil"/>
              <w:bottom w:val="nil"/>
              <w:right w:val="nil"/>
            </w:tcBorders>
          </w:tcPr>
          <w:p w14:paraId="3103A76F" w14:textId="77777777" w:rsidR="00F12726" w:rsidRPr="003114B6" w:rsidRDefault="00F12726" w:rsidP="008A06C2">
            <w:pPr>
              <w:ind w:left="282"/>
              <w:jc w:val="center"/>
              <w:rPr>
                <w:b/>
              </w:rPr>
            </w:pPr>
            <w:r w:rsidRPr="003114B6">
              <w:rPr>
                <w:b/>
              </w:rPr>
              <w:t>Consolidated Group</w:t>
            </w:r>
          </w:p>
        </w:tc>
        <w:tc>
          <w:tcPr>
            <w:tcW w:w="2835" w:type="dxa"/>
            <w:gridSpan w:val="2"/>
            <w:tcBorders>
              <w:top w:val="nil"/>
              <w:left w:val="nil"/>
              <w:bottom w:val="nil"/>
              <w:right w:val="nil"/>
            </w:tcBorders>
          </w:tcPr>
          <w:p w14:paraId="743B15B4" w14:textId="77777777" w:rsidR="00F12726" w:rsidRPr="003114B6" w:rsidRDefault="00F12726" w:rsidP="00604266">
            <w:pPr>
              <w:ind w:left="397"/>
              <w:jc w:val="center"/>
              <w:rPr>
                <w:b/>
              </w:rPr>
            </w:pPr>
            <w:r w:rsidRPr="003114B6">
              <w:rPr>
                <w:b/>
              </w:rPr>
              <w:t>Parent Entity</w:t>
            </w:r>
          </w:p>
        </w:tc>
      </w:tr>
      <w:tr w:rsidR="00BE74C5" w:rsidRPr="00C328EF" w14:paraId="6A0239AC" w14:textId="77777777" w:rsidTr="00625C11">
        <w:tc>
          <w:tcPr>
            <w:tcW w:w="4678" w:type="dxa"/>
            <w:tcBorders>
              <w:top w:val="nil"/>
              <w:left w:val="nil"/>
              <w:bottom w:val="nil"/>
              <w:right w:val="nil"/>
            </w:tcBorders>
          </w:tcPr>
          <w:p w14:paraId="706FEE66" w14:textId="77777777" w:rsidR="00BE74C5" w:rsidRPr="00977682" w:rsidRDefault="00977682" w:rsidP="00BE74C5">
            <w:pPr>
              <w:ind w:left="709"/>
              <w:jc w:val="both"/>
              <w:rPr>
                <w:b/>
                <w:bCs/>
                <w:u w:val="single"/>
              </w:rPr>
            </w:pPr>
            <w:r w:rsidRPr="00977682">
              <w:rPr>
                <w:b/>
                <w:bCs/>
                <w:u w:val="single"/>
              </w:rPr>
              <w:t>Provisions</w:t>
            </w:r>
          </w:p>
        </w:tc>
        <w:tc>
          <w:tcPr>
            <w:tcW w:w="1418" w:type="dxa"/>
            <w:tcBorders>
              <w:top w:val="nil"/>
              <w:left w:val="nil"/>
              <w:bottom w:val="nil"/>
              <w:right w:val="nil"/>
            </w:tcBorders>
          </w:tcPr>
          <w:p w14:paraId="1119B00D" w14:textId="77777777" w:rsidR="00BE74C5" w:rsidRPr="003114B6" w:rsidRDefault="000A5878" w:rsidP="00BE74C5">
            <w:pPr>
              <w:suppressAutoHyphens/>
              <w:ind w:right="138"/>
              <w:jc w:val="right"/>
              <w:rPr>
                <w:rFonts w:cs="Arial"/>
                <w:b/>
                <w:spacing w:val="-2"/>
              </w:rPr>
            </w:pPr>
            <w:r>
              <w:rPr>
                <w:rFonts w:cs="Arial"/>
                <w:b/>
                <w:spacing w:val="-2"/>
              </w:rPr>
              <w:t>28/12/</w:t>
            </w:r>
            <w:r w:rsidR="00BE74C5" w:rsidRPr="003114B6">
              <w:rPr>
                <w:rFonts w:cs="Arial"/>
                <w:b/>
                <w:spacing w:val="-2"/>
              </w:rPr>
              <w:t>20</w:t>
            </w:r>
            <w:r w:rsidR="00C46DCD" w:rsidRPr="003114B6">
              <w:rPr>
                <w:rFonts w:cs="Arial"/>
                <w:b/>
                <w:spacing w:val="-2"/>
              </w:rPr>
              <w:t>2</w:t>
            </w:r>
            <w:r w:rsidR="003114B6" w:rsidRPr="003114B6">
              <w:rPr>
                <w:rFonts w:cs="Arial"/>
                <w:b/>
                <w:spacing w:val="-2"/>
              </w:rPr>
              <w:t>4</w:t>
            </w:r>
          </w:p>
        </w:tc>
        <w:tc>
          <w:tcPr>
            <w:tcW w:w="1417" w:type="dxa"/>
            <w:tcBorders>
              <w:top w:val="nil"/>
              <w:left w:val="nil"/>
              <w:bottom w:val="nil"/>
              <w:right w:val="nil"/>
            </w:tcBorders>
          </w:tcPr>
          <w:p w14:paraId="218392E7" w14:textId="77777777" w:rsidR="00BE74C5" w:rsidRPr="003114B6" w:rsidRDefault="000A5878" w:rsidP="00BE74C5">
            <w:pPr>
              <w:suppressAutoHyphens/>
              <w:ind w:right="138"/>
              <w:jc w:val="right"/>
              <w:rPr>
                <w:rFonts w:cs="Arial"/>
                <w:b/>
                <w:spacing w:val="-2"/>
              </w:rPr>
            </w:pPr>
            <w:r>
              <w:rPr>
                <w:rFonts w:cs="Arial"/>
                <w:b/>
                <w:spacing w:val="-2"/>
              </w:rPr>
              <w:t>30/12/</w:t>
            </w:r>
            <w:r w:rsidR="00BE74C5" w:rsidRPr="003114B6">
              <w:rPr>
                <w:rFonts w:cs="Arial"/>
                <w:b/>
                <w:spacing w:val="-2"/>
              </w:rPr>
              <w:t>20</w:t>
            </w:r>
            <w:r w:rsidR="00EB1DEB" w:rsidRPr="003114B6">
              <w:rPr>
                <w:rFonts w:cs="Arial"/>
                <w:b/>
                <w:spacing w:val="-2"/>
              </w:rPr>
              <w:t>2</w:t>
            </w:r>
            <w:r w:rsidR="003114B6" w:rsidRPr="003114B6">
              <w:rPr>
                <w:rFonts w:cs="Arial"/>
                <w:b/>
                <w:spacing w:val="-2"/>
              </w:rPr>
              <w:t>3</w:t>
            </w:r>
          </w:p>
        </w:tc>
        <w:tc>
          <w:tcPr>
            <w:tcW w:w="1418" w:type="dxa"/>
            <w:tcBorders>
              <w:top w:val="nil"/>
              <w:left w:val="nil"/>
              <w:bottom w:val="nil"/>
              <w:right w:val="nil"/>
            </w:tcBorders>
          </w:tcPr>
          <w:p w14:paraId="4FA779E4" w14:textId="77777777" w:rsidR="00BE74C5" w:rsidRPr="003114B6" w:rsidRDefault="000A5878" w:rsidP="00BE74C5">
            <w:pPr>
              <w:suppressAutoHyphens/>
              <w:ind w:right="138"/>
              <w:jc w:val="right"/>
              <w:rPr>
                <w:rFonts w:cs="Arial"/>
                <w:b/>
                <w:spacing w:val="-2"/>
              </w:rPr>
            </w:pPr>
            <w:r>
              <w:rPr>
                <w:rFonts w:cs="Arial"/>
                <w:b/>
                <w:spacing w:val="-2"/>
              </w:rPr>
              <w:t>28/12/</w:t>
            </w:r>
            <w:r w:rsidR="00BE74C5" w:rsidRPr="003114B6">
              <w:rPr>
                <w:rFonts w:cs="Arial"/>
                <w:b/>
                <w:spacing w:val="-2"/>
              </w:rPr>
              <w:t>20</w:t>
            </w:r>
            <w:r w:rsidR="00C46DCD" w:rsidRPr="003114B6">
              <w:rPr>
                <w:rFonts w:cs="Arial"/>
                <w:b/>
                <w:spacing w:val="-2"/>
              </w:rPr>
              <w:t>2</w:t>
            </w:r>
            <w:r w:rsidR="003114B6" w:rsidRPr="003114B6">
              <w:rPr>
                <w:rFonts w:cs="Arial"/>
                <w:b/>
                <w:spacing w:val="-2"/>
              </w:rPr>
              <w:t>4</w:t>
            </w:r>
          </w:p>
        </w:tc>
        <w:tc>
          <w:tcPr>
            <w:tcW w:w="1417" w:type="dxa"/>
            <w:tcBorders>
              <w:top w:val="nil"/>
              <w:left w:val="nil"/>
              <w:bottom w:val="nil"/>
              <w:right w:val="nil"/>
            </w:tcBorders>
          </w:tcPr>
          <w:p w14:paraId="66FBEEBA" w14:textId="77777777" w:rsidR="00BE74C5" w:rsidRPr="003114B6" w:rsidRDefault="000A5878" w:rsidP="00BE74C5">
            <w:pPr>
              <w:suppressAutoHyphens/>
              <w:ind w:right="138"/>
              <w:jc w:val="right"/>
              <w:rPr>
                <w:rFonts w:cs="Arial"/>
                <w:b/>
                <w:spacing w:val="-2"/>
              </w:rPr>
            </w:pPr>
            <w:r>
              <w:rPr>
                <w:rFonts w:cs="Arial"/>
                <w:b/>
                <w:spacing w:val="-2"/>
              </w:rPr>
              <w:t>30/12/</w:t>
            </w:r>
            <w:r w:rsidR="00BE74C5" w:rsidRPr="003114B6">
              <w:rPr>
                <w:rFonts w:cs="Arial"/>
                <w:b/>
                <w:spacing w:val="-2"/>
              </w:rPr>
              <w:t>20</w:t>
            </w:r>
            <w:r w:rsidR="00EB1DEB" w:rsidRPr="003114B6">
              <w:rPr>
                <w:rFonts w:cs="Arial"/>
                <w:b/>
                <w:spacing w:val="-2"/>
              </w:rPr>
              <w:t>2</w:t>
            </w:r>
            <w:r w:rsidR="003114B6" w:rsidRPr="003114B6">
              <w:rPr>
                <w:rFonts w:cs="Arial"/>
                <w:b/>
                <w:spacing w:val="-2"/>
              </w:rPr>
              <w:t>3</w:t>
            </w:r>
          </w:p>
        </w:tc>
      </w:tr>
      <w:tr w:rsidR="00BE74C5" w:rsidRPr="00C328EF" w14:paraId="7ECF6F10" w14:textId="77777777" w:rsidTr="00625C11">
        <w:tc>
          <w:tcPr>
            <w:tcW w:w="4678" w:type="dxa"/>
            <w:tcBorders>
              <w:top w:val="nil"/>
              <w:left w:val="nil"/>
              <w:bottom w:val="nil"/>
              <w:right w:val="nil"/>
            </w:tcBorders>
          </w:tcPr>
          <w:p w14:paraId="726B6F19" w14:textId="77777777" w:rsidR="00BE74C5" w:rsidRPr="003114B6" w:rsidRDefault="00BE74C5" w:rsidP="00BE74C5">
            <w:pPr>
              <w:ind w:left="588"/>
              <w:jc w:val="both"/>
            </w:pPr>
            <w:r w:rsidRPr="003114B6">
              <w:t xml:space="preserve">  </w:t>
            </w:r>
          </w:p>
        </w:tc>
        <w:tc>
          <w:tcPr>
            <w:tcW w:w="1418" w:type="dxa"/>
            <w:tcBorders>
              <w:top w:val="nil"/>
              <w:left w:val="nil"/>
              <w:bottom w:val="nil"/>
              <w:right w:val="nil"/>
            </w:tcBorders>
          </w:tcPr>
          <w:p w14:paraId="1E91F657" w14:textId="77777777" w:rsidR="00BE74C5" w:rsidRPr="003114B6" w:rsidRDefault="00BE74C5" w:rsidP="00BE74C5">
            <w:pPr>
              <w:suppressAutoHyphens/>
              <w:ind w:right="138"/>
              <w:jc w:val="right"/>
              <w:rPr>
                <w:rFonts w:cs="Arial"/>
                <w:b/>
                <w:spacing w:val="-2"/>
              </w:rPr>
            </w:pPr>
            <w:r w:rsidRPr="003114B6">
              <w:rPr>
                <w:rFonts w:cs="Arial"/>
                <w:b/>
                <w:spacing w:val="-2"/>
              </w:rPr>
              <w:t>£’000</w:t>
            </w:r>
          </w:p>
        </w:tc>
        <w:tc>
          <w:tcPr>
            <w:tcW w:w="1417" w:type="dxa"/>
            <w:tcBorders>
              <w:top w:val="nil"/>
              <w:left w:val="nil"/>
              <w:bottom w:val="nil"/>
              <w:right w:val="nil"/>
            </w:tcBorders>
          </w:tcPr>
          <w:p w14:paraId="60A41C94" w14:textId="77777777" w:rsidR="00BE74C5" w:rsidRPr="003114B6" w:rsidRDefault="00BE74C5" w:rsidP="00BE74C5">
            <w:pPr>
              <w:suppressAutoHyphens/>
              <w:ind w:right="138"/>
              <w:jc w:val="right"/>
              <w:rPr>
                <w:rFonts w:cs="Arial"/>
                <w:b/>
                <w:spacing w:val="-2"/>
              </w:rPr>
            </w:pPr>
            <w:r w:rsidRPr="003114B6">
              <w:rPr>
                <w:rFonts w:cs="Arial"/>
                <w:b/>
                <w:spacing w:val="-2"/>
              </w:rPr>
              <w:t>£’000</w:t>
            </w:r>
          </w:p>
        </w:tc>
        <w:tc>
          <w:tcPr>
            <w:tcW w:w="1418" w:type="dxa"/>
            <w:tcBorders>
              <w:top w:val="nil"/>
              <w:left w:val="nil"/>
              <w:bottom w:val="nil"/>
              <w:right w:val="nil"/>
            </w:tcBorders>
          </w:tcPr>
          <w:p w14:paraId="12E943B8" w14:textId="77777777" w:rsidR="00BE74C5" w:rsidRPr="003114B6" w:rsidRDefault="00BE74C5" w:rsidP="00BE74C5">
            <w:pPr>
              <w:suppressAutoHyphens/>
              <w:ind w:right="138"/>
              <w:jc w:val="right"/>
              <w:rPr>
                <w:rFonts w:cs="Arial"/>
                <w:b/>
                <w:spacing w:val="-2"/>
              </w:rPr>
            </w:pPr>
            <w:r w:rsidRPr="003114B6">
              <w:rPr>
                <w:rFonts w:cs="Arial"/>
                <w:b/>
                <w:spacing w:val="-2"/>
              </w:rPr>
              <w:t>£’000</w:t>
            </w:r>
          </w:p>
        </w:tc>
        <w:tc>
          <w:tcPr>
            <w:tcW w:w="1417" w:type="dxa"/>
            <w:tcBorders>
              <w:top w:val="nil"/>
              <w:left w:val="nil"/>
              <w:bottom w:val="nil"/>
              <w:right w:val="nil"/>
            </w:tcBorders>
          </w:tcPr>
          <w:p w14:paraId="19D7972E" w14:textId="77777777" w:rsidR="00BE74C5" w:rsidRPr="003114B6" w:rsidRDefault="00BE74C5" w:rsidP="00BE74C5">
            <w:pPr>
              <w:suppressAutoHyphens/>
              <w:ind w:right="138"/>
              <w:jc w:val="right"/>
              <w:rPr>
                <w:rFonts w:cs="Arial"/>
                <w:b/>
                <w:spacing w:val="-2"/>
              </w:rPr>
            </w:pPr>
            <w:r w:rsidRPr="003114B6">
              <w:rPr>
                <w:rFonts w:cs="Arial"/>
                <w:b/>
                <w:spacing w:val="-2"/>
              </w:rPr>
              <w:t>£’000</w:t>
            </w:r>
          </w:p>
        </w:tc>
      </w:tr>
      <w:tr w:rsidR="00BE74C5" w:rsidRPr="00C328EF" w14:paraId="4C142702" w14:textId="77777777" w:rsidTr="00625C11">
        <w:tc>
          <w:tcPr>
            <w:tcW w:w="4678" w:type="dxa"/>
            <w:tcBorders>
              <w:top w:val="nil"/>
              <w:left w:val="nil"/>
              <w:bottom w:val="nil"/>
              <w:right w:val="nil"/>
            </w:tcBorders>
          </w:tcPr>
          <w:p w14:paraId="76E4B138" w14:textId="77777777" w:rsidR="00BE74C5" w:rsidRPr="00C328EF" w:rsidRDefault="00BE74C5" w:rsidP="00BE74C5">
            <w:pPr>
              <w:ind w:left="588"/>
              <w:jc w:val="both"/>
              <w:rPr>
                <w:highlight w:val="yellow"/>
              </w:rPr>
            </w:pPr>
          </w:p>
        </w:tc>
        <w:tc>
          <w:tcPr>
            <w:tcW w:w="1418" w:type="dxa"/>
            <w:tcBorders>
              <w:top w:val="nil"/>
              <w:left w:val="nil"/>
              <w:bottom w:val="nil"/>
              <w:right w:val="nil"/>
            </w:tcBorders>
          </w:tcPr>
          <w:p w14:paraId="3E6FADA6" w14:textId="77777777" w:rsidR="00BE74C5" w:rsidRPr="00C328EF" w:rsidRDefault="00BE74C5" w:rsidP="00BE74C5">
            <w:pPr>
              <w:suppressAutoHyphens/>
              <w:ind w:right="138"/>
              <w:jc w:val="right"/>
              <w:rPr>
                <w:rFonts w:cs="Arial"/>
                <w:spacing w:val="-2"/>
                <w:highlight w:val="yellow"/>
              </w:rPr>
            </w:pPr>
          </w:p>
        </w:tc>
        <w:tc>
          <w:tcPr>
            <w:tcW w:w="1417" w:type="dxa"/>
            <w:tcBorders>
              <w:top w:val="nil"/>
              <w:left w:val="nil"/>
              <w:bottom w:val="nil"/>
              <w:right w:val="nil"/>
            </w:tcBorders>
          </w:tcPr>
          <w:p w14:paraId="5D65A054" w14:textId="77777777" w:rsidR="00BE74C5" w:rsidRPr="00C328EF" w:rsidRDefault="00BE74C5" w:rsidP="00BE74C5">
            <w:pPr>
              <w:suppressAutoHyphens/>
              <w:ind w:right="138"/>
              <w:jc w:val="right"/>
              <w:rPr>
                <w:rFonts w:cs="Arial"/>
                <w:spacing w:val="-2"/>
                <w:highlight w:val="yellow"/>
              </w:rPr>
            </w:pPr>
          </w:p>
        </w:tc>
        <w:tc>
          <w:tcPr>
            <w:tcW w:w="1418" w:type="dxa"/>
            <w:tcBorders>
              <w:top w:val="nil"/>
              <w:left w:val="nil"/>
              <w:bottom w:val="nil"/>
              <w:right w:val="nil"/>
            </w:tcBorders>
          </w:tcPr>
          <w:p w14:paraId="1EC4AD5B" w14:textId="77777777" w:rsidR="00BE74C5" w:rsidRPr="00C328EF" w:rsidRDefault="00BE74C5" w:rsidP="00BE74C5">
            <w:pPr>
              <w:suppressAutoHyphens/>
              <w:ind w:right="138"/>
              <w:jc w:val="right"/>
              <w:rPr>
                <w:rFonts w:cs="Arial"/>
                <w:spacing w:val="-2"/>
                <w:highlight w:val="yellow"/>
              </w:rPr>
            </w:pPr>
          </w:p>
        </w:tc>
        <w:tc>
          <w:tcPr>
            <w:tcW w:w="1417" w:type="dxa"/>
            <w:tcBorders>
              <w:top w:val="nil"/>
              <w:left w:val="nil"/>
              <w:bottom w:val="nil"/>
              <w:right w:val="nil"/>
            </w:tcBorders>
          </w:tcPr>
          <w:p w14:paraId="7A3B32AE" w14:textId="77777777" w:rsidR="00BE74C5" w:rsidRPr="00C328EF" w:rsidRDefault="00BE74C5" w:rsidP="00BE74C5">
            <w:pPr>
              <w:suppressAutoHyphens/>
              <w:ind w:right="138"/>
              <w:jc w:val="right"/>
              <w:rPr>
                <w:rFonts w:cs="Arial"/>
                <w:spacing w:val="-2"/>
                <w:highlight w:val="yellow"/>
              </w:rPr>
            </w:pPr>
          </w:p>
        </w:tc>
      </w:tr>
      <w:tr w:rsidR="003114B6" w:rsidRPr="00C328EF" w14:paraId="2A88B97E" w14:textId="77777777" w:rsidTr="00625C11">
        <w:tc>
          <w:tcPr>
            <w:tcW w:w="4678" w:type="dxa"/>
            <w:tcBorders>
              <w:top w:val="nil"/>
              <w:left w:val="nil"/>
              <w:bottom w:val="nil"/>
              <w:right w:val="nil"/>
            </w:tcBorders>
          </w:tcPr>
          <w:p w14:paraId="3C2963D9" w14:textId="77777777" w:rsidR="003114B6" w:rsidRPr="003114B6" w:rsidRDefault="003114B6" w:rsidP="003114B6">
            <w:pPr>
              <w:ind w:left="588"/>
              <w:jc w:val="both"/>
            </w:pPr>
            <w:r w:rsidRPr="003114B6">
              <w:t xml:space="preserve">  At the beginning of the </w:t>
            </w:r>
            <w:r w:rsidR="00110FEE">
              <w:t>period</w:t>
            </w:r>
          </w:p>
        </w:tc>
        <w:tc>
          <w:tcPr>
            <w:tcW w:w="1418" w:type="dxa"/>
            <w:tcBorders>
              <w:top w:val="nil"/>
              <w:left w:val="nil"/>
              <w:bottom w:val="nil"/>
              <w:right w:val="nil"/>
            </w:tcBorders>
          </w:tcPr>
          <w:p w14:paraId="1AE859CB" w14:textId="77777777" w:rsidR="003114B6" w:rsidRPr="003114B6" w:rsidRDefault="003114B6" w:rsidP="003114B6">
            <w:pPr>
              <w:suppressAutoHyphens/>
              <w:ind w:right="138"/>
              <w:jc w:val="right"/>
              <w:rPr>
                <w:rFonts w:cs="Arial"/>
                <w:spacing w:val="-2"/>
              </w:rPr>
            </w:pPr>
            <w:r w:rsidRPr="003114B6">
              <w:rPr>
                <w:rFonts w:cs="Arial"/>
                <w:spacing w:val="-2"/>
              </w:rPr>
              <w:t>1,121</w:t>
            </w:r>
          </w:p>
        </w:tc>
        <w:tc>
          <w:tcPr>
            <w:tcW w:w="1417" w:type="dxa"/>
            <w:tcBorders>
              <w:top w:val="nil"/>
              <w:left w:val="nil"/>
              <w:bottom w:val="nil"/>
              <w:right w:val="nil"/>
            </w:tcBorders>
          </w:tcPr>
          <w:p w14:paraId="5EC9920B" w14:textId="77777777" w:rsidR="003114B6" w:rsidRPr="003114B6" w:rsidRDefault="003114B6" w:rsidP="003114B6">
            <w:pPr>
              <w:suppressAutoHyphens/>
              <w:ind w:right="138"/>
              <w:jc w:val="right"/>
              <w:rPr>
                <w:rFonts w:cs="Arial"/>
                <w:spacing w:val="-2"/>
              </w:rPr>
            </w:pPr>
            <w:r w:rsidRPr="003114B6">
              <w:rPr>
                <w:rFonts w:cs="Arial"/>
                <w:spacing w:val="-2"/>
              </w:rPr>
              <w:t>1,080</w:t>
            </w:r>
          </w:p>
        </w:tc>
        <w:tc>
          <w:tcPr>
            <w:tcW w:w="1418" w:type="dxa"/>
            <w:tcBorders>
              <w:top w:val="nil"/>
              <w:left w:val="nil"/>
              <w:bottom w:val="nil"/>
              <w:right w:val="nil"/>
            </w:tcBorders>
          </w:tcPr>
          <w:p w14:paraId="75F48CE7"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41CE831D" w14:textId="77777777" w:rsidR="003114B6" w:rsidRPr="003114B6" w:rsidRDefault="003114B6" w:rsidP="003114B6">
            <w:pPr>
              <w:suppressAutoHyphens/>
              <w:ind w:right="138"/>
              <w:jc w:val="right"/>
              <w:rPr>
                <w:rFonts w:cs="Arial"/>
                <w:spacing w:val="-2"/>
              </w:rPr>
            </w:pPr>
            <w:r w:rsidRPr="003114B6">
              <w:rPr>
                <w:rFonts w:cs="Arial"/>
                <w:spacing w:val="-2"/>
              </w:rPr>
              <w:t>-</w:t>
            </w:r>
          </w:p>
        </w:tc>
      </w:tr>
      <w:tr w:rsidR="003114B6" w:rsidRPr="00C328EF" w14:paraId="287D91E1" w14:textId="77777777" w:rsidTr="00625C11">
        <w:tc>
          <w:tcPr>
            <w:tcW w:w="4678" w:type="dxa"/>
            <w:tcBorders>
              <w:top w:val="nil"/>
              <w:left w:val="nil"/>
              <w:bottom w:val="nil"/>
              <w:right w:val="nil"/>
            </w:tcBorders>
          </w:tcPr>
          <w:p w14:paraId="5A40D4F6" w14:textId="77777777" w:rsidR="003114B6" w:rsidRPr="003114B6" w:rsidRDefault="003114B6" w:rsidP="003114B6">
            <w:pPr>
              <w:ind w:left="588"/>
              <w:jc w:val="both"/>
            </w:pPr>
            <w:r w:rsidRPr="003114B6">
              <w:t xml:space="preserve">  Charge for the </w:t>
            </w:r>
            <w:r w:rsidR="00110FEE">
              <w:t>period</w:t>
            </w:r>
          </w:p>
        </w:tc>
        <w:tc>
          <w:tcPr>
            <w:tcW w:w="1418" w:type="dxa"/>
            <w:tcBorders>
              <w:top w:val="nil"/>
              <w:left w:val="nil"/>
              <w:bottom w:val="nil"/>
              <w:right w:val="nil"/>
            </w:tcBorders>
          </w:tcPr>
          <w:p w14:paraId="0436D86F" w14:textId="77777777" w:rsidR="003114B6" w:rsidRPr="003114B6" w:rsidRDefault="003114B6" w:rsidP="003114B6">
            <w:pPr>
              <w:suppressAutoHyphens/>
              <w:ind w:right="138"/>
              <w:jc w:val="right"/>
              <w:rPr>
                <w:rFonts w:cs="Arial"/>
                <w:spacing w:val="-2"/>
              </w:rPr>
            </w:pPr>
            <w:r w:rsidRPr="003114B6">
              <w:rPr>
                <w:rFonts w:cs="Arial"/>
                <w:spacing w:val="-2"/>
              </w:rPr>
              <w:t>1,889</w:t>
            </w:r>
          </w:p>
        </w:tc>
        <w:tc>
          <w:tcPr>
            <w:tcW w:w="1417" w:type="dxa"/>
            <w:tcBorders>
              <w:top w:val="nil"/>
              <w:left w:val="nil"/>
              <w:bottom w:val="nil"/>
              <w:right w:val="nil"/>
            </w:tcBorders>
          </w:tcPr>
          <w:p w14:paraId="4719BF7D" w14:textId="77777777" w:rsidR="003114B6" w:rsidRPr="003114B6" w:rsidRDefault="003114B6" w:rsidP="003114B6">
            <w:pPr>
              <w:suppressAutoHyphens/>
              <w:ind w:right="138"/>
              <w:jc w:val="right"/>
              <w:rPr>
                <w:rFonts w:cs="Arial"/>
                <w:spacing w:val="-2"/>
              </w:rPr>
            </w:pPr>
            <w:r w:rsidRPr="003114B6">
              <w:rPr>
                <w:rFonts w:cs="Arial"/>
                <w:spacing w:val="-2"/>
              </w:rPr>
              <w:t>1,443</w:t>
            </w:r>
          </w:p>
        </w:tc>
        <w:tc>
          <w:tcPr>
            <w:tcW w:w="1418" w:type="dxa"/>
            <w:tcBorders>
              <w:top w:val="nil"/>
              <w:left w:val="nil"/>
              <w:bottom w:val="nil"/>
              <w:right w:val="nil"/>
            </w:tcBorders>
          </w:tcPr>
          <w:p w14:paraId="41D3FBD9"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7C717AB6" w14:textId="77777777" w:rsidR="003114B6" w:rsidRPr="003114B6" w:rsidRDefault="003114B6" w:rsidP="003114B6">
            <w:pPr>
              <w:suppressAutoHyphens/>
              <w:ind w:right="138"/>
              <w:jc w:val="right"/>
              <w:rPr>
                <w:rFonts w:cs="Arial"/>
                <w:spacing w:val="-2"/>
              </w:rPr>
            </w:pPr>
            <w:r w:rsidRPr="003114B6">
              <w:rPr>
                <w:rFonts w:cs="Arial"/>
                <w:spacing w:val="-2"/>
              </w:rPr>
              <w:t>-</w:t>
            </w:r>
          </w:p>
        </w:tc>
      </w:tr>
      <w:tr w:rsidR="003114B6" w:rsidRPr="00C328EF" w14:paraId="15E6FD9F" w14:textId="77777777" w:rsidTr="00625C11">
        <w:tc>
          <w:tcPr>
            <w:tcW w:w="4678" w:type="dxa"/>
            <w:tcBorders>
              <w:top w:val="nil"/>
              <w:left w:val="nil"/>
              <w:bottom w:val="nil"/>
              <w:right w:val="nil"/>
            </w:tcBorders>
          </w:tcPr>
          <w:p w14:paraId="74521EA8" w14:textId="77777777" w:rsidR="003114B6" w:rsidRPr="003114B6" w:rsidRDefault="003114B6" w:rsidP="003114B6">
            <w:pPr>
              <w:ind w:left="588"/>
              <w:jc w:val="both"/>
            </w:pPr>
            <w:r w:rsidRPr="003114B6">
              <w:t xml:space="preserve">  Paid during the </w:t>
            </w:r>
            <w:r w:rsidR="00110FEE">
              <w:t>period</w:t>
            </w:r>
          </w:p>
        </w:tc>
        <w:tc>
          <w:tcPr>
            <w:tcW w:w="1418" w:type="dxa"/>
            <w:tcBorders>
              <w:top w:val="nil"/>
              <w:left w:val="nil"/>
              <w:bottom w:val="nil"/>
              <w:right w:val="nil"/>
            </w:tcBorders>
          </w:tcPr>
          <w:p w14:paraId="0D6EFC89" w14:textId="77777777" w:rsidR="003114B6" w:rsidRPr="003114B6" w:rsidRDefault="003114B6" w:rsidP="003114B6">
            <w:pPr>
              <w:suppressAutoHyphens/>
              <w:ind w:right="138"/>
              <w:jc w:val="right"/>
              <w:rPr>
                <w:rFonts w:cs="Arial"/>
                <w:spacing w:val="-2"/>
              </w:rPr>
            </w:pPr>
            <w:r w:rsidRPr="003114B6">
              <w:rPr>
                <w:rFonts w:cs="Arial"/>
                <w:spacing w:val="-2"/>
              </w:rPr>
              <w:t>(1,586)</w:t>
            </w:r>
          </w:p>
        </w:tc>
        <w:tc>
          <w:tcPr>
            <w:tcW w:w="1417" w:type="dxa"/>
            <w:tcBorders>
              <w:top w:val="nil"/>
              <w:left w:val="nil"/>
              <w:bottom w:val="nil"/>
              <w:right w:val="nil"/>
            </w:tcBorders>
          </w:tcPr>
          <w:p w14:paraId="75DABDA7" w14:textId="77777777" w:rsidR="003114B6" w:rsidRPr="003114B6" w:rsidRDefault="003114B6" w:rsidP="003114B6">
            <w:pPr>
              <w:suppressAutoHyphens/>
              <w:ind w:right="138"/>
              <w:jc w:val="right"/>
              <w:rPr>
                <w:rFonts w:cs="Arial"/>
                <w:spacing w:val="-2"/>
              </w:rPr>
            </w:pPr>
            <w:r w:rsidRPr="003114B6">
              <w:rPr>
                <w:rFonts w:cs="Arial"/>
                <w:spacing w:val="-2"/>
              </w:rPr>
              <w:t>(1,402)</w:t>
            </w:r>
          </w:p>
        </w:tc>
        <w:tc>
          <w:tcPr>
            <w:tcW w:w="1418" w:type="dxa"/>
            <w:tcBorders>
              <w:top w:val="nil"/>
              <w:left w:val="nil"/>
              <w:bottom w:val="nil"/>
              <w:right w:val="nil"/>
            </w:tcBorders>
          </w:tcPr>
          <w:p w14:paraId="63AA9E1C"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23808E7C" w14:textId="77777777" w:rsidR="003114B6" w:rsidRPr="003114B6" w:rsidRDefault="003114B6" w:rsidP="003114B6">
            <w:pPr>
              <w:suppressAutoHyphens/>
              <w:ind w:right="138"/>
              <w:jc w:val="right"/>
              <w:rPr>
                <w:rFonts w:cs="Arial"/>
                <w:spacing w:val="-2"/>
              </w:rPr>
            </w:pPr>
            <w:r w:rsidRPr="003114B6">
              <w:rPr>
                <w:rFonts w:cs="Arial"/>
                <w:spacing w:val="-2"/>
              </w:rPr>
              <w:t>-</w:t>
            </w:r>
          </w:p>
        </w:tc>
      </w:tr>
      <w:tr w:rsidR="003114B6" w:rsidRPr="00C328EF" w14:paraId="4E6D236E" w14:textId="77777777" w:rsidTr="00625C11">
        <w:tc>
          <w:tcPr>
            <w:tcW w:w="4678" w:type="dxa"/>
            <w:tcBorders>
              <w:top w:val="nil"/>
              <w:left w:val="nil"/>
              <w:bottom w:val="nil"/>
              <w:right w:val="nil"/>
            </w:tcBorders>
          </w:tcPr>
          <w:p w14:paraId="599C76AE" w14:textId="77777777" w:rsidR="003114B6" w:rsidRPr="003114B6" w:rsidRDefault="003114B6" w:rsidP="003114B6">
            <w:pPr>
              <w:jc w:val="both"/>
            </w:pPr>
          </w:p>
        </w:tc>
        <w:tc>
          <w:tcPr>
            <w:tcW w:w="1418" w:type="dxa"/>
            <w:tcBorders>
              <w:top w:val="nil"/>
              <w:left w:val="nil"/>
              <w:bottom w:val="nil"/>
              <w:right w:val="nil"/>
            </w:tcBorders>
          </w:tcPr>
          <w:p w14:paraId="6281DAB5"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2AB0485E"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8" w:type="dxa"/>
            <w:tcBorders>
              <w:top w:val="nil"/>
              <w:left w:val="nil"/>
              <w:bottom w:val="nil"/>
              <w:right w:val="nil"/>
            </w:tcBorders>
          </w:tcPr>
          <w:p w14:paraId="47D5063B"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525CD53B" w14:textId="77777777" w:rsidR="003114B6" w:rsidRPr="003114B6" w:rsidRDefault="003114B6" w:rsidP="003114B6">
            <w:pPr>
              <w:suppressAutoHyphens/>
              <w:ind w:right="138"/>
              <w:jc w:val="right"/>
              <w:rPr>
                <w:rFonts w:cs="Arial"/>
                <w:spacing w:val="-2"/>
              </w:rPr>
            </w:pPr>
            <w:r w:rsidRPr="003114B6">
              <w:rPr>
                <w:rFonts w:cs="Arial"/>
                <w:spacing w:val="-2"/>
              </w:rPr>
              <w:t>──────</w:t>
            </w:r>
          </w:p>
        </w:tc>
      </w:tr>
      <w:tr w:rsidR="003114B6" w:rsidRPr="00C328EF" w14:paraId="53409487" w14:textId="77777777" w:rsidTr="00625C11">
        <w:tc>
          <w:tcPr>
            <w:tcW w:w="4678" w:type="dxa"/>
            <w:tcBorders>
              <w:top w:val="nil"/>
              <w:left w:val="nil"/>
              <w:bottom w:val="nil"/>
              <w:right w:val="nil"/>
            </w:tcBorders>
          </w:tcPr>
          <w:p w14:paraId="4BF51B7C" w14:textId="77777777" w:rsidR="003114B6" w:rsidRPr="003114B6" w:rsidRDefault="003114B6" w:rsidP="003114B6">
            <w:pPr>
              <w:suppressAutoHyphens/>
              <w:ind w:left="624"/>
              <w:jc w:val="both"/>
              <w:rPr>
                <w:rFonts w:cs="Arial"/>
                <w:spacing w:val="-2"/>
              </w:rPr>
            </w:pPr>
            <w:r w:rsidRPr="003114B6">
              <w:t xml:space="preserve"> At end of the </w:t>
            </w:r>
            <w:r w:rsidR="00110FEE">
              <w:t>period</w:t>
            </w:r>
          </w:p>
        </w:tc>
        <w:tc>
          <w:tcPr>
            <w:tcW w:w="1418" w:type="dxa"/>
            <w:tcBorders>
              <w:top w:val="nil"/>
              <w:left w:val="nil"/>
              <w:bottom w:val="nil"/>
              <w:right w:val="nil"/>
            </w:tcBorders>
          </w:tcPr>
          <w:p w14:paraId="152C4CCD" w14:textId="77777777" w:rsidR="003114B6" w:rsidRPr="003114B6" w:rsidRDefault="003114B6" w:rsidP="003114B6">
            <w:pPr>
              <w:suppressAutoHyphens/>
              <w:ind w:right="138"/>
              <w:jc w:val="right"/>
              <w:rPr>
                <w:rFonts w:cs="Arial"/>
                <w:spacing w:val="-2"/>
              </w:rPr>
            </w:pPr>
            <w:r w:rsidRPr="003114B6">
              <w:rPr>
                <w:rFonts w:cs="Arial"/>
                <w:spacing w:val="-2"/>
              </w:rPr>
              <w:t>1,424</w:t>
            </w:r>
          </w:p>
        </w:tc>
        <w:tc>
          <w:tcPr>
            <w:tcW w:w="1417" w:type="dxa"/>
            <w:tcBorders>
              <w:top w:val="nil"/>
              <w:left w:val="nil"/>
              <w:bottom w:val="nil"/>
              <w:right w:val="nil"/>
            </w:tcBorders>
          </w:tcPr>
          <w:p w14:paraId="5F8B0566" w14:textId="77777777" w:rsidR="003114B6" w:rsidRPr="003114B6" w:rsidRDefault="003114B6" w:rsidP="003114B6">
            <w:pPr>
              <w:suppressAutoHyphens/>
              <w:ind w:right="138"/>
              <w:jc w:val="right"/>
              <w:rPr>
                <w:rFonts w:cs="Arial"/>
                <w:spacing w:val="-2"/>
              </w:rPr>
            </w:pPr>
            <w:r w:rsidRPr="003114B6">
              <w:rPr>
                <w:rFonts w:cs="Arial"/>
                <w:spacing w:val="-2"/>
              </w:rPr>
              <w:t>1,121</w:t>
            </w:r>
          </w:p>
        </w:tc>
        <w:tc>
          <w:tcPr>
            <w:tcW w:w="1418" w:type="dxa"/>
            <w:tcBorders>
              <w:top w:val="nil"/>
              <w:left w:val="nil"/>
              <w:bottom w:val="nil"/>
              <w:right w:val="nil"/>
            </w:tcBorders>
          </w:tcPr>
          <w:p w14:paraId="735B0B58"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06CF2163" w14:textId="77777777" w:rsidR="003114B6" w:rsidRPr="003114B6" w:rsidRDefault="003114B6" w:rsidP="003114B6">
            <w:pPr>
              <w:suppressAutoHyphens/>
              <w:ind w:right="138"/>
              <w:jc w:val="right"/>
              <w:rPr>
                <w:rFonts w:cs="Arial"/>
                <w:spacing w:val="-2"/>
              </w:rPr>
            </w:pPr>
            <w:r w:rsidRPr="003114B6">
              <w:rPr>
                <w:rFonts w:cs="Arial"/>
                <w:spacing w:val="-2"/>
              </w:rPr>
              <w:t>-</w:t>
            </w:r>
          </w:p>
        </w:tc>
      </w:tr>
      <w:tr w:rsidR="003114B6" w:rsidRPr="00C328EF" w14:paraId="059A6686" w14:textId="77777777" w:rsidTr="00625C11">
        <w:tc>
          <w:tcPr>
            <w:tcW w:w="4678" w:type="dxa"/>
            <w:tcBorders>
              <w:top w:val="nil"/>
              <w:left w:val="nil"/>
              <w:bottom w:val="nil"/>
              <w:right w:val="nil"/>
            </w:tcBorders>
          </w:tcPr>
          <w:p w14:paraId="6F8ED668" w14:textId="77777777" w:rsidR="003114B6" w:rsidRPr="003114B6" w:rsidRDefault="003114B6" w:rsidP="003114B6">
            <w:pPr>
              <w:suppressAutoHyphens/>
              <w:rPr>
                <w:rFonts w:cs="Arial"/>
                <w:spacing w:val="-2"/>
              </w:rPr>
            </w:pPr>
          </w:p>
        </w:tc>
        <w:tc>
          <w:tcPr>
            <w:tcW w:w="1418" w:type="dxa"/>
            <w:tcBorders>
              <w:top w:val="nil"/>
              <w:left w:val="nil"/>
              <w:bottom w:val="nil"/>
              <w:right w:val="nil"/>
            </w:tcBorders>
          </w:tcPr>
          <w:p w14:paraId="55C44C0A"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66A60A00"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8" w:type="dxa"/>
            <w:tcBorders>
              <w:top w:val="nil"/>
              <w:left w:val="nil"/>
              <w:bottom w:val="nil"/>
              <w:right w:val="nil"/>
            </w:tcBorders>
          </w:tcPr>
          <w:p w14:paraId="0ADA9132"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7E00F3EA" w14:textId="77777777" w:rsidR="003114B6" w:rsidRPr="003114B6" w:rsidRDefault="003114B6" w:rsidP="003114B6">
            <w:pPr>
              <w:suppressAutoHyphens/>
              <w:ind w:right="138"/>
              <w:jc w:val="right"/>
              <w:rPr>
                <w:rFonts w:cs="Arial"/>
                <w:spacing w:val="-2"/>
              </w:rPr>
            </w:pPr>
            <w:r w:rsidRPr="003114B6">
              <w:rPr>
                <w:rFonts w:cs="Arial"/>
                <w:spacing w:val="-2"/>
              </w:rPr>
              <w:t>══════</w:t>
            </w:r>
          </w:p>
        </w:tc>
      </w:tr>
    </w:tbl>
    <w:p w14:paraId="0F5BE8BE" w14:textId="77777777" w:rsidR="00902367" w:rsidRPr="003114B6" w:rsidRDefault="00E2502F" w:rsidP="00977682">
      <w:pPr>
        <w:ind w:left="57" w:firstLine="510"/>
        <w:rPr>
          <w:b/>
        </w:rPr>
      </w:pPr>
      <w:r w:rsidRPr="003114B6">
        <w:rPr>
          <w:b/>
        </w:rPr>
        <w:t>Claims</w:t>
      </w:r>
    </w:p>
    <w:p w14:paraId="53FC6E21" w14:textId="77777777" w:rsidR="00B95F61" w:rsidRPr="003114B6" w:rsidRDefault="00E2502F" w:rsidP="00977682">
      <w:pPr>
        <w:ind w:left="567"/>
        <w:jc w:val="both"/>
      </w:pPr>
      <w:r w:rsidRPr="003114B6">
        <w:t>Settlement of such claims is dependent on negotiation and, potentially, litigation with third parties,</w:t>
      </w:r>
      <w:r w:rsidR="00F206EB" w:rsidRPr="003114B6">
        <w:t xml:space="preserve"> </w:t>
      </w:r>
      <w:r w:rsidRPr="003114B6">
        <w:t>the</w:t>
      </w:r>
      <w:r w:rsidR="00F206EB" w:rsidRPr="003114B6">
        <w:t xml:space="preserve"> </w:t>
      </w:r>
      <w:r w:rsidRPr="003114B6">
        <w:t>time frame of which cannot be predicted accurately.</w:t>
      </w:r>
      <w:r w:rsidR="005461CD">
        <w:t xml:space="preserve"> </w:t>
      </w:r>
      <w:r w:rsidR="00B95F61" w:rsidRPr="003114B6">
        <w:rPr>
          <w:rFonts w:cs="Arial"/>
          <w:spacing w:val="-2"/>
        </w:rPr>
        <w:t xml:space="preserve">Edinburgh Trams </w:t>
      </w:r>
      <w:r w:rsidR="008E0FA6" w:rsidRPr="003114B6">
        <w:rPr>
          <w:rFonts w:cs="Arial"/>
          <w:spacing w:val="-2"/>
        </w:rPr>
        <w:t xml:space="preserve">Limited’s </w:t>
      </w:r>
      <w:r w:rsidR="00B95F61" w:rsidRPr="003114B6">
        <w:rPr>
          <w:rFonts w:cs="Arial"/>
          <w:spacing w:val="-2"/>
        </w:rPr>
        <w:t>liability exposure is limited to £120,000 in any given calendar year</w:t>
      </w:r>
      <w:r w:rsidR="00522882" w:rsidRPr="003114B6">
        <w:rPr>
          <w:rFonts w:cs="Arial"/>
          <w:spacing w:val="-2"/>
        </w:rPr>
        <w:t xml:space="preserve">. </w:t>
      </w:r>
      <w:r w:rsidR="00EC66B7" w:rsidRPr="003114B6">
        <w:t xml:space="preserve">Under the terms of the Operating Agreement between CEC and </w:t>
      </w:r>
      <w:r w:rsidR="00EC66B7" w:rsidRPr="003114B6">
        <w:rPr>
          <w:rFonts w:cs="Arial"/>
          <w:spacing w:val="-2"/>
        </w:rPr>
        <w:t>Edinburgh Trams</w:t>
      </w:r>
      <w:r w:rsidR="00EC66B7" w:rsidRPr="003114B6">
        <w:t xml:space="preserve"> the latter is required to reimburse the former up to a maximum of £120,000 per annum in respect of claims within all policy excesses. This will include any claims for injury to cyclists where the cause of the injury is a result of negligence on the part of </w:t>
      </w:r>
      <w:r w:rsidR="00EC66B7" w:rsidRPr="003114B6">
        <w:rPr>
          <w:rFonts w:cs="Arial"/>
          <w:spacing w:val="-2"/>
        </w:rPr>
        <w:t>Edinburgh Trams</w:t>
      </w:r>
      <w:r w:rsidR="002E28B9" w:rsidRPr="003114B6">
        <w:rPr>
          <w:rFonts w:cs="Arial"/>
          <w:spacing w:val="-2"/>
        </w:rPr>
        <w:t xml:space="preserve"> Limited only</w:t>
      </w:r>
      <w:r w:rsidR="00EC66B7" w:rsidRPr="003114B6">
        <w:t>.</w:t>
      </w:r>
    </w:p>
    <w:p w14:paraId="1619CF2B" w14:textId="77777777" w:rsidR="001955A8" w:rsidRPr="00977682" w:rsidRDefault="001955A8" w:rsidP="004D2CDD">
      <w:pPr>
        <w:tabs>
          <w:tab w:val="left" w:pos="567"/>
        </w:tabs>
      </w:pPr>
    </w:p>
    <w:p w14:paraId="772D5CAA" w14:textId="77777777" w:rsidR="004D2CDD" w:rsidRPr="00977682" w:rsidRDefault="00E63803" w:rsidP="00A5227C">
      <w:pPr>
        <w:numPr>
          <w:ilvl w:val="0"/>
          <w:numId w:val="40"/>
        </w:numPr>
        <w:tabs>
          <w:tab w:val="num" w:pos="546"/>
        </w:tabs>
        <w:ind w:left="360"/>
        <w:rPr>
          <w:b/>
        </w:rPr>
      </w:pPr>
      <w:r w:rsidRPr="00977682">
        <w:rPr>
          <w:b/>
        </w:rPr>
        <w:t xml:space="preserve">Share </w:t>
      </w:r>
      <w:r w:rsidR="00D0070A" w:rsidRPr="00977682">
        <w:rPr>
          <w:b/>
        </w:rPr>
        <w:t>c</w:t>
      </w:r>
      <w:r w:rsidRPr="00977682">
        <w:rPr>
          <w:b/>
        </w:rPr>
        <w:t>apital</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418"/>
        <w:gridCol w:w="1417"/>
        <w:gridCol w:w="1418"/>
        <w:gridCol w:w="1417"/>
      </w:tblGrid>
      <w:tr w:rsidR="00EB3062" w:rsidRPr="00977682" w14:paraId="15050583" w14:textId="77777777" w:rsidTr="00625C11">
        <w:tc>
          <w:tcPr>
            <w:tcW w:w="4678" w:type="dxa"/>
            <w:tcBorders>
              <w:top w:val="nil"/>
              <w:left w:val="nil"/>
              <w:bottom w:val="nil"/>
              <w:right w:val="nil"/>
            </w:tcBorders>
          </w:tcPr>
          <w:p w14:paraId="2248E0DE" w14:textId="77777777" w:rsidR="00EB3062" w:rsidRPr="00977682" w:rsidRDefault="00EB3062" w:rsidP="00C003D0">
            <w:pPr>
              <w:suppressAutoHyphens/>
              <w:rPr>
                <w:rFonts w:cs="Arial"/>
                <w:spacing w:val="-2"/>
              </w:rPr>
            </w:pPr>
          </w:p>
        </w:tc>
        <w:tc>
          <w:tcPr>
            <w:tcW w:w="2835" w:type="dxa"/>
            <w:gridSpan w:val="2"/>
            <w:tcBorders>
              <w:top w:val="nil"/>
              <w:left w:val="nil"/>
              <w:bottom w:val="nil"/>
              <w:right w:val="nil"/>
            </w:tcBorders>
          </w:tcPr>
          <w:p w14:paraId="60E768E8" w14:textId="77777777" w:rsidR="00EB3062" w:rsidRPr="00977682" w:rsidRDefault="00EB3062" w:rsidP="00A138AC">
            <w:pPr>
              <w:ind w:left="282"/>
              <w:jc w:val="center"/>
              <w:rPr>
                <w:b/>
              </w:rPr>
            </w:pPr>
            <w:r w:rsidRPr="00977682">
              <w:rPr>
                <w:b/>
              </w:rPr>
              <w:t>Consolidated Group</w:t>
            </w:r>
          </w:p>
        </w:tc>
        <w:tc>
          <w:tcPr>
            <w:tcW w:w="2835" w:type="dxa"/>
            <w:gridSpan w:val="2"/>
            <w:tcBorders>
              <w:top w:val="nil"/>
              <w:left w:val="nil"/>
              <w:bottom w:val="nil"/>
              <w:right w:val="nil"/>
            </w:tcBorders>
          </w:tcPr>
          <w:p w14:paraId="28B07854" w14:textId="77777777" w:rsidR="00EB3062" w:rsidRPr="00977682" w:rsidRDefault="00EB3062" w:rsidP="00A138AC">
            <w:pPr>
              <w:ind w:left="238"/>
              <w:jc w:val="center"/>
              <w:rPr>
                <w:b/>
              </w:rPr>
            </w:pPr>
            <w:r w:rsidRPr="00977682">
              <w:rPr>
                <w:b/>
              </w:rPr>
              <w:t>Parent Entity</w:t>
            </w:r>
          </w:p>
        </w:tc>
      </w:tr>
      <w:tr w:rsidR="00BE74C5" w:rsidRPr="00C328EF" w14:paraId="69999377" w14:textId="77777777" w:rsidTr="00625C11">
        <w:tc>
          <w:tcPr>
            <w:tcW w:w="4678" w:type="dxa"/>
            <w:tcBorders>
              <w:top w:val="nil"/>
              <w:left w:val="nil"/>
              <w:bottom w:val="nil"/>
              <w:right w:val="nil"/>
            </w:tcBorders>
          </w:tcPr>
          <w:p w14:paraId="7CB121A4" w14:textId="77777777" w:rsidR="00BE74C5" w:rsidRPr="003114B6" w:rsidRDefault="00BE74C5" w:rsidP="00BE74C5">
            <w:pPr>
              <w:suppressAutoHyphens/>
              <w:rPr>
                <w:rFonts w:cs="Arial"/>
                <w:spacing w:val="-2"/>
              </w:rPr>
            </w:pPr>
          </w:p>
        </w:tc>
        <w:tc>
          <w:tcPr>
            <w:tcW w:w="1418" w:type="dxa"/>
            <w:tcBorders>
              <w:top w:val="nil"/>
              <w:left w:val="nil"/>
              <w:bottom w:val="nil"/>
              <w:right w:val="nil"/>
            </w:tcBorders>
          </w:tcPr>
          <w:p w14:paraId="3264937B" w14:textId="77777777" w:rsidR="00BE74C5" w:rsidRPr="003114B6" w:rsidRDefault="000A5878" w:rsidP="00BE74C5">
            <w:pPr>
              <w:suppressAutoHyphens/>
              <w:ind w:right="138"/>
              <w:jc w:val="right"/>
              <w:rPr>
                <w:rFonts w:cs="Arial"/>
                <w:b/>
                <w:spacing w:val="-2"/>
              </w:rPr>
            </w:pPr>
            <w:r>
              <w:rPr>
                <w:rFonts w:cs="Arial"/>
                <w:b/>
                <w:spacing w:val="-2"/>
              </w:rPr>
              <w:t>28/12/</w:t>
            </w:r>
            <w:r w:rsidR="00BE74C5" w:rsidRPr="003114B6">
              <w:rPr>
                <w:rFonts w:cs="Arial"/>
                <w:b/>
                <w:spacing w:val="-2"/>
              </w:rPr>
              <w:t>20</w:t>
            </w:r>
            <w:r w:rsidR="00C46DCD" w:rsidRPr="003114B6">
              <w:rPr>
                <w:rFonts w:cs="Arial"/>
                <w:b/>
                <w:spacing w:val="-2"/>
              </w:rPr>
              <w:t>2</w:t>
            </w:r>
            <w:r w:rsidR="003114B6" w:rsidRPr="003114B6">
              <w:rPr>
                <w:rFonts w:cs="Arial"/>
                <w:b/>
                <w:spacing w:val="-2"/>
              </w:rPr>
              <w:t>4</w:t>
            </w:r>
          </w:p>
        </w:tc>
        <w:tc>
          <w:tcPr>
            <w:tcW w:w="1417" w:type="dxa"/>
            <w:tcBorders>
              <w:top w:val="nil"/>
              <w:left w:val="nil"/>
              <w:bottom w:val="nil"/>
              <w:right w:val="nil"/>
            </w:tcBorders>
          </w:tcPr>
          <w:p w14:paraId="577A95BF" w14:textId="77777777" w:rsidR="00BE74C5" w:rsidRPr="003114B6" w:rsidRDefault="000A5878" w:rsidP="00BE74C5">
            <w:pPr>
              <w:suppressAutoHyphens/>
              <w:ind w:right="138"/>
              <w:jc w:val="right"/>
              <w:rPr>
                <w:rFonts w:cs="Arial"/>
                <w:b/>
                <w:spacing w:val="-2"/>
              </w:rPr>
            </w:pPr>
            <w:r>
              <w:rPr>
                <w:rFonts w:cs="Arial"/>
                <w:b/>
                <w:spacing w:val="-2"/>
              </w:rPr>
              <w:t>30/12/</w:t>
            </w:r>
            <w:r w:rsidR="00BE74C5" w:rsidRPr="003114B6">
              <w:rPr>
                <w:rFonts w:cs="Arial"/>
                <w:b/>
                <w:spacing w:val="-2"/>
              </w:rPr>
              <w:t>20</w:t>
            </w:r>
            <w:r w:rsidR="00F06893" w:rsidRPr="003114B6">
              <w:rPr>
                <w:rFonts w:cs="Arial"/>
                <w:b/>
                <w:spacing w:val="-2"/>
              </w:rPr>
              <w:t>2</w:t>
            </w:r>
            <w:r w:rsidR="003114B6" w:rsidRPr="003114B6">
              <w:rPr>
                <w:rFonts w:cs="Arial"/>
                <w:b/>
                <w:spacing w:val="-2"/>
              </w:rPr>
              <w:t>3</w:t>
            </w:r>
          </w:p>
        </w:tc>
        <w:tc>
          <w:tcPr>
            <w:tcW w:w="1418" w:type="dxa"/>
            <w:tcBorders>
              <w:top w:val="nil"/>
              <w:left w:val="nil"/>
              <w:bottom w:val="nil"/>
              <w:right w:val="nil"/>
            </w:tcBorders>
          </w:tcPr>
          <w:p w14:paraId="14CFA5D8" w14:textId="77777777" w:rsidR="00BE74C5" w:rsidRPr="003114B6" w:rsidRDefault="000A5878" w:rsidP="00BE74C5">
            <w:pPr>
              <w:suppressAutoHyphens/>
              <w:ind w:right="138"/>
              <w:jc w:val="right"/>
              <w:rPr>
                <w:rFonts w:cs="Arial"/>
                <w:b/>
                <w:spacing w:val="-2"/>
              </w:rPr>
            </w:pPr>
            <w:r>
              <w:rPr>
                <w:rFonts w:cs="Arial"/>
                <w:b/>
                <w:spacing w:val="-2"/>
              </w:rPr>
              <w:t>28/12/</w:t>
            </w:r>
            <w:r w:rsidR="00BE74C5" w:rsidRPr="003114B6">
              <w:rPr>
                <w:rFonts w:cs="Arial"/>
                <w:b/>
                <w:spacing w:val="-2"/>
              </w:rPr>
              <w:t>20</w:t>
            </w:r>
            <w:r w:rsidR="00C46DCD" w:rsidRPr="003114B6">
              <w:rPr>
                <w:rFonts w:cs="Arial"/>
                <w:b/>
                <w:spacing w:val="-2"/>
              </w:rPr>
              <w:t>2</w:t>
            </w:r>
            <w:r w:rsidR="003114B6" w:rsidRPr="003114B6">
              <w:rPr>
                <w:rFonts w:cs="Arial"/>
                <w:b/>
                <w:spacing w:val="-2"/>
              </w:rPr>
              <w:t>4</w:t>
            </w:r>
          </w:p>
        </w:tc>
        <w:tc>
          <w:tcPr>
            <w:tcW w:w="1417" w:type="dxa"/>
            <w:tcBorders>
              <w:top w:val="nil"/>
              <w:left w:val="nil"/>
              <w:bottom w:val="nil"/>
              <w:right w:val="nil"/>
            </w:tcBorders>
          </w:tcPr>
          <w:p w14:paraId="7D1A00B1" w14:textId="77777777" w:rsidR="00BE74C5" w:rsidRPr="003114B6" w:rsidRDefault="000A5878" w:rsidP="00BE74C5">
            <w:pPr>
              <w:suppressAutoHyphens/>
              <w:ind w:right="138"/>
              <w:jc w:val="right"/>
              <w:rPr>
                <w:rFonts w:cs="Arial"/>
                <w:b/>
                <w:spacing w:val="-2"/>
              </w:rPr>
            </w:pPr>
            <w:r>
              <w:rPr>
                <w:rFonts w:cs="Arial"/>
                <w:b/>
                <w:spacing w:val="-2"/>
              </w:rPr>
              <w:t>30/12/</w:t>
            </w:r>
            <w:r w:rsidR="00BE74C5" w:rsidRPr="003114B6">
              <w:rPr>
                <w:rFonts w:cs="Arial"/>
                <w:b/>
                <w:spacing w:val="-2"/>
              </w:rPr>
              <w:t>20</w:t>
            </w:r>
            <w:r w:rsidR="00F06893" w:rsidRPr="003114B6">
              <w:rPr>
                <w:rFonts w:cs="Arial"/>
                <w:b/>
                <w:spacing w:val="-2"/>
              </w:rPr>
              <w:t>2</w:t>
            </w:r>
            <w:r w:rsidR="003114B6" w:rsidRPr="003114B6">
              <w:rPr>
                <w:rFonts w:cs="Arial"/>
                <w:b/>
                <w:spacing w:val="-2"/>
              </w:rPr>
              <w:t>3</w:t>
            </w:r>
          </w:p>
        </w:tc>
      </w:tr>
      <w:tr w:rsidR="00BE74C5" w:rsidRPr="00C328EF" w14:paraId="016E1F54" w14:textId="77777777" w:rsidTr="00625C11">
        <w:tc>
          <w:tcPr>
            <w:tcW w:w="4678" w:type="dxa"/>
            <w:tcBorders>
              <w:top w:val="nil"/>
              <w:left w:val="nil"/>
              <w:bottom w:val="nil"/>
              <w:right w:val="nil"/>
            </w:tcBorders>
          </w:tcPr>
          <w:p w14:paraId="43BB1E29" w14:textId="77777777" w:rsidR="00BE74C5" w:rsidRPr="003114B6" w:rsidRDefault="00BE74C5" w:rsidP="00BE74C5">
            <w:pPr>
              <w:suppressAutoHyphens/>
              <w:ind w:left="588"/>
              <w:rPr>
                <w:rFonts w:cs="Arial"/>
                <w:spacing w:val="-2"/>
              </w:rPr>
            </w:pPr>
          </w:p>
        </w:tc>
        <w:tc>
          <w:tcPr>
            <w:tcW w:w="1418" w:type="dxa"/>
            <w:tcBorders>
              <w:top w:val="nil"/>
              <w:left w:val="nil"/>
              <w:bottom w:val="nil"/>
              <w:right w:val="nil"/>
            </w:tcBorders>
          </w:tcPr>
          <w:p w14:paraId="7C80F43E" w14:textId="77777777" w:rsidR="00BE74C5" w:rsidRPr="003114B6" w:rsidRDefault="00BE74C5" w:rsidP="00BE74C5">
            <w:pPr>
              <w:suppressAutoHyphens/>
              <w:ind w:right="138"/>
              <w:jc w:val="right"/>
              <w:rPr>
                <w:rFonts w:cs="Arial"/>
                <w:b/>
                <w:spacing w:val="-2"/>
              </w:rPr>
            </w:pPr>
            <w:r w:rsidRPr="003114B6">
              <w:rPr>
                <w:rFonts w:cs="Arial"/>
                <w:b/>
                <w:spacing w:val="-2"/>
              </w:rPr>
              <w:t>£’000</w:t>
            </w:r>
          </w:p>
        </w:tc>
        <w:tc>
          <w:tcPr>
            <w:tcW w:w="1417" w:type="dxa"/>
            <w:tcBorders>
              <w:top w:val="nil"/>
              <w:left w:val="nil"/>
              <w:bottom w:val="nil"/>
              <w:right w:val="nil"/>
            </w:tcBorders>
          </w:tcPr>
          <w:p w14:paraId="7A26D732" w14:textId="77777777" w:rsidR="00BE74C5" w:rsidRPr="003114B6" w:rsidRDefault="00BE74C5" w:rsidP="00BE74C5">
            <w:pPr>
              <w:suppressAutoHyphens/>
              <w:ind w:right="138"/>
              <w:jc w:val="right"/>
              <w:rPr>
                <w:rFonts w:cs="Arial"/>
                <w:b/>
                <w:spacing w:val="-2"/>
              </w:rPr>
            </w:pPr>
            <w:r w:rsidRPr="003114B6">
              <w:rPr>
                <w:rFonts w:cs="Arial"/>
                <w:b/>
                <w:spacing w:val="-2"/>
              </w:rPr>
              <w:t>£’000</w:t>
            </w:r>
          </w:p>
        </w:tc>
        <w:tc>
          <w:tcPr>
            <w:tcW w:w="1418" w:type="dxa"/>
            <w:tcBorders>
              <w:top w:val="nil"/>
              <w:left w:val="nil"/>
              <w:bottom w:val="nil"/>
              <w:right w:val="nil"/>
            </w:tcBorders>
          </w:tcPr>
          <w:p w14:paraId="3F1A8FED" w14:textId="77777777" w:rsidR="00BE74C5" w:rsidRPr="003114B6" w:rsidRDefault="00BE74C5" w:rsidP="00BE74C5">
            <w:pPr>
              <w:suppressAutoHyphens/>
              <w:ind w:right="138"/>
              <w:jc w:val="right"/>
              <w:rPr>
                <w:rFonts w:cs="Arial"/>
                <w:b/>
                <w:spacing w:val="-2"/>
              </w:rPr>
            </w:pPr>
            <w:r w:rsidRPr="003114B6">
              <w:rPr>
                <w:rFonts w:cs="Arial"/>
                <w:b/>
                <w:spacing w:val="-2"/>
              </w:rPr>
              <w:t>£’000</w:t>
            </w:r>
          </w:p>
        </w:tc>
        <w:tc>
          <w:tcPr>
            <w:tcW w:w="1417" w:type="dxa"/>
            <w:tcBorders>
              <w:top w:val="nil"/>
              <w:left w:val="nil"/>
              <w:bottom w:val="nil"/>
              <w:right w:val="nil"/>
            </w:tcBorders>
          </w:tcPr>
          <w:p w14:paraId="79104D30" w14:textId="77777777" w:rsidR="00BE74C5" w:rsidRPr="003114B6" w:rsidRDefault="00BE74C5" w:rsidP="00BE74C5">
            <w:pPr>
              <w:suppressAutoHyphens/>
              <w:ind w:right="138"/>
              <w:jc w:val="right"/>
              <w:rPr>
                <w:rFonts w:cs="Arial"/>
                <w:b/>
                <w:spacing w:val="-2"/>
              </w:rPr>
            </w:pPr>
            <w:r w:rsidRPr="003114B6">
              <w:rPr>
                <w:rFonts w:cs="Arial"/>
                <w:b/>
                <w:spacing w:val="-2"/>
              </w:rPr>
              <w:t>£’000</w:t>
            </w:r>
          </w:p>
        </w:tc>
      </w:tr>
      <w:tr w:rsidR="00BE74C5" w:rsidRPr="00C328EF" w14:paraId="0C195A2B" w14:textId="77777777" w:rsidTr="00625C11">
        <w:tc>
          <w:tcPr>
            <w:tcW w:w="4678" w:type="dxa"/>
            <w:tcBorders>
              <w:top w:val="nil"/>
              <w:left w:val="nil"/>
              <w:bottom w:val="nil"/>
              <w:right w:val="nil"/>
            </w:tcBorders>
          </w:tcPr>
          <w:p w14:paraId="78B49AC6" w14:textId="77777777" w:rsidR="00BE74C5" w:rsidRPr="003114B6" w:rsidRDefault="00BE74C5" w:rsidP="00BE74C5">
            <w:pPr>
              <w:ind w:firstLine="624"/>
              <w:jc w:val="both"/>
              <w:rPr>
                <w:b/>
                <w:i/>
              </w:rPr>
            </w:pPr>
            <w:r w:rsidRPr="003114B6">
              <w:rPr>
                <w:b/>
                <w:i/>
              </w:rPr>
              <w:t>Allotted, called up and fully paid</w:t>
            </w:r>
          </w:p>
        </w:tc>
        <w:tc>
          <w:tcPr>
            <w:tcW w:w="1418" w:type="dxa"/>
            <w:tcBorders>
              <w:top w:val="nil"/>
              <w:left w:val="nil"/>
              <w:bottom w:val="nil"/>
              <w:right w:val="nil"/>
            </w:tcBorders>
          </w:tcPr>
          <w:p w14:paraId="43A2A627" w14:textId="77777777" w:rsidR="00BE74C5" w:rsidRPr="003114B6" w:rsidRDefault="00BE74C5" w:rsidP="00BE74C5">
            <w:pPr>
              <w:suppressAutoHyphens/>
              <w:jc w:val="center"/>
              <w:rPr>
                <w:rFonts w:cs="Arial"/>
                <w:b/>
                <w:spacing w:val="-2"/>
              </w:rPr>
            </w:pPr>
          </w:p>
        </w:tc>
        <w:tc>
          <w:tcPr>
            <w:tcW w:w="1417" w:type="dxa"/>
            <w:tcBorders>
              <w:top w:val="nil"/>
              <w:left w:val="nil"/>
              <w:bottom w:val="nil"/>
              <w:right w:val="nil"/>
            </w:tcBorders>
          </w:tcPr>
          <w:p w14:paraId="51CCEDB9" w14:textId="77777777" w:rsidR="00BE74C5" w:rsidRPr="003114B6" w:rsidRDefault="00BE74C5" w:rsidP="00BE74C5">
            <w:pPr>
              <w:suppressAutoHyphens/>
              <w:jc w:val="center"/>
              <w:rPr>
                <w:rFonts w:cs="Arial"/>
                <w:b/>
                <w:spacing w:val="-2"/>
              </w:rPr>
            </w:pPr>
          </w:p>
        </w:tc>
        <w:tc>
          <w:tcPr>
            <w:tcW w:w="1418" w:type="dxa"/>
            <w:tcBorders>
              <w:top w:val="nil"/>
              <w:left w:val="nil"/>
              <w:bottom w:val="nil"/>
              <w:right w:val="nil"/>
            </w:tcBorders>
          </w:tcPr>
          <w:p w14:paraId="3DC8BDF4" w14:textId="77777777" w:rsidR="00BE74C5" w:rsidRPr="003114B6" w:rsidRDefault="00BE74C5" w:rsidP="00BE74C5">
            <w:pPr>
              <w:suppressAutoHyphens/>
              <w:jc w:val="center"/>
              <w:rPr>
                <w:rFonts w:cs="Arial"/>
                <w:b/>
                <w:spacing w:val="-2"/>
              </w:rPr>
            </w:pPr>
          </w:p>
        </w:tc>
        <w:tc>
          <w:tcPr>
            <w:tcW w:w="1417" w:type="dxa"/>
            <w:tcBorders>
              <w:top w:val="nil"/>
              <w:left w:val="nil"/>
              <w:bottom w:val="nil"/>
              <w:right w:val="nil"/>
            </w:tcBorders>
          </w:tcPr>
          <w:p w14:paraId="592C1B1F" w14:textId="77777777" w:rsidR="00BE74C5" w:rsidRPr="003114B6" w:rsidRDefault="00BE74C5" w:rsidP="00BE74C5">
            <w:pPr>
              <w:suppressAutoHyphens/>
              <w:jc w:val="center"/>
              <w:rPr>
                <w:rFonts w:cs="Arial"/>
                <w:b/>
                <w:spacing w:val="-2"/>
              </w:rPr>
            </w:pPr>
          </w:p>
        </w:tc>
      </w:tr>
      <w:tr w:rsidR="00BE74C5" w:rsidRPr="00C328EF" w14:paraId="1D4FB8A8" w14:textId="77777777" w:rsidTr="00625C11">
        <w:tc>
          <w:tcPr>
            <w:tcW w:w="4678" w:type="dxa"/>
            <w:tcBorders>
              <w:top w:val="nil"/>
              <w:left w:val="nil"/>
              <w:bottom w:val="nil"/>
              <w:right w:val="nil"/>
            </w:tcBorders>
          </w:tcPr>
          <w:p w14:paraId="43A4D84C" w14:textId="77777777" w:rsidR="00BE74C5" w:rsidRPr="003114B6" w:rsidRDefault="002E42CC" w:rsidP="00BE74C5">
            <w:pPr>
              <w:ind w:firstLine="624"/>
              <w:jc w:val="both"/>
            </w:pPr>
            <w:r w:rsidRPr="003114B6">
              <w:t>O</w:t>
            </w:r>
            <w:r w:rsidR="00BE74C5" w:rsidRPr="003114B6">
              <w:t>rdinary shares of £1 each</w:t>
            </w:r>
          </w:p>
        </w:tc>
        <w:tc>
          <w:tcPr>
            <w:tcW w:w="1418" w:type="dxa"/>
            <w:tcBorders>
              <w:top w:val="nil"/>
              <w:left w:val="nil"/>
              <w:bottom w:val="nil"/>
              <w:right w:val="nil"/>
            </w:tcBorders>
          </w:tcPr>
          <w:p w14:paraId="260AA9B0" w14:textId="77777777" w:rsidR="00BE74C5" w:rsidRPr="003114B6" w:rsidRDefault="00BE74C5" w:rsidP="00BE74C5">
            <w:pPr>
              <w:suppressAutoHyphens/>
              <w:ind w:right="138"/>
              <w:jc w:val="right"/>
              <w:rPr>
                <w:rFonts w:cs="Arial"/>
                <w:spacing w:val="-2"/>
              </w:rPr>
            </w:pPr>
          </w:p>
        </w:tc>
        <w:tc>
          <w:tcPr>
            <w:tcW w:w="1417" w:type="dxa"/>
            <w:tcBorders>
              <w:top w:val="nil"/>
              <w:left w:val="nil"/>
              <w:bottom w:val="nil"/>
              <w:right w:val="nil"/>
            </w:tcBorders>
          </w:tcPr>
          <w:p w14:paraId="021C82C2" w14:textId="77777777" w:rsidR="00BE74C5" w:rsidRPr="00C328EF" w:rsidRDefault="00BE74C5" w:rsidP="00BE74C5">
            <w:pPr>
              <w:suppressAutoHyphens/>
              <w:ind w:right="138"/>
              <w:jc w:val="right"/>
              <w:rPr>
                <w:rFonts w:cs="Arial"/>
                <w:spacing w:val="-2"/>
                <w:highlight w:val="yellow"/>
              </w:rPr>
            </w:pPr>
          </w:p>
        </w:tc>
        <w:tc>
          <w:tcPr>
            <w:tcW w:w="1418" w:type="dxa"/>
            <w:tcBorders>
              <w:top w:val="nil"/>
              <w:left w:val="nil"/>
              <w:bottom w:val="nil"/>
              <w:right w:val="nil"/>
            </w:tcBorders>
          </w:tcPr>
          <w:p w14:paraId="1AD0FA56" w14:textId="77777777" w:rsidR="00BE74C5" w:rsidRPr="00C328EF" w:rsidRDefault="00BE74C5" w:rsidP="00BE74C5">
            <w:pPr>
              <w:suppressAutoHyphens/>
              <w:ind w:right="138"/>
              <w:jc w:val="right"/>
              <w:rPr>
                <w:rFonts w:cs="Arial"/>
                <w:spacing w:val="-2"/>
                <w:highlight w:val="yellow"/>
              </w:rPr>
            </w:pPr>
          </w:p>
        </w:tc>
        <w:tc>
          <w:tcPr>
            <w:tcW w:w="1417" w:type="dxa"/>
            <w:tcBorders>
              <w:top w:val="nil"/>
              <w:left w:val="nil"/>
              <w:bottom w:val="nil"/>
              <w:right w:val="nil"/>
            </w:tcBorders>
          </w:tcPr>
          <w:p w14:paraId="5E206F03" w14:textId="77777777" w:rsidR="00BE74C5" w:rsidRPr="00C328EF" w:rsidRDefault="00BE74C5" w:rsidP="00BE74C5">
            <w:pPr>
              <w:suppressAutoHyphens/>
              <w:ind w:right="138"/>
              <w:jc w:val="right"/>
              <w:rPr>
                <w:rFonts w:cs="Arial"/>
                <w:spacing w:val="-2"/>
                <w:highlight w:val="yellow"/>
              </w:rPr>
            </w:pPr>
          </w:p>
        </w:tc>
      </w:tr>
      <w:tr w:rsidR="003114B6" w:rsidRPr="00C328EF" w14:paraId="21F0B976" w14:textId="77777777" w:rsidTr="00625C11">
        <w:tc>
          <w:tcPr>
            <w:tcW w:w="4678" w:type="dxa"/>
            <w:tcBorders>
              <w:top w:val="nil"/>
              <w:left w:val="nil"/>
              <w:bottom w:val="nil"/>
              <w:right w:val="nil"/>
            </w:tcBorders>
          </w:tcPr>
          <w:p w14:paraId="166BD475" w14:textId="77777777" w:rsidR="003114B6" w:rsidRPr="003114B6" w:rsidRDefault="003114B6" w:rsidP="003114B6">
            <w:pPr>
              <w:ind w:firstLine="624"/>
              <w:jc w:val="both"/>
            </w:pPr>
            <w:r w:rsidRPr="003114B6">
              <w:rPr>
                <w:b/>
              </w:rPr>
              <w:t xml:space="preserve">At </w:t>
            </w:r>
            <w:r w:rsidR="00A53F12">
              <w:rPr>
                <w:b/>
              </w:rPr>
              <w:t>start of period</w:t>
            </w:r>
          </w:p>
        </w:tc>
        <w:tc>
          <w:tcPr>
            <w:tcW w:w="1418" w:type="dxa"/>
            <w:tcBorders>
              <w:top w:val="nil"/>
              <w:left w:val="nil"/>
              <w:bottom w:val="nil"/>
              <w:right w:val="nil"/>
            </w:tcBorders>
          </w:tcPr>
          <w:p w14:paraId="41C254A9" w14:textId="77777777" w:rsidR="003114B6" w:rsidRPr="003114B6" w:rsidRDefault="003114B6" w:rsidP="003114B6">
            <w:pPr>
              <w:suppressAutoHyphens/>
              <w:ind w:right="138"/>
              <w:jc w:val="right"/>
              <w:rPr>
                <w:rFonts w:cs="Arial"/>
                <w:spacing w:val="-2"/>
              </w:rPr>
            </w:pPr>
            <w:r w:rsidRPr="003114B6">
              <w:rPr>
                <w:rFonts w:cs="Arial"/>
                <w:spacing w:val="-2"/>
              </w:rPr>
              <w:t>53,878</w:t>
            </w:r>
          </w:p>
        </w:tc>
        <w:tc>
          <w:tcPr>
            <w:tcW w:w="1417" w:type="dxa"/>
            <w:tcBorders>
              <w:top w:val="nil"/>
              <w:left w:val="nil"/>
              <w:bottom w:val="nil"/>
              <w:right w:val="nil"/>
            </w:tcBorders>
          </w:tcPr>
          <w:p w14:paraId="5736AE29" w14:textId="77777777" w:rsidR="003114B6" w:rsidRPr="003114B6" w:rsidRDefault="003114B6" w:rsidP="003114B6">
            <w:pPr>
              <w:suppressAutoHyphens/>
              <w:ind w:right="138"/>
              <w:jc w:val="right"/>
              <w:rPr>
                <w:rFonts w:cs="Arial"/>
                <w:spacing w:val="-2"/>
              </w:rPr>
            </w:pPr>
            <w:r w:rsidRPr="003114B6">
              <w:rPr>
                <w:rFonts w:cs="Arial"/>
                <w:spacing w:val="-2"/>
              </w:rPr>
              <w:t>41,878</w:t>
            </w:r>
          </w:p>
        </w:tc>
        <w:tc>
          <w:tcPr>
            <w:tcW w:w="1418" w:type="dxa"/>
            <w:tcBorders>
              <w:top w:val="nil"/>
              <w:left w:val="nil"/>
              <w:bottom w:val="nil"/>
              <w:right w:val="nil"/>
            </w:tcBorders>
          </w:tcPr>
          <w:p w14:paraId="67C441C5" w14:textId="77777777" w:rsidR="003114B6" w:rsidRPr="003114B6" w:rsidRDefault="003114B6" w:rsidP="003114B6">
            <w:pPr>
              <w:suppressAutoHyphens/>
              <w:ind w:right="138"/>
              <w:jc w:val="right"/>
              <w:rPr>
                <w:rFonts w:cs="Arial"/>
                <w:spacing w:val="-2"/>
              </w:rPr>
            </w:pPr>
            <w:r w:rsidRPr="003114B6">
              <w:rPr>
                <w:rFonts w:cs="Arial"/>
                <w:spacing w:val="-2"/>
              </w:rPr>
              <w:t>53,878</w:t>
            </w:r>
          </w:p>
        </w:tc>
        <w:tc>
          <w:tcPr>
            <w:tcW w:w="1417" w:type="dxa"/>
            <w:tcBorders>
              <w:top w:val="nil"/>
              <w:left w:val="nil"/>
              <w:bottom w:val="nil"/>
              <w:right w:val="nil"/>
            </w:tcBorders>
          </w:tcPr>
          <w:p w14:paraId="6F1C0B77" w14:textId="77777777" w:rsidR="003114B6" w:rsidRPr="003114B6" w:rsidRDefault="003114B6" w:rsidP="003114B6">
            <w:pPr>
              <w:suppressAutoHyphens/>
              <w:ind w:right="138"/>
              <w:jc w:val="right"/>
              <w:rPr>
                <w:rFonts w:cs="Arial"/>
                <w:spacing w:val="-2"/>
              </w:rPr>
            </w:pPr>
            <w:r w:rsidRPr="003114B6">
              <w:rPr>
                <w:rFonts w:cs="Arial"/>
                <w:spacing w:val="-2"/>
              </w:rPr>
              <w:t>41,878</w:t>
            </w:r>
          </w:p>
        </w:tc>
      </w:tr>
      <w:tr w:rsidR="003114B6" w:rsidRPr="00C328EF" w14:paraId="2DD50264" w14:textId="77777777" w:rsidTr="00625C11">
        <w:tc>
          <w:tcPr>
            <w:tcW w:w="4678" w:type="dxa"/>
            <w:tcBorders>
              <w:top w:val="nil"/>
              <w:left w:val="nil"/>
              <w:bottom w:val="nil"/>
              <w:right w:val="nil"/>
            </w:tcBorders>
          </w:tcPr>
          <w:p w14:paraId="2B07A6A1" w14:textId="77777777" w:rsidR="003114B6" w:rsidRPr="003114B6" w:rsidRDefault="003114B6" w:rsidP="003114B6">
            <w:pPr>
              <w:ind w:firstLine="624"/>
              <w:jc w:val="both"/>
            </w:pPr>
            <w:bookmarkStart w:id="40" w:name="_Hlk64381912"/>
            <w:r w:rsidRPr="003114B6">
              <w:t xml:space="preserve">Issued in </w:t>
            </w:r>
            <w:r w:rsidR="00020170">
              <w:t>period</w:t>
            </w:r>
          </w:p>
        </w:tc>
        <w:tc>
          <w:tcPr>
            <w:tcW w:w="1418" w:type="dxa"/>
            <w:tcBorders>
              <w:top w:val="nil"/>
              <w:left w:val="nil"/>
              <w:bottom w:val="nil"/>
              <w:right w:val="nil"/>
            </w:tcBorders>
          </w:tcPr>
          <w:p w14:paraId="5F904242" w14:textId="77777777" w:rsidR="003114B6" w:rsidRPr="003114B6" w:rsidRDefault="003114B6" w:rsidP="003114B6">
            <w:pPr>
              <w:suppressAutoHyphens/>
              <w:ind w:right="138"/>
              <w:jc w:val="right"/>
              <w:rPr>
                <w:rFonts w:cs="Arial"/>
                <w:spacing w:val="-2"/>
              </w:rPr>
            </w:pPr>
            <w:r w:rsidRPr="003114B6">
              <w:rPr>
                <w:rFonts w:cs="Arial"/>
                <w:spacing w:val="-2"/>
              </w:rPr>
              <w:t>8,000</w:t>
            </w:r>
          </w:p>
        </w:tc>
        <w:tc>
          <w:tcPr>
            <w:tcW w:w="1417" w:type="dxa"/>
            <w:tcBorders>
              <w:top w:val="nil"/>
              <w:left w:val="nil"/>
              <w:bottom w:val="nil"/>
              <w:right w:val="nil"/>
            </w:tcBorders>
          </w:tcPr>
          <w:p w14:paraId="3C4ABAAA" w14:textId="77777777" w:rsidR="003114B6" w:rsidRPr="003114B6" w:rsidRDefault="003114B6" w:rsidP="003114B6">
            <w:pPr>
              <w:suppressAutoHyphens/>
              <w:ind w:right="138"/>
              <w:jc w:val="right"/>
              <w:rPr>
                <w:rFonts w:cs="Arial"/>
                <w:spacing w:val="-2"/>
              </w:rPr>
            </w:pPr>
            <w:r w:rsidRPr="003114B6">
              <w:rPr>
                <w:rFonts w:cs="Arial"/>
                <w:spacing w:val="-2"/>
              </w:rPr>
              <w:t>12,000</w:t>
            </w:r>
          </w:p>
        </w:tc>
        <w:tc>
          <w:tcPr>
            <w:tcW w:w="1418" w:type="dxa"/>
            <w:tcBorders>
              <w:top w:val="nil"/>
              <w:left w:val="nil"/>
              <w:bottom w:val="nil"/>
              <w:right w:val="nil"/>
            </w:tcBorders>
          </w:tcPr>
          <w:p w14:paraId="19E7D9B0" w14:textId="77777777" w:rsidR="003114B6" w:rsidRPr="003114B6" w:rsidRDefault="003114B6" w:rsidP="003114B6">
            <w:pPr>
              <w:suppressAutoHyphens/>
              <w:ind w:right="138"/>
              <w:jc w:val="right"/>
              <w:rPr>
                <w:rFonts w:cs="Arial"/>
                <w:spacing w:val="-2"/>
              </w:rPr>
            </w:pPr>
            <w:r w:rsidRPr="003114B6">
              <w:rPr>
                <w:rFonts w:cs="Arial"/>
                <w:spacing w:val="-2"/>
              </w:rPr>
              <w:t>8,000</w:t>
            </w:r>
          </w:p>
        </w:tc>
        <w:tc>
          <w:tcPr>
            <w:tcW w:w="1417" w:type="dxa"/>
            <w:tcBorders>
              <w:top w:val="nil"/>
              <w:left w:val="nil"/>
              <w:bottom w:val="nil"/>
              <w:right w:val="nil"/>
            </w:tcBorders>
          </w:tcPr>
          <w:p w14:paraId="6E96E4D0" w14:textId="77777777" w:rsidR="003114B6" w:rsidRPr="003114B6" w:rsidRDefault="003114B6" w:rsidP="003114B6">
            <w:pPr>
              <w:suppressAutoHyphens/>
              <w:ind w:right="138"/>
              <w:jc w:val="right"/>
              <w:rPr>
                <w:rFonts w:cs="Arial"/>
                <w:spacing w:val="-2"/>
              </w:rPr>
            </w:pPr>
            <w:r w:rsidRPr="003114B6">
              <w:rPr>
                <w:rFonts w:cs="Arial"/>
                <w:spacing w:val="-2"/>
              </w:rPr>
              <w:t>12,000</w:t>
            </w:r>
          </w:p>
        </w:tc>
      </w:tr>
      <w:tr w:rsidR="003114B6" w:rsidRPr="00C328EF" w14:paraId="2AE60D9B" w14:textId="77777777" w:rsidTr="00625C11">
        <w:tc>
          <w:tcPr>
            <w:tcW w:w="4678" w:type="dxa"/>
            <w:tcBorders>
              <w:top w:val="nil"/>
              <w:left w:val="nil"/>
              <w:bottom w:val="nil"/>
              <w:right w:val="nil"/>
            </w:tcBorders>
          </w:tcPr>
          <w:p w14:paraId="5FC96F7F" w14:textId="77777777" w:rsidR="003114B6" w:rsidRPr="003114B6" w:rsidRDefault="003114B6" w:rsidP="003114B6">
            <w:pPr>
              <w:suppressAutoHyphens/>
              <w:ind w:left="588"/>
              <w:rPr>
                <w:rFonts w:cs="Arial"/>
                <w:spacing w:val="-2"/>
              </w:rPr>
            </w:pPr>
            <w:bookmarkStart w:id="41" w:name="_Hlk64381934"/>
            <w:bookmarkEnd w:id="40"/>
          </w:p>
        </w:tc>
        <w:tc>
          <w:tcPr>
            <w:tcW w:w="1418" w:type="dxa"/>
            <w:tcBorders>
              <w:top w:val="nil"/>
              <w:left w:val="nil"/>
              <w:bottom w:val="nil"/>
              <w:right w:val="nil"/>
            </w:tcBorders>
          </w:tcPr>
          <w:p w14:paraId="4DC74BAE"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71AF254E"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8" w:type="dxa"/>
            <w:tcBorders>
              <w:top w:val="nil"/>
              <w:left w:val="nil"/>
              <w:bottom w:val="nil"/>
              <w:right w:val="nil"/>
            </w:tcBorders>
          </w:tcPr>
          <w:p w14:paraId="67370C08"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45D581EC" w14:textId="77777777" w:rsidR="003114B6" w:rsidRPr="003114B6" w:rsidRDefault="003114B6" w:rsidP="003114B6">
            <w:pPr>
              <w:suppressAutoHyphens/>
              <w:ind w:right="138"/>
              <w:jc w:val="right"/>
              <w:rPr>
                <w:rFonts w:cs="Arial"/>
                <w:spacing w:val="-2"/>
              </w:rPr>
            </w:pPr>
            <w:r w:rsidRPr="003114B6">
              <w:rPr>
                <w:rFonts w:cs="Arial"/>
                <w:spacing w:val="-2"/>
              </w:rPr>
              <w:t>─────</w:t>
            </w:r>
          </w:p>
        </w:tc>
      </w:tr>
      <w:tr w:rsidR="003114B6" w:rsidRPr="00C328EF" w14:paraId="6AD7AC4F" w14:textId="77777777" w:rsidTr="00625C11">
        <w:tc>
          <w:tcPr>
            <w:tcW w:w="4678" w:type="dxa"/>
            <w:tcBorders>
              <w:top w:val="nil"/>
              <w:left w:val="nil"/>
              <w:bottom w:val="nil"/>
              <w:right w:val="nil"/>
            </w:tcBorders>
          </w:tcPr>
          <w:p w14:paraId="56A4C91A" w14:textId="77777777" w:rsidR="003114B6" w:rsidRPr="003114B6" w:rsidRDefault="003114B6" w:rsidP="003114B6">
            <w:pPr>
              <w:ind w:left="624"/>
            </w:pPr>
            <w:r w:rsidRPr="003114B6">
              <w:rPr>
                <w:b/>
              </w:rPr>
              <w:t xml:space="preserve">At </w:t>
            </w:r>
            <w:r w:rsidR="00A53F12">
              <w:rPr>
                <w:b/>
              </w:rPr>
              <w:t>end of period</w:t>
            </w:r>
          </w:p>
        </w:tc>
        <w:tc>
          <w:tcPr>
            <w:tcW w:w="1418" w:type="dxa"/>
            <w:tcBorders>
              <w:top w:val="nil"/>
              <w:left w:val="nil"/>
              <w:bottom w:val="nil"/>
              <w:right w:val="nil"/>
            </w:tcBorders>
          </w:tcPr>
          <w:p w14:paraId="0AC3C377" w14:textId="77777777" w:rsidR="003114B6" w:rsidRPr="003114B6" w:rsidRDefault="003114B6" w:rsidP="003114B6">
            <w:pPr>
              <w:suppressAutoHyphens/>
              <w:ind w:right="138"/>
              <w:jc w:val="right"/>
              <w:rPr>
                <w:rFonts w:cs="Arial"/>
                <w:spacing w:val="-2"/>
              </w:rPr>
            </w:pPr>
            <w:r w:rsidRPr="003114B6">
              <w:rPr>
                <w:rFonts w:cs="Arial"/>
                <w:spacing w:val="-2"/>
              </w:rPr>
              <w:t>61,878</w:t>
            </w:r>
          </w:p>
        </w:tc>
        <w:tc>
          <w:tcPr>
            <w:tcW w:w="1417" w:type="dxa"/>
            <w:tcBorders>
              <w:top w:val="nil"/>
              <w:left w:val="nil"/>
              <w:bottom w:val="nil"/>
              <w:right w:val="nil"/>
            </w:tcBorders>
          </w:tcPr>
          <w:p w14:paraId="132E579E" w14:textId="77777777" w:rsidR="003114B6" w:rsidRPr="003114B6" w:rsidRDefault="003114B6" w:rsidP="003114B6">
            <w:pPr>
              <w:suppressAutoHyphens/>
              <w:ind w:right="138"/>
              <w:jc w:val="right"/>
              <w:rPr>
                <w:rFonts w:cs="Arial"/>
                <w:spacing w:val="-2"/>
              </w:rPr>
            </w:pPr>
            <w:r w:rsidRPr="003114B6">
              <w:rPr>
                <w:rFonts w:cs="Arial"/>
                <w:spacing w:val="-2"/>
              </w:rPr>
              <w:t>53,878</w:t>
            </w:r>
          </w:p>
        </w:tc>
        <w:tc>
          <w:tcPr>
            <w:tcW w:w="1418" w:type="dxa"/>
            <w:tcBorders>
              <w:top w:val="nil"/>
              <w:left w:val="nil"/>
              <w:bottom w:val="nil"/>
              <w:right w:val="nil"/>
            </w:tcBorders>
          </w:tcPr>
          <w:p w14:paraId="73E40264" w14:textId="77777777" w:rsidR="003114B6" w:rsidRPr="003114B6" w:rsidRDefault="003114B6" w:rsidP="003114B6">
            <w:pPr>
              <w:suppressAutoHyphens/>
              <w:ind w:right="138"/>
              <w:jc w:val="right"/>
              <w:rPr>
                <w:rFonts w:cs="Arial"/>
                <w:spacing w:val="-2"/>
              </w:rPr>
            </w:pPr>
            <w:r w:rsidRPr="003114B6">
              <w:rPr>
                <w:rFonts w:cs="Arial"/>
                <w:spacing w:val="-2"/>
              </w:rPr>
              <w:t>61,878</w:t>
            </w:r>
          </w:p>
        </w:tc>
        <w:tc>
          <w:tcPr>
            <w:tcW w:w="1417" w:type="dxa"/>
            <w:tcBorders>
              <w:top w:val="nil"/>
              <w:left w:val="nil"/>
              <w:bottom w:val="nil"/>
              <w:right w:val="nil"/>
            </w:tcBorders>
          </w:tcPr>
          <w:p w14:paraId="0D3CA6CD" w14:textId="77777777" w:rsidR="003114B6" w:rsidRPr="003114B6" w:rsidRDefault="003114B6" w:rsidP="003114B6">
            <w:pPr>
              <w:suppressAutoHyphens/>
              <w:ind w:right="138"/>
              <w:jc w:val="right"/>
              <w:rPr>
                <w:rFonts w:cs="Arial"/>
                <w:spacing w:val="-2"/>
              </w:rPr>
            </w:pPr>
            <w:r w:rsidRPr="003114B6">
              <w:rPr>
                <w:rFonts w:cs="Arial"/>
                <w:spacing w:val="-2"/>
              </w:rPr>
              <w:t>53,878</w:t>
            </w:r>
          </w:p>
        </w:tc>
      </w:tr>
      <w:tr w:rsidR="003114B6" w:rsidRPr="00C328EF" w14:paraId="23C45525" w14:textId="77777777" w:rsidTr="00625C11">
        <w:tc>
          <w:tcPr>
            <w:tcW w:w="4678" w:type="dxa"/>
            <w:tcBorders>
              <w:top w:val="nil"/>
              <w:left w:val="nil"/>
              <w:bottom w:val="nil"/>
              <w:right w:val="nil"/>
            </w:tcBorders>
          </w:tcPr>
          <w:p w14:paraId="6EFA487C" w14:textId="77777777" w:rsidR="003114B6" w:rsidRPr="003114B6" w:rsidRDefault="003114B6" w:rsidP="003114B6">
            <w:pPr>
              <w:suppressAutoHyphens/>
              <w:rPr>
                <w:rFonts w:cs="Arial"/>
                <w:spacing w:val="-2"/>
              </w:rPr>
            </w:pPr>
          </w:p>
        </w:tc>
        <w:tc>
          <w:tcPr>
            <w:tcW w:w="1418" w:type="dxa"/>
            <w:tcBorders>
              <w:top w:val="nil"/>
              <w:left w:val="nil"/>
              <w:bottom w:val="nil"/>
              <w:right w:val="nil"/>
            </w:tcBorders>
          </w:tcPr>
          <w:p w14:paraId="12BBAB92"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44B1B085"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8" w:type="dxa"/>
            <w:tcBorders>
              <w:top w:val="nil"/>
              <w:left w:val="nil"/>
              <w:bottom w:val="nil"/>
              <w:right w:val="nil"/>
            </w:tcBorders>
          </w:tcPr>
          <w:p w14:paraId="6FCDA5CC"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3F5E67E3" w14:textId="77777777" w:rsidR="003114B6" w:rsidRPr="003114B6" w:rsidRDefault="003114B6" w:rsidP="003114B6">
            <w:pPr>
              <w:suppressAutoHyphens/>
              <w:ind w:right="138"/>
              <w:jc w:val="right"/>
              <w:rPr>
                <w:rFonts w:cs="Arial"/>
                <w:spacing w:val="-2"/>
              </w:rPr>
            </w:pPr>
            <w:r w:rsidRPr="003114B6">
              <w:rPr>
                <w:rFonts w:cs="Arial"/>
                <w:spacing w:val="-2"/>
              </w:rPr>
              <w:t>═════</w:t>
            </w:r>
          </w:p>
        </w:tc>
      </w:tr>
      <w:bookmarkEnd w:id="41"/>
      <w:tr w:rsidR="003114B6" w:rsidRPr="003114B6" w14:paraId="59E50923" w14:textId="77777777" w:rsidTr="00625C11">
        <w:tc>
          <w:tcPr>
            <w:tcW w:w="4678" w:type="dxa"/>
            <w:tcBorders>
              <w:top w:val="nil"/>
              <w:left w:val="nil"/>
              <w:bottom w:val="nil"/>
              <w:right w:val="nil"/>
            </w:tcBorders>
          </w:tcPr>
          <w:p w14:paraId="3E033293" w14:textId="77777777" w:rsidR="003114B6" w:rsidRPr="003114B6" w:rsidRDefault="003114B6" w:rsidP="003114B6">
            <w:pPr>
              <w:ind w:firstLine="624"/>
              <w:jc w:val="both"/>
              <w:rPr>
                <w:b/>
              </w:rPr>
            </w:pPr>
            <w:r w:rsidRPr="003114B6">
              <w:rPr>
                <w:b/>
              </w:rPr>
              <w:t>Being</w:t>
            </w:r>
          </w:p>
        </w:tc>
        <w:tc>
          <w:tcPr>
            <w:tcW w:w="1418" w:type="dxa"/>
            <w:tcBorders>
              <w:top w:val="nil"/>
              <w:left w:val="nil"/>
              <w:bottom w:val="nil"/>
              <w:right w:val="nil"/>
            </w:tcBorders>
          </w:tcPr>
          <w:p w14:paraId="1BB80BD8" w14:textId="77777777" w:rsidR="003114B6" w:rsidRPr="003114B6" w:rsidRDefault="003114B6" w:rsidP="003114B6">
            <w:pPr>
              <w:suppressAutoHyphens/>
              <w:ind w:right="138"/>
              <w:jc w:val="right"/>
              <w:rPr>
                <w:rFonts w:cs="Arial"/>
                <w:spacing w:val="-2"/>
              </w:rPr>
            </w:pPr>
          </w:p>
        </w:tc>
        <w:tc>
          <w:tcPr>
            <w:tcW w:w="1417" w:type="dxa"/>
            <w:tcBorders>
              <w:top w:val="nil"/>
              <w:left w:val="nil"/>
              <w:bottom w:val="nil"/>
              <w:right w:val="nil"/>
            </w:tcBorders>
          </w:tcPr>
          <w:p w14:paraId="7EAB1A28" w14:textId="77777777" w:rsidR="003114B6" w:rsidRPr="003114B6" w:rsidRDefault="003114B6" w:rsidP="003114B6">
            <w:pPr>
              <w:suppressAutoHyphens/>
              <w:ind w:right="138"/>
              <w:jc w:val="right"/>
              <w:rPr>
                <w:rFonts w:cs="Arial"/>
                <w:spacing w:val="-2"/>
              </w:rPr>
            </w:pPr>
          </w:p>
        </w:tc>
        <w:tc>
          <w:tcPr>
            <w:tcW w:w="1418" w:type="dxa"/>
            <w:tcBorders>
              <w:top w:val="nil"/>
              <w:left w:val="nil"/>
              <w:bottom w:val="nil"/>
              <w:right w:val="nil"/>
            </w:tcBorders>
          </w:tcPr>
          <w:p w14:paraId="051775AF" w14:textId="77777777" w:rsidR="003114B6" w:rsidRPr="003114B6" w:rsidRDefault="003114B6" w:rsidP="003114B6">
            <w:pPr>
              <w:suppressAutoHyphens/>
              <w:ind w:right="138"/>
              <w:jc w:val="right"/>
              <w:rPr>
                <w:rFonts w:cs="Arial"/>
                <w:spacing w:val="-2"/>
              </w:rPr>
            </w:pPr>
          </w:p>
        </w:tc>
        <w:tc>
          <w:tcPr>
            <w:tcW w:w="1417" w:type="dxa"/>
            <w:tcBorders>
              <w:top w:val="nil"/>
              <w:left w:val="nil"/>
              <w:bottom w:val="nil"/>
              <w:right w:val="nil"/>
            </w:tcBorders>
          </w:tcPr>
          <w:p w14:paraId="700A6581" w14:textId="77777777" w:rsidR="003114B6" w:rsidRPr="003114B6" w:rsidRDefault="003114B6" w:rsidP="003114B6">
            <w:pPr>
              <w:suppressAutoHyphens/>
              <w:ind w:right="138"/>
              <w:jc w:val="right"/>
              <w:rPr>
                <w:rFonts w:cs="Arial"/>
                <w:spacing w:val="-2"/>
              </w:rPr>
            </w:pPr>
          </w:p>
        </w:tc>
      </w:tr>
      <w:tr w:rsidR="003114B6" w:rsidRPr="003114B6" w14:paraId="7146363C" w14:textId="77777777" w:rsidTr="00625C11">
        <w:tc>
          <w:tcPr>
            <w:tcW w:w="4678" w:type="dxa"/>
            <w:tcBorders>
              <w:top w:val="nil"/>
              <w:left w:val="nil"/>
              <w:bottom w:val="nil"/>
              <w:right w:val="nil"/>
            </w:tcBorders>
          </w:tcPr>
          <w:p w14:paraId="429C668C" w14:textId="77777777" w:rsidR="003114B6" w:rsidRPr="003114B6" w:rsidRDefault="003114B6" w:rsidP="003114B6">
            <w:pPr>
              <w:ind w:firstLine="624"/>
              <w:jc w:val="both"/>
            </w:pPr>
            <w:r w:rsidRPr="003114B6">
              <w:t>Ordinary shares of £1 each</w:t>
            </w:r>
          </w:p>
        </w:tc>
        <w:tc>
          <w:tcPr>
            <w:tcW w:w="1418" w:type="dxa"/>
            <w:tcBorders>
              <w:top w:val="nil"/>
              <w:left w:val="nil"/>
              <w:bottom w:val="nil"/>
              <w:right w:val="nil"/>
            </w:tcBorders>
          </w:tcPr>
          <w:p w14:paraId="0516D2BE" w14:textId="77777777" w:rsidR="003114B6" w:rsidRPr="003114B6" w:rsidRDefault="003114B6" w:rsidP="003114B6">
            <w:pPr>
              <w:suppressAutoHyphens/>
              <w:ind w:right="138"/>
              <w:jc w:val="right"/>
              <w:rPr>
                <w:rFonts w:cs="Arial"/>
                <w:spacing w:val="-2"/>
              </w:rPr>
            </w:pPr>
            <w:r w:rsidRPr="003114B6">
              <w:rPr>
                <w:rFonts w:cs="Arial"/>
                <w:spacing w:val="-2"/>
              </w:rPr>
              <w:t>5,824</w:t>
            </w:r>
          </w:p>
        </w:tc>
        <w:tc>
          <w:tcPr>
            <w:tcW w:w="1417" w:type="dxa"/>
            <w:tcBorders>
              <w:top w:val="nil"/>
              <w:left w:val="nil"/>
              <w:bottom w:val="nil"/>
              <w:right w:val="nil"/>
            </w:tcBorders>
          </w:tcPr>
          <w:p w14:paraId="579F7A3F" w14:textId="77777777" w:rsidR="003114B6" w:rsidRPr="003114B6" w:rsidRDefault="003114B6" w:rsidP="003114B6">
            <w:pPr>
              <w:suppressAutoHyphens/>
              <w:ind w:right="138"/>
              <w:jc w:val="right"/>
              <w:rPr>
                <w:rFonts w:cs="Arial"/>
                <w:spacing w:val="-2"/>
              </w:rPr>
            </w:pPr>
            <w:r w:rsidRPr="003114B6">
              <w:rPr>
                <w:rFonts w:cs="Arial"/>
                <w:spacing w:val="-2"/>
              </w:rPr>
              <w:t>5,824</w:t>
            </w:r>
          </w:p>
        </w:tc>
        <w:tc>
          <w:tcPr>
            <w:tcW w:w="1418" w:type="dxa"/>
            <w:tcBorders>
              <w:top w:val="nil"/>
              <w:left w:val="nil"/>
              <w:bottom w:val="nil"/>
              <w:right w:val="nil"/>
            </w:tcBorders>
          </w:tcPr>
          <w:p w14:paraId="1C2197B5" w14:textId="77777777" w:rsidR="003114B6" w:rsidRPr="003114B6" w:rsidRDefault="003114B6" w:rsidP="003114B6">
            <w:pPr>
              <w:suppressAutoHyphens/>
              <w:ind w:right="138"/>
              <w:jc w:val="right"/>
              <w:rPr>
                <w:rFonts w:cs="Arial"/>
                <w:spacing w:val="-2"/>
              </w:rPr>
            </w:pPr>
            <w:r w:rsidRPr="003114B6">
              <w:rPr>
                <w:rFonts w:cs="Arial"/>
                <w:spacing w:val="-2"/>
              </w:rPr>
              <w:t>5,824</w:t>
            </w:r>
          </w:p>
        </w:tc>
        <w:tc>
          <w:tcPr>
            <w:tcW w:w="1417" w:type="dxa"/>
            <w:tcBorders>
              <w:top w:val="nil"/>
              <w:left w:val="nil"/>
              <w:bottom w:val="nil"/>
              <w:right w:val="nil"/>
            </w:tcBorders>
          </w:tcPr>
          <w:p w14:paraId="4FC5C5E8" w14:textId="77777777" w:rsidR="003114B6" w:rsidRPr="003114B6" w:rsidRDefault="003114B6" w:rsidP="003114B6">
            <w:pPr>
              <w:suppressAutoHyphens/>
              <w:ind w:right="138"/>
              <w:jc w:val="right"/>
              <w:rPr>
                <w:rFonts w:cs="Arial"/>
                <w:spacing w:val="-2"/>
              </w:rPr>
            </w:pPr>
            <w:r w:rsidRPr="003114B6">
              <w:rPr>
                <w:rFonts w:cs="Arial"/>
                <w:spacing w:val="-2"/>
              </w:rPr>
              <w:t>5,824</w:t>
            </w:r>
          </w:p>
        </w:tc>
      </w:tr>
      <w:tr w:rsidR="003114B6" w:rsidRPr="003114B6" w14:paraId="2465F851" w14:textId="77777777" w:rsidTr="00625C11">
        <w:tc>
          <w:tcPr>
            <w:tcW w:w="4678" w:type="dxa"/>
            <w:tcBorders>
              <w:top w:val="nil"/>
              <w:left w:val="nil"/>
              <w:bottom w:val="nil"/>
              <w:right w:val="nil"/>
            </w:tcBorders>
          </w:tcPr>
          <w:p w14:paraId="2D9B9DA6" w14:textId="77777777" w:rsidR="003114B6" w:rsidRPr="003114B6" w:rsidRDefault="003114B6" w:rsidP="003114B6">
            <w:pPr>
              <w:ind w:firstLine="624"/>
              <w:jc w:val="both"/>
            </w:pPr>
            <w:r w:rsidRPr="003114B6">
              <w:t>B Ordinary shares of £1 each</w:t>
            </w:r>
          </w:p>
        </w:tc>
        <w:tc>
          <w:tcPr>
            <w:tcW w:w="1418" w:type="dxa"/>
            <w:tcBorders>
              <w:top w:val="nil"/>
              <w:left w:val="nil"/>
              <w:bottom w:val="nil"/>
              <w:right w:val="nil"/>
            </w:tcBorders>
          </w:tcPr>
          <w:p w14:paraId="45FBBAE7" w14:textId="77777777" w:rsidR="003114B6" w:rsidRPr="003114B6" w:rsidRDefault="003114B6" w:rsidP="003114B6">
            <w:pPr>
              <w:suppressAutoHyphens/>
              <w:ind w:right="138"/>
              <w:jc w:val="right"/>
              <w:rPr>
                <w:rFonts w:cs="Arial"/>
                <w:spacing w:val="-2"/>
              </w:rPr>
            </w:pPr>
            <w:r w:rsidRPr="003114B6">
              <w:rPr>
                <w:rFonts w:cs="Arial"/>
                <w:spacing w:val="-2"/>
              </w:rPr>
              <w:t>56,054</w:t>
            </w:r>
          </w:p>
        </w:tc>
        <w:tc>
          <w:tcPr>
            <w:tcW w:w="1417" w:type="dxa"/>
            <w:tcBorders>
              <w:top w:val="nil"/>
              <w:left w:val="nil"/>
              <w:bottom w:val="nil"/>
              <w:right w:val="nil"/>
            </w:tcBorders>
          </w:tcPr>
          <w:p w14:paraId="653E0256" w14:textId="77777777" w:rsidR="003114B6" w:rsidRPr="003114B6" w:rsidRDefault="003114B6" w:rsidP="003114B6">
            <w:pPr>
              <w:suppressAutoHyphens/>
              <w:ind w:right="138"/>
              <w:jc w:val="right"/>
              <w:rPr>
                <w:rFonts w:cs="Arial"/>
                <w:spacing w:val="-2"/>
              </w:rPr>
            </w:pPr>
            <w:r w:rsidRPr="003114B6">
              <w:rPr>
                <w:rFonts w:cs="Arial"/>
                <w:spacing w:val="-2"/>
              </w:rPr>
              <w:t>48,054</w:t>
            </w:r>
          </w:p>
        </w:tc>
        <w:tc>
          <w:tcPr>
            <w:tcW w:w="1418" w:type="dxa"/>
            <w:tcBorders>
              <w:top w:val="nil"/>
              <w:left w:val="nil"/>
              <w:bottom w:val="nil"/>
              <w:right w:val="nil"/>
            </w:tcBorders>
          </w:tcPr>
          <w:p w14:paraId="16EC95F4" w14:textId="77777777" w:rsidR="003114B6" w:rsidRPr="003114B6" w:rsidRDefault="003114B6" w:rsidP="003114B6">
            <w:pPr>
              <w:suppressAutoHyphens/>
              <w:ind w:right="138"/>
              <w:jc w:val="right"/>
              <w:rPr>
                <w:rFonts w:cs="Arial"/>
                <w:spacing w:val="-2"/>
              </w:rPr>
            </w:pPr>
            <w:r w:rsidRPr="003114B6">
              <w:rPr>
                <w:rFonts w:cs="Arial"/>
                <w:spacing w:val="-2"/>
              </w:rPr>
              <w:t>56,054</w:t>
            </w:r>
          </w:p>
        </w:tc>
        <w:tc>
          <w:tcPr>
            <w:tcW w:w="1417" w:type="dxa"/>
            <w:tcBorders>
              <w:top w:val="nil"/>
              <w:left w:val="nil"/>
              <w:bottom w:val="nil"/>
              <w:right w:val="nil"/>
            </w:tcBorders>
          </w:tcPr>
          <w:p w14:paraId="0D417D06" w14:textId="77777777" w:rsidR="003114B6" w:rsidRPr="003114B6" w:rsidRDefault="003114B6" w:rsidP="003114B6">
            <w:pPr>
              <w:suppressAutoHyphens/>
              <w:ind w:right="138"/>
              <w:jc w:val="right"/>
              <w:rPr>
                <w:rFonts w:cs="Arial"/>
                <w:spacing w:val="-2"/>
              </w:rPr>
            </w:pPr>
            <w:r w:rsidRPr="003114B6">
              <w:rPr>
                <w:rFonts w:cs="Arial"/>
                <w:spacing w:val="-2"/>
              </w:rPr>
              <w:t>48,054</w:t>
            </w:r>
          </w:p>
        </w:tc>
      </w:tr>
      <w:tr w:rsidR="003114B6" w:rsidRPr="003114B6" w14:paraId="0756858B" w14:textId="77777777" w:rsidTr="00625C11">
        <w:tc>
          <w:tcPr>
            <w:tcW w:w="4678" w:type="dxa"/>
            <w:tcBorders>
              <w:top w:val="nil"/>
              <w:left w:val="nil"/>
              <w:bottom w:val="nil"/>
              <w:right w:val="nil"/>
            </w:tcBorders>
          </w:tcPr>
          <w:p w14:paraId="76F40A8C" w14:textId="77777777" w:rsidR="003114B6" w:rsidRPr="003114B6" w:rsidRDefault="003114B6" w:rsidP="003114B6">
            <w:pPr>
              <w:suppressAutoHyphens/>
              <w:ind w:left="588"/>
              <w:rPr>
                <w:rFonts w:cs="Arial"/>
                <w:spacing w:val="-2"/>
              </w:rPr>
            </w:pPr>
          </w:p>
        </w:tc>
        <w:tc>
          <w:tcPr>
            <w:tcW w:w="1418" w:type="dxa"/>
            <w:tcBorders>
              <w:top w:val="nil"/>
              <w:left w:val="nil"/>
              <w:bottom w:val="nil"/>
              <w:right w:val="nil"/>
            </w:tcBorders>
          </w:tcPr>
          <w:p w14:paraId="0B4595DF"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07934CFA"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8" w:type="dxa"/>
            <w:tcBorders>
              <w:top w:val="nil"/>
              <w:left w:val="nil"/>
              <w:bottom w:val="nil"/>
              <w:right w:val="nil"/>
            </w:tcBorders>
          </w:tcPr>
          <w:p w14:paraId="38FCD8CE"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57162356" w14:textId="77777777" w:rsidR="003114B6" w:rsidRPr="003114B6" w:rsidRDefault="003114B6" w:rsidP="003114B6">
            <w:pPr>
              <w:suppressAutoHyphens/>
              <w:ind w:right="138"/>
              <w:jc w:val="right"/>
              <w:rPr>
                <w:rFonts w:cs="Arial"/>
                <w:spacing w:val="-2"/>
              </w:rPr>
            </w:pPr>
            <w:r w:rsidRPr="003114B6">
              <w:rPr>
                <w:rFonts w:cs="Arial"/>
                <w:spacing w:val="-2"/>
              </w:rPr>
              <w:t>─────</w:t>
            </w:r>
          </w:p>
        </w:tc>
      </w:tr>
      <w:tr w:rsidR="003114B6" w:rsidRPr="003114B6" w14:paraId="3261525C" w14:textId="77777777" w:rsidTr="00625C11">
        <w:tc>
          <w:tcPr>
            <w:tcW w:w="4678" w:type="dxa"/>
            <w:tcBorders>
              <w:top w:val="nil"/>
              <w:left w:val="nil"/>
              <w:bottom w:val="nil"/>
              <w:right w:val="nil"/>
            </w:tcBorders>
          </w:tcPr>
          <w:p w14:paraId="1D4DDD2C" w14:textId="77777777" w:rsidR="003114B6" w:rsidRPr="003114B6" w:rsidRDefault="003114B6" w:rsidP="003114B6">
            <w:pPr>
              <w:ind w:left="624"/>
            </w:pPr>
          </w:p>
        </w:tc>
        <w:tc>
          <w:tcPr>
            <w:tcW w:w="1418" w:type="dxa"/>
            <w:tcBorders>
              <w:top w:val="nil"/>
              <w:left w:val="nil"/>
              <w:bottom w:val="nil"/>
              <w:right w:val="nil"/>
            </w:tcBorders>
          </w:tcPr>
          <w:p w14:paraId="4F2A92E3" w14:textId="77777777" w:rsidR="003114B6" w:rsidRPr="003114B6" w:rsidRDefault="003114B6" w:rsidP="003114B6">
            <w:pPr>
              <w:suppressAutoHyphens/>
              <w:ind w:right="138"/>
              <w:jc w:val="right"/>
              <w:rPr>
                <w:rFonts w:cs="Arial"/>
                <w:spacing w:val="-2"/>
              </w:rPr>
            </w:pPr>
            <w:r w:rsidRPr="003114B6">
              <w:rPr>
                <w:rFonts w:cs="Arial"/>
                <w:spacing w:val="-2"/>
              </w:rPr>
              <w:t>61,878</w:t>
            </w:r>
          </w:p>
        </w:tc>
        <w:tc>
          <w:tcPr>
            <w:tcW w:w="1417" w:type="dxa"/>
            <w:tcBorders>
              <w:top w:val="nil"/>
              <w:left w:val="nil"/>
              <w:bottom w:val="nil"/>
              <w:right w:val="nil"/>
            </w:tcBorders>
          </w:tcPr>
          <w:p w14:paraId="2F51E742" w14:textId="77777777" w:rsidR="003114B6" w:rsidRPr="003114B6" w:rsidRDefault="003114B6" w:rsidP="003114B6">
            <w:pPr>
              <w:suppressAutoHyphens/>
              <w:ind w:right="138"/>
              <w:jc w:val="right"/>
              <w:rPr>
                <w:rFonts w:cs="Arial"/>
                <w:spacing w:val="-2"/>
              </w:rPr>
            </w:pPr>
            <w:r w:rsidRPr="003114B6">
              <w:rPr>
                <w:rFonts w:cs="Arial"/>
                <w:spacing w:val="-2"/>
              </w:rPr>
              <w:t>53,878</w:t>
            </w:r>
          </w:p>
        </w:tc>
        <w:tc>
          <w:tcPr>
            <w:tcW w:w="1418" w:type="dxa"/>
            <w:tcBorders>
              <w:top w:val="nil"/>
              <w:left w:val="nil"/>
              <w:bottom w:val="nil"/>
              <w:right w:val="nil"/>
            </w:tcBorders>
          </w:tcPr>
          <w:p w14:paraId="74218BD1" w14:textId="77777777" w:rsidR="003114B6" w:rsidRPr="003114B6" w:rsidRDefault="003114B6" w:rsidP="003114B6">
            <w:pPr>
              <w:suppressAutoHyphens/>
              <w:ind w:right="138"/>
              <w:jc w:val="right"/>
              <w:rPr>
                <w:rFonts w:cs="Arial"/>
                <w:spacing w:val="-2"/>
              </w:rPr>
            </w:pPr>
            <w:r w:rsidRPr="003114B6">
              <w:rPr>
                <w:rFonts w:cs="Arial"/>
                <w:spacing w:val="-2"/>
              </w:rPr>
              <w:t>61,878</w:t>
            </w:r>
          </w:p>
        </w:tc>
        <w:tc>
          <w:tcPr>
            <w:tcW w:w="1417" w:type="dxa"/>
            <w:tcBorders>
              <w:top w:val="nil"/>
              <w:left w:val="nil"/>
              <w:bottom w:val="nil"/>
              <w:right w:val="nil"/>
            </w:tcBorders>
          </w:tcPr>
          <w:p w14:paraId="45FDBDA6" w14:textId="77777777" w:rsidR="003114B6" w:rsidRPr="003114B6" w:rsidRDefault="003114B6" w:rsidP="003114B6">
            <w:pPr>
              <w:suppressAutoHyphens/>
              <w:ind w:right="138"/>
              <w:jc w:val="right"/>
              <w:rPr>
                <w:rFonts w:cs="Arial"/>
                <w:spacing w:val="-2"/>
              </w:rPr>
            </w:pPr>
            <w:r w:rsidRPr="003114B6">
              <w:rPr>
                <w:rFonts w:cs="Arial"/>
                <w:spacing w:val="-2"/>
              </w:rPr>
              <w:t>53,878</w:t>
            </w:r>
          </w:p>
        </w:tc>
      </w:tr>
      <w:tr w:rsidR="003114B6" w:rsidRPr="003114B6" w14:paraId="03F78423" w14:textId="77777777" w:rsidTr="00625C11">
        <w:tc>
          <w:tcPr>
            <w:tcW w:w="4678" w:type="dxa"/>
            <w:tcBorders>
              <w:top w:val="nil"/>
              <w:left w:val="nil"/>
              <w:bottom w:val="nil"/>
              <w:right w:val="nil"/>
            </w:tcBorders>
          </w:tcPr>
          <w:p w14:paraId="5AA17115" w14:textId="77777777" w:rsidR="003114B6" w:rsidRPr="003114B6" w:rsidRDefault="003114B6" w:rsidP="003114B6">
            <w:pPr>
              <w:suppressAutoHyphens/>
              <w:rPr>
                <w:rFonts w:cs="Arial"/>
                <w:spacing w:val="-2"/>
              </w:rPr>
            </w:pPr>
          </w:p>
        </w:tc>
        <w:tc>
          <w:tcPr>
            <w:tcW w:w="1418" w:type="dxa"/>
            <w:tcBorders>
              <w:top w:val="nil"/>
              <w:left w:val="nil"/>
              <w:bottom w:val="nil"/>
              <w:right w:val="nil"/>
            </w:tcBorders>
          </w:tcPr>
          <w:p w14:paraId="7E7C0E6A"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7841E5E6"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8" w:type="dxa"/>
            <w:tcBorders>
              <w:top w:val="nil"/>
              <w:left w:val="nil"/>
              <w:bottom w:val="nil"/>
              <w:right w:val="nil"/>
            </w:tcBorders>
          </w:tcPr>
          <w:p w14:paraId="131DB041" w14:textId="77777777" w:rsidR="003114B6" w:rsidRPr="003114B6" w:rsidRDefault="003114B6" w:rsidP="003114B6">
            <w:pPr>
              <w:suppressAutoHyphens/>
              <w:ind w:right="138"/>
              <w:jc w:val="right"/>
              <w:rPr>
                <w:rFonts w:cs="Arial"/>
                <w:spacing w:val="-2"/>
              </w:rPr>
            </w:pPr>
            <w:r w:rsidRPr="003114B6">
              <w:rPr>
                <w:rFonts w:cs="Arial"/>
                <w:spacing w:val="-2"/>
              </w:rPr>
              <w:t>═════</w:t>
            </w:r>
          </w:p>
        </w:tc>
        <w:tc>
          <w:tcPr>
            <w:tcW w:w="1417" w:type="dxa"/>
            <w:tcBorders>
              <w:top w:val="nil"/>
              <w:left w:val="nil"/>
              <w:bottom w:val="nil"/>
              <w:right w:val="nil"/>
            </w:tcBorders>
          </w:tcPr>
          <w:p w14:paraId="74FF5F4A" w14:textId="77777777" w:rsidR="003114B6" w:rsidRPr="003114B6" w:rsidRDefault="003114B6" w:rsidP="003114B6">
            <w:pPr>
              <w:suppressAutoHyphens/>
              <w:ind w:right="138"/>
              <w:jc w:val="right"/>
              <w:rPr>
                <w:rFonts w:cs="Arial"/>
                <w:spacing w:val="-2"/>
              </w:rPr>
            </w:pPr>
            <w:r w:rsidRPr="003114B6">
              <w:rPr>
                <w:rFonts w:cs="Arial"/>
                <w:spacing w:val="-2"/>
              </w:rPr>
              <w:t>═════</w:t>
            </w:r>
          </w:p>
        </w:tc>
      </w:tr>
    </w:tbl>
    <w:p w14:paraId="4994D5B5" w14:textId="77777777" w:rsidR="00394796" w:rsidRPr="005461CD" w:rsidRDefault="00394796" w:rsidP="00BC27D8">
      <w:pPr>
        <w:ind w:left="510"/>
        <w:jc w:val="both"/>
        <w:rPr>
          <w:sz w:val="12"/>
          <w:szCs w:val="12"/>
        </w:rPr>
      </w:pPr>
    </w:p>
    <w:p w14:paraId="6DD753EC" w14:textId="77777777" w:rsidR="004D2CDD" w:rsidRPr="00C328EF" w:rsidRDefault="00BC27D8" w:rsidP="00BC27D8">
      <w:pPr>
        <w:ind w:left="510"/>
        <w:jc w:val="both"/>
        <w:rPr>
          <w:highlight w:val="yellow"/>
        </w:rPr>
      </w:pPr>
      <w:r w:rsidRPr="00E10B7E">
        <w:t xml:space="preserve">On </w:t>
      </w:r>
      <w:r w:rsidR="002E28B9" w:rsidRPr="00E10B7E">
        <w:t>2</w:t>
      </w:r>
      <w:r w:rsidR="00E10B7E" w:rsidRPr="00E10B7E">
        <w:t>6</w:t>
      </w:r>
      <w:r w:rsidRPr="00E10B7E">
        <w:t xml:space="preserve"> </w:t>
      </w:r>
      <w:r w:rsidR="002E28B9" w:rsidRPr="00E10B7E">
        <w:t>Ma</w:t>
      </w:r>
      <w:r w:rsidR="00FA52A9" w:rsidRPr="00E10B7E">
        <w:t>rch</w:t>
      </w:r>
      <w:r w:rsidRPr="00D10084">
        <w:t xml:space="preserve"> 20</w:t>
      </w:r>
      <w:r w:rsidR="00394796" w:rsidRPr="00D10084">
        <w:t>2</w:t>
      </w:r>
      <w:r w:rsidR="00D10084" w:rsidRPr="00D10084">
        <w:t>4</w:t>
      </w:r>
      <w:r w:rsidRPr="00D10084">
        <w:t xml:space="preserve"> </w:t>
      </w:r>
      <w:r w:rsidR="00394796" w:rsidRPr="00D10084">
        <w:t>B O</w:t>
      </w:r>
      <w:r w:rsidRPr="00D10084">
        <w:t xml:space="preserve">rdinary </w:t>
      </w:r>
      <w:r w:rsidR="00394796" w:rsidRPr="00D10084">
        <w:t>S</w:t>
      </w:r>
      <w:r w:rsidRPr="00D10084">
        <w:t xml:space="preserve">hares of </w:t>
      </w:r>
      <w:r w:rsidR="00D10084">
        <w:t>8</w:t>
      </w:r>
      <w:r w:rsidR="00FA52A9" w:rsidRPr="00D10084">
        <w:t>,000</w:t>
      </w:r>
      <w:r w:rsidRPr="00D10084">
        <w:t>,000 were issued of £1 each.</w:t>
      </w:r>
    </w:p>
    <w:p w14:paraId="78BB7666" w14:textId="77777777" w:rsidR="000A3D31" w:rsidRPr="00F45179" w:rsidRDefault="00F21059" w:rsidP="00566724">
      <w:pPr>
        <w:jc w:val="center"/>
        <w:rPr>
          <w:b/>
        </w:rPr>
      </w:pPr>
      <w:r w:rsidRPr="00C328EF">
        <w:rPr>
          <w:b/>
          <w:highlight w:val="yellow"/>
        </w:rPr>
        <w:br w:type="page"/>
      </w:r>
      <w:bookmarkStart w:id="42" w:name="_Hlk35534970"/>
      <w:r w:rsidR="0072031E" w:rsidRPr="00F45179">
        <w:rPr>
          <w:b/>
        </w:rPr>
        <w:lastRenderedPageBreak/>
        <w:t>TRANSPORT FOR EDINBURGH LIMITED</w:t>
      </w:r>
    </w:p>
    <w:p w14:paraId="4ABA1606" w14:textId="77777777" w:rsidR="000A3D31" w:rsidRPr="00F45179" w:rsidRDefault="000A3D31" w:rsidP="000A3D31">
      <w:pPr>
        <w:jc w:val="center"/>
        <w:rPr>
          <w:b/>
        </w:rPr>
      </w:pPr>
    </w:p>
    <w:p w14:paraId="5FEBBE77" w14:textId="77777777" w:rsidR="000A3D31" w:rsidRPr="00F45179" w:rsidRDefault="000A3D31" w:rsidP="000A3D31">
      <w:pPr>
        <w:jc w:val="center"/>
        <w:rPr>
          <w:b/>
        </w:rPr>
      </w:pPr>
      <w:r w:rsidRPr="00F45179">
        <w:rPr>
          <w:b/>
        </w:rPr>
        <w:t>Notes to the Financial Statements (continued)</w:t>
      </w:r>
    </w:p>
    <w:p w14:paraId="71F6D6B6" w14:textId="77777777" w:rsidR="000A3D31" w:rsidRPr="00F45179" w:rsidRDefault="000A3D31" w:rsidP="000A3D31">
      <w:pPr>
        <w:jc w:val="center"/>
        <w:rPr>
          <w:b/>
        </w:rPr>
      </w:pPr>
    </w:p>
    <w:p w14:paraId="2597EB25" w14:textId="77777777" w:rsidR="00BE5DCB" w:rsidRPr="00F45179" w:rsidRDefault="00D90B89" w:rsidP="00BE5DCB">
      <w:pPr>
        <w:tabs>
          <w:tab w:val="left" w:pos="567"/>
        </w:tabs>
        <w:jc w:val="center"/>
        <w:rPr>
          <w:b/>
        </w:rPr>
      </w:pPr>
      <w:r w:rsidRPr="00820267">
        <w:rPr>
          <w:b/>
        </w:rPr>
        <w:t xml:space="preserve">For the </w:t>
      </w:r>
      <w:r>
        <w:rPr>
          <w:b/>
        </w:rPr>
        <w:t>period</w:t>
      </w:r>
      <w:r w:rsidRPr="00820267">
        <w:rPr>
          <w:b/>
        </w:rPr>
        <w:t xml:space="preserve"> ended </w:t>
      </w:r>
      <w:r>
        <w:rPr>
          <w:b/>
        </w:rPr>
        <w:t>28</w:t>
      </w:r>
      <w:r w:rsidRPr="00820267">
        <w:rPr>
          <w:b/>
        </w:rPr>
        <w:t xml:space="preserve"> December 2024</w:t>
      </w:r>
    </w:p>
    <w:bookmarkEnd w:id="42"/>
    <w:p w14:paraId="5024BAFD" w14:textId="77777777" w:rsidR="00F12726" w:rsidRPr="00977682" w:rsidRDefault="00F12726" w:rsidP="00BE5DCB">
      <w:pPr>
        <w:tabs>
          <w:tab w:val="left" w:pos="567"/>
        </w:tabs>
        <w:jc w:val="center"/>
        <w:rPr>
          <w:b/>
        </w:rPr>
      </w:pPr>
    </w:p>
    <w:p w14:paraId="2C265FDE" w14:textId="77777777" w:rsidR="00B316D2" w:rsidRPr="00977682" w:rsidRDefault="00B316D2" w:rsidP="00A5227C">
      <w:pPr>
        <w:numPr>
          <w:ilvl w:val="0"/>
          <w:numId w:val="40"/>
        </w:numPr>
        <w:tabs>
          <w:tab w:val="num" w:pos="546"/>
        </w:tabs>
        <w:ind w:left="360"/>
        <w:rPr>
          <w:b/>
        </w:rPr>
      </w:pPr>
      <w:r w:rsidRPr="00977682">
        <w:rPr>
          <w:b/>
        </w:rPr>
        <w:t>Reserves</w:t>
      </w:r>
    </w:p>
    <w:tbl>
      <w:tblPr>
        <w:tblW w:w="10314" w:type="dxa"/>
        <w:tblLayout w:type="fixed"/>
        <w:tblLook w:val="01E0" w:firstRow="1" w:lastRow="1" w:firstColumn="1" w:lastColumn="1" w:noHBand="0" w:noVBand="0"/>
      </w:tblPr>
      <w:tblGrid>
        <w:gridCol w:w="4361"/>
        <w:gridCol w:w="1701"/>
        <w:gridCol w:w="1417"/>
        <w:gridCol w:w="1418"/>
        <w:gridCol w:w="1417"/>
      </w:tblGrid>
      <w:tr w:rsidR="00027C6B" w:rsidRPr="00977682" w14:paraId="15EEBCDA" w14:textId="77777777" w:rsidTr="00625C11">
        <w:tc>
          <w:tcPr>
            <w:tcW w:w="4361" w:type="dxa"/>
          </w:tcPr>
          <w:p w14:paraId="573886F6" w14:textId="77777777" w:rsidR="00027C6B" w:rsidRPr="00977682" w:rsidRDefault="00027C6B" w:rsidP="00BA7CA3">
            <w:pPr>
              <w:suppressAutoHyphens/>
              <w:ind w:firstLine="546"/>
              <w:rPr>
                <w:b/>
              </w:rPr>
            </w:pPr>
          </w:p>
        </w:tc>
        <w:tc>
          <w:tcPr>
            <w:tcW w:w="1701" w:type="dxa"/>
          </w:tcPr>
          <w:p w14:paraId="2E9E77DD" w14:textId="77777777" w:rsidR="00027C6B" w:rsidRPr="00977682" w:rsidRDefault="00027C6B" w:rsidP="00EB3062">
            <w:pPr>
              <w:suppressAutoHyphens/>
              <w:ind w:right="126"/>
              <w:jc w:val="right"/>
              <w:rPr>
                <w:rFonts w:cs="Arial"/>
                <w:b/>
                <w:spacing w:val="-2"/>
              </w:rPr>
            </w:pPr>
            <w:r w:rsidRPr="00977682">
              <w:rPr>
                <w:rFonts w:cs="Arial"/>
                <w:b/>
                <w:spacing w:val="-2"/>
              </w:rPr>
              <w:t>Revaluation</w:t>
            </w:r>
          </w:p>
        </w:tc>
        <w:tc>
          <w:tcPr>
            <w:tcW w:w="1417" w:type="dxa"/>
          </w:tcPr>
          <w:p w14:paraId="106933BA" w14:textId="77777777" w:rsidR="00027C6B" w:rsidRPr="00977682" w:rsidRDefault="00027C6B" w:rsidP="00EB3062">
            <w:pPr>
              <w:tabs>
                <w:tab w:val="left" w:pos="1309"/>
              </w:tabs>
              <w:suppressAutoHyphens/>
              <w:ind w:right="126"/>
              <w:jc w:val="right"/>
              <w:rPr>
                <w:rFonts w:cs="Arial"/>
                <w:b/>
                <w:spacing w:val="-2"/>
              </w:rPr>
            </w:pPr>
            <w:r w:rsidRPr="00977682">
              <w:rPr>
                <w:rFonts w:cs="Arial"/>
                <w:b/>
                <w:spacing w:val="-2"/>
              </w:rPr>
              <w:t>Other</w:t>
            </w:r>
          </w:p>
        </w:tc>
        <w:tc>
          <w:tcPr>
            <w:tcW w:w="1418" w:type="dxa"/>
          </w:tcPr>
          <w:p w14:paraId="2EF22343" w14:textId="77777777" w:rsidR="00027C6B" w:rsidRPr="00977682" w:rsidRDefault="00027C6B" w:rsidP="00EB3062">
            <w:pPr>
              <w:suppressAutoHyphens/>
              <w:ind w:right="33"/>
              <w:jc w:val="right"/>
              <w:rPr>
                <w:rFonts w:cs="Arial"/>
                <w:b/>
                <w:spacing w:val="-2"/>
              </w:rPr>
            </w:pPr>
            <w:r w:rsidRPr="00977682">
              <w:rPr>
                <w:rFonts w:cs="Arial"/>
                <w:b/>
                <w:spacing w:val="-2"/>
              </w:rPr>
              <w:t>Hedging</w:t>
            </w:r>
          </w:p>
        </w:tc>
        <w:tc>
          <w:tcPr>
            <w:tcW w:w="1417" w:type="dxa"/>
          </w:tcPr>
          <w:p w14:paraId="1A3FA020" w14:textId="77777777" w:rsidR="00027C6B" w:rsidRPr="00977682" w:rsidRDefault="00027C6B" w:rsidP="00EB3062">
            <w:pPr>
              <w:suppressAutoHyphens/>
              <w:ind w:right="34"/>
              <w:jc w:val="right"/>
              <w:rPr>
                <w:rFonts w:cs="Arial"/>
                <w:b/>
                <w:spacing w:val="-2"/>
              </w:rPr>
            </w:pPr>
            <w:r w:rsidRPr="00977682">
              <w:rPr>
                <w:rFonts w:cs="Arial"/>
                <w:b/>
                <w:spacing w:val="-2"/>
              </w:rPr>
              <w:t>Retained</w:t>
            </w:r>
          </w:p>
        </w:tc>
      </w:tr>
      <w:tr w:rsidR="00027C6B" w:rsidRPr="00C328EF" w14:paraId="2F86AB8A" w14:textId="77777777" w:rsidTr="00625C11">
        <w:tc>
          <w:tcPr>
            <w:tcW w:w="4361" w:type="dxa"/>
          </w:tcPr>
          <w:p w14:paraId="02CFA6C7" w14:textId="77777777" w:rsidR="00027C6B" w:rsidRPr="00D10084" w:rsidRDefault="00027C6B" w:rsidP="00BA7CA3">
            <w:pPr>
              <w:suppressAutoHyphens/>
              <w:ind w:firstLine="546"/>
              <w:rPr>
                <w:b/>
              </w:rPr>
            </w:pPr>
          </w:p>
        </w:tc>
        <w:tc>
          <w:tcPr>
            <w:tcW w:w="1701" w:type="dxa"/>
          </w:tcPr>
          <w:p w14:paraId="733DE0E1" w14:textId="77777777" w:rsidR="00027C6B" w:rsidRPr="00D10084" w:rsidRDefault="00027C6B" w:rsidP="00EB3062">
            <w:pPr>
              <w:suppressAutoHyphens/>
              <w:ind w:right="126"/>
              <w:jc w:val="right"/>
              <w:rPr>
                <w:rFonts w:cs="Arial"/>
                <w:b/>
                <w:spacing w:val="-2"/>
              </w:rPr>
            </w:pPr>
            <w:r w:rsidRPr="00D10084">
              <w:rPr>
                <w:rFonts w:cs="Arial"/>
                <w:b/>
                <w:spacing w:val="-2"/>
              </w:rPr>
              <w:t>Reserve</w:t>
            </w:r>
          </w:p>
        </w:tc>
        <w:tc>
          <w:tcPr>
            <w:tcW w:w="1417" w:type="dxa"/>
          </w:tcPr>
          <w:p w14:paraId="27E9079C" w14:textId="77777777" w:rsidR="00027C6B" w:rsidRPr="00D10084" w:rsidRDefault="00027C6B" w:rsidP="00EB3062">
            <w:pPr>
              <w:tabs>
                <w:tab w:val="left" w:pos="1309"/>
              </w:tabs>
              <w:suppressAutoHyphens/>
              <w:ind w:right="126"/>
              <w:jc w:val="right"/>
              <w:rPr>
                <w:rFonts w:cs="Arial"/>
                <w:b/>
                <w:spacing w:val="-2"/>
              </w:rPr>
            </w:pPr>
            <w:r w:rsidRPr="00D10084">
              <w:rPr>
                <w:rFonts w:cs="Arial"/>
                <w:b/>
                <w:spacing w:val="-2"/>
              </w:rPr>
              <w:t>Reserves</w:t>
            </w:r>
          </w:p>
        </w:tc>
        <w:tc>
          <w:tcPr>
            <w:tcW w:w="1418" w:type="dxa"/>
          </w:tcPr>
          <w:p w14:paraId="31D5BD6B" w14:textId="77777777" w:rsidR="00027C6B" w:rsidRPr="00D10084" w:rsidRDefault="00027C6B" w:rsidP="00EB3062">
            <w:pPr>
              <w:suppressAutoHyphens/>
              <w:ind w:right="33"/>
              <w:jc w:val="right"/>
              <w:rPr>
                <w:rFonts w:cs="Arial"/>
                <w:b/>
                <w:spacing w:val="-2"/>
              </w:rPr>
            </w:pPr>
            <w:r w:rsidRPr="00D10084">
              <w:rPr>
                <w:rFonts w:cs="Arial"/>
                <w:b/>
                <w:spacing w:val="-2"/>
              </w:rPr>
              <w:t>Reserve</w:t>
            </w:r>
          </w:p>
        </w:tc>
        <w:tc>
          <w:tcPr>
            <w:tcW w:w="1417" w:type="dxa"/>
          </w:tcPr>
          <w:p w14:paraId="6FD0923A" w14:textId="77777777" w:rsidR="00027C6B" w:rsidRPr="00D10084" w:rsidRDefault="00027C6B" w:rsidP="00EB3062">
            <w:pPr>
              <w:suppressAutoHyphens/>
              <w:ind w:right="34"/>
              <w:jc w:val="right"/>
              <w:rPr>
                <w:rFonts w:cs="Arial"/>
                <w:b/>
                <w:spacing w:val="-2"/>
              </w:rPr>
            </w:pPr>
            <w:r w:rsidRPr="00D10084">
              <w:rPr>
                <w:rFonts w:cs="Arial"/>
                <w:b/>
                <w:spacing w:val="-2"/>
              </w:rPr>
              <w:t>Earnings</w:t>
            </w:r>
          </w:p>
        </w:tc>
      </w:tr>
      <w:tr w:rsidR="00027C6B" w:rsidRPr="00C328EF" w14:paraId="2CE2D48E" w14:textId="77777777" w:rsidTr="00625C11">
        <w:tc>
          <w:tcPr>
            <w:tcW w:w="4361" w:type="dxa"/>
          </w:tcPr>
          <w:p w14:paraId="5C6F9955" w14:textId="77777777" w:rsidR="00027C6B" w:rsidRPr="00D10084" w:rsidRDefault="00027C6B" w:rsidP="00BA7CA3">
            <w:pPr>
              <w:suppressAutoHyphens/>
              <w:ind w:firstLine="546"/>
              <w:rPr>
                <w:rFonts w:cs="Arial"/>
                <w:spacing w:val="-2"/>
                <w:u w:val="single"/>
              </w:rPr>
            </w:pPr>
            <w:r w:rsidRPr="00D10084">
              <w:rPr>
                <w:b/>
                <w:u w:val="single"/>
              </w:rPr>
              <w:t>Group</w:t>
            </w:r>
          </w:p>
        </w:tc>
        <w:tc>
          <w:tcPr>
            <w:tcW w:w="1701" w:type="dxa"/>
          </w:tcPr>
          <w:p w14:paraId="405A47AB" w14:textId="77777777" w:rsidR="00027C6B" w:rsidRPr="00D10084" w:rsidRDefault="00027C6B" w:rsidP="00EB3062">
            <w:pPr>
              <w:suppressAutoHyphens/>
              <w:ind w:right="126"/>
              <w:jc w:val="right"/>
              <w:rPr>
                <w:rFonts w:cs="Arial"/>
                <w:b/>
                <w:spacing w:val="-2"/>
              </w:rPr>
            </w:pPr>
            <w:r w:rsidRPr="00D10084">
              <w:rPr>
                <w:rFonts w:cs="Arial"/>
                <w:b/>
                <w:spacing w:val="-2"/>
              </w:rPr>
              <w:t>£’000</w:t>
            </w:r>
          </w:p>
        </w:tc>
        <w:tc>
          <w:tcPr>
            <w:tcW w:w="1417" w:type="dxa"/>
          </w:tcPr>
          <w:p w14:paraId="627C3346" w14:textId="77777777" w:rsidR="00027C6B" w:rsidRPr="00D10084" w:rsidRDefault="00027C6B" w:rsidP="00EB3062">
            <w:pPr>
              <w:tabs>
                <w:tab w:val="left" w:pos="1309"/>
              </w:tabs>
              <w:suppressAutoHyphens/>
              <w:ind w:right="126"/>
              <w:jc w:val="right"/>
              <w:rPr>
                <w:rFonts w:cs="Arial"/>
                <w:b/>
                <w:spacing w:val="-2"/>
              </w:rPr>
            </w:pPr>
            <w:r w:rsidRPr="00D10084">
              <w:rPr>
                <w:rFonts w:cs="Arial"/>
                <w:b/>
                <w:spacing w:val="-2"/>
              </w:rPr>
              <w:t>£’000</w:t>
            </w:r>
          </w:p>
        </w:tc>
        <w:tc>
          <w:tcPr>
            <w:tcW w:w="1418" w:type="dxa"/>
          </w:tcPr>
          <w:p w14:paraId="51C8018F" w14:textId="77777777" w:rsidR="00027C6B" w:rsidRPr="00D10084" w:rsidRDefault="00027C6B" w:rsidP="00EB3062">
            <w:pPr>
              <w:suppressAutoHyphens/>
              <w:ind w:right="33"/>
              <w:jc w:val="right"/>
              <w:rPr>
                <w:rFonts w:cs="Arial"/>
                <w:b/>
                <w:spacing w:val="-2"/>
              </w:rPr>
            </w:pPr>
            <w:r w:rsidRPr="00D10084">
              <w:rPr>
                <w:rFonts w:cs="Arial"/>
                <w:b/>
                <w:spacing w:val="-2"/>
              </w:rPr>
              <w:t>£’000</w:t>
            </w:r>
          </w:p>
        </w:tc>
        <w:tc>
          <w:tcPr>
            <w:tcW w:w="1417" w:type="dxa"/>
          </w:tcPr>
          <w:p w14:paraId="00F0B1D4" w14:textId="77777777" w:rsidR="00027C6B" w:rsidRPr="00D10084" w:rsidRDefault="00027C6B" w:rsidP="00EB3062">
            <w:pPr>
              <w:suppressAutoHyphens/>
              <w:ind w:right="34"/>
              <w:jc w:val="right"/>
              <w:rPr>
                <w:rFonts w:cs="Arial"/>
                <w:b/>
                <w:spacing w:val="-2"/>
              </w:rPr>
            </w:pPr>
            <w:r w:rsidRPr="00D10084">
              <w:rPr>
                <w:rFonts w:cs="Arial"/>
                <w:b/>
                <w:spacing w:val="-2"/>
              </w:rPr>
              <w:t>£’000</w:t>
            </w:r>
          </w:p>
        </w:tc>
      </w:tr>
      <w:tr w:rsidR="00027C6B" w:rsidRPr="00C328EF" w14:paraId="24C3E8AF" w14:textId="77777777" w:rsidTr="00625C11">
        <w:tc>
          <w:tcPr>
            <w:tcW w:w="4361" w:type="dxa"/>
          </w:tcPr>
          <w:p w14:paraId="15010A74" w14:textId="77777777" w:rsidR="00027C6B" w:rsidRPr="00D10084" w:rsidRDefault="00027C6B" w:rsidP="00BA7CA3">
            <w:pPr>
              <w:ind w:left="546"/>
            </w:pPr>
          </w:p>
        </w:tc>
        <w:tc>
          <w:tcPr>
            <w:tcW w:w="1701" w:type="dxa"/>
          </w:tcPr>
          <w:p w14:paraId="63FAD254" w14:textId="77777777" w:rsidR="00027C6B" w:rsidRPr="00D10084" w:rsidRDefault="00027C6B" w:rsidP="00BA7CA3">
            <w:pPr>
              <w:suppressAutoHyphens/>
              <w:ind w:right="126"/>
              <w:jc w:val="right"/>
              <w:rPr>
                <w:rFonts w:cs="Arial"/>
                <w:spacing w:val="-2"/>
              </w:rPr>
            </w:pPr>
          </w:p>
        </w:tc>
        <w:tc>
          <w:tcPr>
            <w:tcW w:w="1417" w:type="dxa"/>
          </w:tcPr>
          <w:p w14:paraId="2863BBF8" w14:textId="77777777" w:rsidR="00027C6B" w:rsidRPr="00D10084" w:rsidRDefault="00027C6B" w:rsidP="003A72F1">
            <w:pPr>
              <w:tabs>
                <w:tab w:val="left" w:pos="1309"/>
              </w:tabs>
              <w:suppressAutoHyphens/>
              <w:ind w:right="126"/>
              <w:jc w:val="right"/>
              <w:rPr>
                <w:rFonts w:cs="Arial"/>
                <w:spacing w:val="-2"/>
              </w:rPr>
            </w:pPr>
          </w:p>
        </w:tc>
        <w:tc>
          <w:tcPr>
            <w:tcW w:w="1418" w:type="dxa"/>
          </w:tcPr>
          <w:p w14:paraId="152ED3FE" w14:textId="77777777" w:rsidR="00027C6B" w:rsidRPr="00D10084" w:rsidRDefault="00027C6B" w:rsidP="003A72F1">
            <w:pPr>
              <w:suppressAutoHyphens/>
              <w:ind w:right="33"/>
              <w:jc w:val="right"/>
              <w:rPr>
                <w:rFonts w:cs="Arial"/>
                <w:spacing w:val="-2"/>
              </w:rPr>
            </w:pPr>
          </w:p>
        </w:tc>
        <w:tc>
          <w:tcPr>
            <w:tcW w:w="1417" w:type="dxa"/>
          </w:tcPr>
          <w:p w14:paraId="408761E8" w14:textId="77777777" w:rsidR="00027C6B" w:rsidRPr="00D10084" w:rsidRDefault="00027C6B" w:rsidP="003A72F1">
            <w:pPr>
              <w:suppressAutoHyphens/>
              <w:ind w:right="34"/>
              <w:jc w:val="right"/>
              <w:rPr>
                <w:rFonts w:cs="Arial"/>
                <w:spacing w:val="-2"/>
              </w:rPr>
            </w:pPr>
          </w:p>
        </w:tc>
      </w:tr>
      <w:tr w:rsidR="00D10084" w:rsidRPr="00C328EF" w14:paraId="75C37A4D" w14:textId="77777777" w:rsidTr="00625C11">
        <w:tc>
          <w:tcPr>
            <w:tcW w:w="4361" w:type="dxa"/>
          </w:tcPr>
          <w:p w14:paraId="0AC24E87" w14:textId="77777777" w:rsidR="00D10084" w:rsidRPr="00D10084" w:rsidRDefault="00D10084" w:rsidP="00D10084">
            <w:pPr>
              <w:ind w:left="546"/>
              <w:rPr>
                <w:b/>
              </w:rPr>
            </w:pPr>
            <w:r w:rsidRPr="00D10084">
              <w:rPr>
                <w:b/>
              </w:rPr>
              <w:t>At 1 January 2023</w:t>
            </w:r>
          </w:p>
        </w:tc>
        <w:tc>
          <w:tcPr>
            <w:tcW w:w="1701" w:type="dxa"/>
          </w:tcPr>
          <w:p w14:paraId="5B4B596C" w14:textId="77777777" w:rsidR="00D10084" w:rsidRPr="00D10084" w:rsidRDefault="00D10084" w:rsidP="00D10084">
            <w:pPr>
              <w:suppressAutoHyphens/>
              <w:ind w:right="126"/>
              <w:jc w:val="right"/>
              <w:rPr>
                <w:rFonts w:cs="Arial"/>
                <w:spacing w:val="-2"/>
              </w:rPr>
            </w:pPr>
            <w:r w:rsidRPr="00D10084">
              <w:rPr>
                <w:rFonts w:cs="Arial"/>
                <w:spacing w:val="-2"/>
              </w:rPr>
              <w:t>20,816</w:t>
            </w:r>
          </w:p>
        </w:tc>
        <w:tc>
          <w:tcPr>
            <w:tcW w:w="1417" w:type="dxa"/>
          </w:tcPr>
          <w:p w14:paraId="74B26FE7"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59,929</w:t>
            </w:r>
          </w:p>
        </w:tc>
        <w:tc>
          <w:tcPr>
            <w:tcW w:w="1418" w:type="dxa"/>
          </w:tcPr>
          <w:p w14:paraId="7C7BF1CB" w14:textId="77777777" w:rsidR="00D10084" w:rsidRPr="00D10084" w:rsidRDefault="00D10084" w:rsidP="00D10084">
            <w:pPr>
              <w:suppressAutoHyphens/>
              <w:ind w:right="126"/>
              <w:jc w:val="right"/>
              <w:rPr>
                <w:rFonts w:cs="Arial"/>
                <w:spacing w:val="-2"/>
              </w:rPr>
            </w:pPr>
            <w:r w:rsidRPr="00D10084">
              <w:rPr>
                <w:rFonts w:cs="Arial"/>
                <w:spacing w:val="-2"/>
              </w:rPr>
              <w:t>1,594</w:t>
            </w:r>
          </w:p>
        </w:tc>
        <w:tc>
          <w:tcPr>
            <w:tcW w:w="1417" w:type="dxa"/>
          </w:tcPr>
          <w:p w14:paraId="39F7E2C5" w14:textId="77777777" w:rsidR="00D10084" w:rsidRPr="00D10084" w:rsidRDefault="00D10084" w:rsidP="00D10084">
            <w:pPr>
              <w:suppressAutoHyphens/>
              <w:ind w:right="34"/>
              <w:jc w:val="right"/>
              <w:rPr>
                <w:rFonts w:cs="Arial"/>
                <w:spacing w:val="-2"/>
              </w:rPr>
            </w:pPr>
            <w:r w:rsidRPr="00D10084">
              <w:rPr>
                <w:rFonts w:cs="Arial"/>
                <w:spacing w:val="-2"/>
              </w:rPr>
              <w:t>(12,320)</w:t>
            </w:r>
          </w:p>
        </w:tc>
      </w:tr>
      <w:tr w:rsidR="00D10084" w:rsidRPr="00C328EF" w14:paraId="43D3F3DD" w14:textId="77777777" w:rsidTr="00625C11">
        <w:tc>
          <w:tcPr>
            <w:tcW w:w="4361" w:type="dxa"/>
          </w:tcPr>
          <w:p w14:paraId="6737DAE6" w14:textId="77777777" w:rsidR="00D10084" w:rsidRPr="00D10084" w:rsidRDefault="00D10084" w:rsidP="00D10084">
            <w:pPr>
              <w:ind w:left="546"/>
            </w:pPr>
            <w:r w:rsidRPr="00D10084">
              <w:t xml:space="preserve">Profit for the </w:t>
            </w:r>
            <w:r w:rsidR="00E10B7E">
              <w:t>period</w:t>
            </w:r>
          </w:p>
        </w:tc>
        <w:tc>
          <w:tcPr>
            <w:tcW w:w="1701" w:type="dxa"/>
          </w:tcPr>
          <w:p w14:paraId="64D59E5E" w14:textId="77777777" w:rsidR="00D10084" w:rsidRPr="00D10084" w:rsidRDefault="00D10084" w:rsidP="00D10084">
            <w:pPr>
              <w:suppressAutoHyphens/>
              <w:ind w:right="126"/>
              <w:jc w:val="right"/>
              <w:rPr>
                <w:rFonts w:cs="Arial"/>
                <w:spacing w:val="-2"/>
              </w:rPr>
            </w:pPr>
            <w:r w:rsidRPr="00D10084">
              <w:rPr>
                <w:rFonts w:cs="Arial"/>
                <w:spacing w:val="-2"/>
              </w:rPr>
              <w:t>-</w:t>
            </w:r>
          </w:p>
        </w:tc>
        <w:tc>
          <w:tcPr>
            <w:tcW w:w="1417" w:type="dxa"/>
          </w:tcPr>
          <w:p w14:paraId="72295CCE"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w:t>
            </w:r>
          </w:p>
        </w:tc>
        <w:tc>
          <w:tcPr>
            <w:tcW w:w="1418" w:type="dxa"/>
          </w:tcPr>
          <w:p w14:paraId="37DA30D0"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w:t>
            </w:r>
          </w:p>
        </w:tc>
        <w:tc>
          <w:tcPr>
            <w:tcW w:w="1417" w:type="dxa"/>
          </w:tcPr>
          <w:p w14:paraId="488F7DA5" w14:textId="77777777" w:rsidR="00D10084" w:rsidRPr="00D10084" w:rsidRDefault="00D10084" w:rsidP="00D10084">
            <w:pPr>
              <w:suppressAutoHyphens/>
              <w:ind w:right="34"/>
              <w:jc w:val="right"/>
              <w:rPr>
                <w:rFonts w:cs="Arial"/>
                <w:spacing w:val="-2"/>
              </w:rPr>
            </w:pPr>
            <w:r w:rsidRPr="00D10084">
              <w:t>2,811</w:t>
            </w:r>
          </w:p>
        </w:tc>
      </w:tr>
      <w:tr w:rsidR="00D10084" w:rsidRPr="00C328EF" w14:paraId="062BE57A" w14:textId="77777777" w:rsidTr="00625C11">
        <w:tc>
          <w:tcPr>
            <w:tcW w:w="4361" w:type="dxa"/>
          </w:tcPr>
          <w:p w14:paraId="353F45B8" w14:textId="77777777" w:rsidR="00D10084" w:rsidRPr="00D10084" w:rsidRDefault="00D10084" w:rsidP="00D10084">
            <w:pPr>
              <w:ind w:left="546"/>
            </w:pPr>
            <w:r w:rsidRPr="00D10084">
              <w:t>Actuarial gain on pension plan</w:t>
            </w:r>
          </w:p>
        </w:tc>
        <w:tc>
          <w:tcPr>
            <w:tcW w:w="1701" w:type="dxa"/>
          </w:tcPr>
          <w:p w14:paraId="576274EA" w14:textId="77777777" w:rsidR="00D10084" w:rsidRPr="00D10084" w:rsidRDefault="00D10084" w:rsidP="00D10084">
            <w:pPr>
              <w:suppressAutoHyphens/>
              <w:ind w:right="126"/>
              <w:jc w:val="right"/>
              <w:rPr>
                <w:rFonts w:cs="Arial"/>
                <w:spacing w:val="-2"/>
              </w:rPr>
            </w:pPr>
            <w:r w:rsidRPr="00D10084">
              <w:rPr>
                <w:rFonts w:cs="Arial"/>
                <w:spacing w:val="-2"/>
              </w:rPr>
              <w:t>-</w:t>
            </w:r>
          </w:p>
        </w:tc>
        <w:tc>
          <w:tcPr>
            <w:tcW w:w="1417" w:type="dxa"/>
          </w:tcPr>
          <w:p w14:paraId="772C2360"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w:t>
            </w:r>
          </w:p>
        </w:tc>
        <w:tc>
          <w:tcPr>
            <w:tcW w:w="1418" w:type="dxa"/>
          </w:tcPr>
          <w:p w14:paraId="73560911"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w:t>
            </w:r>
          </w:p>
        </w:tc>
        <w:tc>
          <w:tcPr>
            <w:tcW w:w="1417" w:type="dxa"/>
          </w:tcPr>
          <w:p w14:paraId="46A6C04B" w14:textId="77777777" w:rsidR="00D10084" w:rsidRPr="00D10084" w:rsidRDefault="00D10084" w:rsidP="00D10084">
            <w:pPr>
              <w:suppressAutoHyphens/>
              <w:ind w:right="34"/>
              <w:jc w:val="right"/>
              <w:rPr>
                <w:rFonts w:cs="Arial"/>
                <w:spacing w:val="-2"/>
              </w:rPr>
            </w:pPr>
            <w:r w:rsidRPr="00D10084">
              <w:rPr>
                <w:rFonts w:cs="Arial"/>
                <w:spacing w:val="-2"/>
              </w:rPr>
              <w:t>18,842</w:t>
            </w:r>
          </w:p>
        </w:tc>
      </w:tr>
      <w:tr w:rsidR="00D10084" w:rsidRPr="00C328EF" w14:paraId="7ADDE6EB" w14:textId="77777777" w:rsidTr="00625C11">
        <w:tc>
          <w:tcPr>
            <w:tcW w:w="4361" w:type="dxa"/>
          </w:tcPr>
          <w:p w14:paraId="5D0F1FD5" w14:textId="77777777" w:rsidR="00D10084" w:rsidRPr="00D10084" w:rsidRDefault="00D10084" w:rsidP="00D10084">
            <w:pPr>
              <w:ind w:left="546"/>
            </w:pPr>
            <w:r w:rsidRPr="00D10084">
              <w:t>Deferred tax thereon</w:t>
            </w:r>
          </w:p>
        </w:tc>
        <w:tc>
          <w:tcPr>
            <w:tcW w:w="1701" w:type="dxa"/>
          </w:tcPr>
          <w:p w14:paraId="28451628" w14:textId="77777777" w:rsidR="00D10084" w:rsidRPr="00D10084" w:rsidRDefault="00D10084" w:rsidP="00D10084">
            <w:pPr>
              <w:suppressAutoHyphens/>
              <w:ind w:right="126"/>
              <w:jc w:val="right"/>
              <w:rPr>
                <w:rFonts w:cs="Arial"/>
                <w:spacing w:val="-2"/>
              </w:rPr>
            </w:pPr>
            <w:r w:rsidRPr="00D10084">
              <w:rPr>
                <w:rFonts w:cs="Arial"/>
                <w:spacing w:val="-2"/>
              </w:rPr>
              <w:t>-</w:t>
            </w:r>
          </w:p>
        </w:tc>
        <w:tc>
          <w:tcPr>
            <w:tcW w:w="1417" w:type="dxa"/>
          </w:tcPr>
          <w:p w14:paraId="7D6FC5F5"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w:t>
            </w:r>
          </w:p>
        </w:tc>
        <w:tc>
          <w:tcPr>
            <w:tcW w:w="1418" w:type="dxa"/>
          </w:tcPr>
          <w:p w14:paraId="440A4882"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w:t>
            </w:r>
          </w:p>
        </w:tc>
        <w:tc>
          <w:tcPr>
            <w:tcW w:w="1417" w:type="dxa"/>
          </w:tcPr>
          <w:p w14:paraId="598C6A7B" w14:textId="77777777" w:rsidR="00D10084" w:rsidRPr="00D10084" w:rsidRDefault="00D10084" w:rsidP="00D10084">
            <w:pPr>
              <w:suppressAutoHyphens/>
              <w:ind w:right="34"/>
              <w:jc w:val="right"/>
              <w:rPr>
                <w:rFonts w:cs="Arial"/>
                <w:spacing w:val="-2"/>
              </w:rPr>
            </w:pPr>
            <w:r w:rsidRPr="00D10084">
              <w:rPr>
                <w:rFonts w:cs="Arial"/>
                <w:spacing w:val="-2"/>
              </w:rPr>
              <w:t>(5,837)</w:t>
            </w:r>
          </w:p>
        </w:tc>
      </w:tr>
      <w:tr w:rsidR="00D10084" w:rsidRPr="00C328EF" w14:paraId="1E00013E" w14:textId="77777777" w:rsidTr="00625C11">
        <w:tc>
          <w:tcPr>
            <w:tcW w:w="4361" w:type="dxa"/>
          </w:tcPr>
          <w:p w14:paraId="2DF0B757" w14:textId="77777777" w:rsidR="00D10084" w:rsidRPr="00D10084" w:rsidRDefault="00D10084" w:rsidP="00D10084">
            <w:pPr>
              <w:ind w:left="546"/>
            </w:pPr>
            <w:r w:rsidRPr="00D10084">
              <w:t>Net fair value movements on cash flow hedges</w:t>
            </w:r>
          </w:p>
        </w:tc>
        <w:tc>
          <w:tcPr>
            <w:tcW w:w="1701" w:type="dxa"/>
          </w:tcPr>
          <w:p w14:paraId="06B642BA" w14:textId="77777777" w:rsidR="00D10084" w:rsidRPr="00D10084" w:rsidRDefault="00D10084" w:rsidP="00D10084">
            <w:pPr>
              <w:suppressAutoHyphens/>
              <w:ind w:right="126"/>
              <w:jc w:val="right"/>
              <w:rPr>
                <w:rFonts w:cs="Arial"/>
                <w:spacing w:val="-2"/>
              </w:rPr>
            </w:pPr>
            <w:r w:rsidRPr="00D10084">
              <w:rPr>
                <w:rFonts w:cs="Arial"/>
                <w:spacing w:val="-2"/>
              </w:rPr>
              <w:t>-</w:t>
            </w:r>
          </w:p>
        </w:tc>
        <w:tc>
          <w:tcPr>
            <w:tcW w:w="1417" w:type="dxa"/>
          </w:tcPr>
          <w:p w14:paraId="192A7CF0"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w:t>
            </w:r>
          </w:p>
        </w:tc>
        <w:tc>
          <w:tcPr>
            <w:tcW w:w="1418" w:type="dxa"/>
          </w:tcPr>
          <w:p w14:paraId="0E07D2D7"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(3,678)</w:t>
            </w:r>
          </w:p>
        </w:tc>
        <w:tc>
          <w:tcPr>
            <w:tcW w:w="1417" w:type="dxa"/>
          </w:tcPr>
          <w:p w14:paraId="5D3038CD" w14:textId="77777777" w:rsidR="00D10084" w:rsidRPr="00D10084" w:rsidRDefault="00D10084" w:rsidP="00D10084">
            <w:pPr>
              <w:suppressAutoHyphens/>
              <w:ind w:right="34"/>
              <w:jc w:val="right"/>
              <w:rPr>
                <w:rFonts w:cs="Arial"/>
                <w:spacing w:val="-2"/>
              </w:rPr>
            </w:pPr>
            <w:r w:rsidRPr="00D10084">
              <w:rPr>
                <w:rFonts w:cs="Arial"/>
                <w:spacing w:val="-2"/>
              </w:rPr>
              <w:t>-</w:t>
            </w:r>
          </w:p>
        </w:tc>
      </w:tr>
      <w:tr w:rsidR="00D10084" w:rsidRPr="00C328EF" w14:paraId="3AE326FC" w14:textId="77777777" w:rsidTr="00625C11">
        <w:tc>
          <w:tcPr>
            <w:tcW w:w="4361" w:type="dxa"/>
          </w:tcPr>
          <w:p w14:paraId="013C692A" w14:textId="77777777" w:rsidR="00D10084" w:rsidRPr="00D10084" w:rsidRDefault="00D10084" w:rsidP="00D10084">
            <w:pPr>
              <w:ind w:left="546"/>
            </w:pPr>
            <w:r w:rsidRPr="00D10084">
              <w:t>Deferred tax thereon</w:t>
            </w:r>
          </w:p>
        </w:tc>
        <w:tc>
          <w:tcPr>
            <w:tcW w:w="1701" w:type="dxa"/>
          </w:tcPr>
          <w:p w14:paraId="059B283C" w14:textId="77777777" w:rsidR="00D10084" w:rsidRPr="00D10084" w:rsidRDefault="00D10084" w:rsidP="00D10084">
            <w:pPr>
              <w:suppressAutoHyphens/>
              <w:ind w:right="126"/>
              <w:jc w:val="right"/>
              <w:rPr>
                <w:rFonts w:cs="Arial"/>
                <w:spacing w:val="-2"/>
              </w:rPr>
            </w:pPr>
            <w:r w:rsidRPr="00D10084">
              <w:rPr>
                <w:rFonts w:cs="Arial"/>
                <w:spacing w:val="-2"/>
              </w:rPr>
              <w:t>-</w:t>
            </w:r>
          </w:p>
        </w:tc>
        <w:tc>
          <w:tcPr>
            <w:tcW w:w="1417" w:type="dxa"/>
          </w:tcPr>
          <w:p w14:paraId="2C632D36"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w:t>
            </w:r>
          </w:p>
        </w:tc>
        <w:tc>
          <w:tcPr>
            <w:tcW w:w="1418" w:type="dxa"/>
          </w:tcPr>
          <w:p w14:paraId="73CA446B"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919</w:t>
            </w:r>
          </w:p>
        </w:tc>
        <w:tc>
          <w:tcPr>
            <w:tcW w:w="1417" w:type="dxa"/>
          </w:tcPr>
          <w:p w14:paraId="31AFA895" w14:textId="77777777" w:rsidR="00D10084" w:rsidRPr="00D10084" w:rsidRDefault="00D10084" w:rsidP="00D10084">
            <w:pPr>
              <w:suppressAutoHyphens/>
              <w:ind w:right="34"/>
              <w:jc w:val="right"/>
              <w:rPr>
                <w:rFonts w:cs="Arial"/>
                <w:spacing w:val="-2"/>
              </w:rPr>
            </w:pPr>
            <w:r w:rsidRPr="00D10084">
              <w:rPr>
                <w:rFonts w:cs="Arial"/>
                <w:spacing w:val="-2"/>
              </w:rPr>
              <w:t>-</w:t>
            </w:r>
          </w:p>
        </w:tc>
      </w:tr>
      <w:tr w:rsidR="00CD048A" w:rsidRPr="00C328EF" w14:paraId="097EAEBA" w14:textId="77777777" w:rsidTr="00625C11">
        <w:tc>
          <w:tcPr>
            <w:tcW w:w="4361" w:type="dxa"/>
          </w:tcPr>
          <w:p w14:paraId="375B56A2" w14:textId="77777777" w:rsidR="00CD048A" w:rsidRPr="00D10084" w:rsidRDefault="00CD048A" w:rsidP="00CD048A">
            <w:pPr>
              <w:ind w:left="546"/>
            </w:pPr>
          </w:p>
        </w:tc>
        <w:tc>
          <w:tcPr>
            <w:tcW w:w="1701" w:type="dxa"/>
          </w:tcPr>
          <w:p w14:paraId="46174A76" w14:textId="77777777" w:rsidR="00CD048A" w:rsidRPr="00D10084" w:rsidRDefault="00CD048A" w:rsidP="00CD048A">
            <w:pPr>
              <w:suppressAutoHyphens/>
              <w:ind w:right="126"/>
              <w:jc w:val="right"/>
              <w:rPr>
                <w:rFonts w:cs="Arial"/>
                <w:b/>
                <w:spacing w:val="-2"/>
              </w:rPr>
            </w:pPr>
            <w:r w:rsidRPr="00D10084">
              <w:rPr>
                <w:rFonts w:cs="Arial"/>
                <w:b/>
                <w:spacing w:val="-2"/>
              </w:rPr>
              <w:t>───────</w:t>
            </w:r>
          </w:p>
        </w:tc>
        <w:tc>
          <w:tcPr>
            <w:tcW w:w="1417" w:type="dxa"/>
          </w:tcPr>
          <w:p w14:paraId="069060E5" w14:textId="77777777" w:rsidR="00CD048A" w:rsidRPr="00D10084" w:rsidRDefault="00CD048A" w:rsidP="00CD048A">
            <w:pPr>
              <w:tabs>
                <w:tab w:val="left" w:pos="1309"/>
              </w:tabs>
              <w:suppressAutoHyphens/>
              <w:ind w:right="126"/>
              <w:jc w:val="right"/>
              <w:rPr>
                <w:rFonts w:cs="Arial"/>
                <w:spacing w:val="-2"/>
              </w:rPr>
            </w:pPr>
            <w:r w:rsidRPr="00D10084">
              <w:rPr>
                <w:rFonts w:cs="Arial"/>
                <w:b/>
                <w:spacing w:val="-2"/>
              </w:rPr>
              <w:t>───────</w:t>
            </w:r>
          </w:p>
        </w:tc>
        <w:tc>
          <w:tcPr>
            <w:tcW w:w="1418" w:type="dxa"/>
          </w:tcPr>
          <w:p w14:paraId="6BE1E45D" w14:textId="77777777" w:rsidR="00CD048A" w:rsidRPr="00D10084" w:rsidRDefault="00CD048A" w:rsidP="00CD048A">
            <w:pPr>
              <w:suppressAutoHyphens/>
              <w:ind w:right="126"/>
              <w:jc w:val="right"/>
              <w:rPr>
                <w:rFonts w:cs="Arial"/>
                <w:spacing w:val="-2"/>
              </w:rPr>
            </w:pPr>
            <w:r w:rsidRPr="00D10084">
              <w:rPr>
                <w:rFonts w:cs="Arial"/>
                <w:b/>
                <w:spacing w:val="-2"/>
              </w:rPr>
              <w:t>──────</w:t>
            </w:r>
          </w:p>
        </w:tc>
        <w:tc>
          <w:tcPr>
            <w:tcW w:w="1417" w:type="dxa"/>
          </w:tcPr>
          <w:p w14:paraId="5402C64F" w14:textId="77777777" w:rsidR="00CD048A" w:rsidRPr="00D10084" w:rsidRDefault="00CD048A" w:rsidP="00CD048A">
            <w:pPr>
              <w:suppressAutoHyphens/>
              <w:ind w:right="34"/>
              <w:jc w:val="right"/>
              <w:rPr>
                <w:rFonts w:cs="Arial"/>
                <w:spacing w:val="-2"/>
              </w:rPr>
            </w:pPr>
            <w:r w:rsidRPr="00D10084">
              <w:rPr>
                <w:rFonts w:cs="Arial"/>
                <w:spacing w:val="-2"/>
              </w:rPr>
              <w:t>───────</w:t>
            </w:r>
          </w:p>
        </w:tc>
      </w:tr>
      <w:tr w:rsidR="00D10084" w:rsidRPr="00C328EF" w14:paraId="2934C53D" w14:textId="77777777" w:rsidTr="00625C11">
        <w:tblPrEx>
          <w:tblLook w:val="0000" w:firstRow="0" w:lastRow="0" w:firstColumn="0" w:lastColumn="0" w:noHBand="0" w:noVBand="0"/>
        </w:tblPrEx>
        <w:tc>
          <w:tcPr>
            <w:tcW w:w="4361" w:type="dxa"/>
          </w:tcPr>
          <w:p w14:paraId="5C01C9DE" w14:textId="77777777" w:rsidR="00D10084" w:rsidRPr="00D10084" w:rsidRDefault="00D10084" w:rsidP="00D10084">
            <w:pPr>
              <w:ind w:left="546"/>
              <w:rPr>
                <w:b/>
              </w:rPr>
            </w:pPr>
            <w:r w:rsidRPr="00D10084">
              <w:rPr>
                <w:b/>
              </w:rPr>
              <w:t>At 3</w:t>
            </w:r>
            <w:r w:rsidR="00CA1F53">
              <w:rPr>
                <w:b/>
              </w:rPr>
              <w:t>0</w:t>
            </w:r>
            <w:r w:rsidRPr="00D10084">
              <w:rPr>
                <w:b/>
              </w:rPr>
              <w:t xml:space="preserve"> December 2023</w:t>
            </w:r>
          </w:p>
        </w:tc>
        <w:tc>
          <w:tcPr>
            <w:tcW w:w="1701" w:type="dxa"/>
          </w:tcPr>
          <w:p w14:paraId="4BAA419C" w14:textId="77777777" w:rsidR="00D10084" w:rsidRPr="00D10084" w:rsidRDefault="00D10084" w:rsidP="00D10084">
            <w:pPr>
              <w:suppressAutoHyphens/>
              <w:ind w:right="126"/>
              <w:jc w:val="right"/>
              <w:rPr>
                <w:rFonts w:cs="Arial"/>
                <w:spacing w:val="-2"/>
              </w:rPr>
            </w:pPr>
            <w:r w:rsidRPr="00D10084">
              <w:rPr>
                <w:rFonts w:cs="Arial"/>
                <w:spacing w:val="-2"/>
              </w:rPr>
              <w:t>20,816</w:t>
            </w:r>
          </w:p>
        </w:tc>
        <w:tc>
          <w:tcPr>
            <w:tcW w:w="1417" w:type="dxa"/>
          </w:tcPr>
          <w:p w14:paraId="5DA3D017"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59,929</w:t>
            </w:r>
          </w:p>
        </w:tc>
        <w:tc>
          <w:tcPr>
            <w:tcW w:w="1418" w:type="dxa"/>
          </w:tcPr>
          <w:p w14:paraId="7072FB10" w14:textId="77777777" w:rsidR="00D10084" w:rsidRPr="00D10084" w:rsidRDefault="00D10084" w:rsidP="00D10084">
            <w:pPr>
              <w:suppressAutoHyphens/>
              <w:ind w:right="126"/>
              <w:jc w:val="right"/>
              <w:rPr>
                <w:rFonts w:cs="Arial"/>
                <w:spacing w:val="-2"/>
              </w:rPr>
            </w:pPr>
            <w:r w:rsidRPr="00D10084">
              <w:rPr>
                <w:rFonts w:cs="Arial"/>
                <w:spacing w:val="-2"/>
              </w:rPr>
              <w:t>(1,165)</w:t>
            </w:r>
          </w:p>
        </w:tc>
        <w:tc>
          <w:tcPr>
            <w:tcW w:w="1417" w:type="dxa"/>
          </w:tcPr>
          <w:p w14:paraId="0616868F" w14:textId="77777777" w:rsidR="00D10084" w:rsidRPr="00D10084" w:rsidRDefault="00D10084" w:rsidP="00D10084">
            <w:pPr>
              <w:suppressAutoHyphens/>
              <w:ind w:right="34"/>
              <w:jc w:val="right"/>
              <w:rPr>
                <w:rFonts w:cs="Arial"/>
                <w:spacing w:val="-2"/>
              </w:rPr>
            </w:pPr>
            <w:r w:rsidRPr="00D10084">
              <w:rPr>
                <w:rFonts w:cs="Arial"/>
                <w:spacing w:val="-2"/>
              </w:rPr>
              <w:t>3,496</w:t>
            </w:r>
          </w:p>
        </w:tc>
      </w:tr>
      <w:tr w:rsidR="00D466EE" w:rsidRPr="00C328EF" w14:paraId="571EC4E2" w14:textId="77777777" w:rsidTr="00625C11">
        <w:tblPrEx>
          <w:tblLook w:val="0000" w:firstRow="0" w:lastRow="0" w:firstColumn="0" w:lastColumn="0" w:noHBand="0" w:noVBand="0"/>
        </w:tblPrEx>
        <w:tc>
          <w:tcPr>
            <w:tcW w:w="4361" w:type="dxa"/>
          </w:tcPr>
          <w:p w14:paraId="687F6BDB" w14:textId="77777777" w:rsidR="00D466EE" w:rsidRPr="003A33A7" w:rsidRDefault="00D466EE" w:rsidP="00D466EE">
            <w:pPr>
              <w:rPr>
                <w:b/>
              </w:rPr>
            </w:pPr>
          </w:p>
        </w:tc>
        <w:tc>
          <w:tcPr>
            <w:tcW w:w="1701" w:type="dxa"/>
          </w:tcPr>
          <w:p w14:paraId="7B59A153" w14:textId="77777777" w:rsidR="00D466EE" w:rsidRPr="003A33A7" w:rsidRDefault="00D466EE" w:rsidP="00D466EE">
            <w:pPr>
              <w:suppressAutoHyphens/>
              <w:ind w:right="126"/>
              <w:jc w:val="right"/>
              <w:rPr>
                <w:rFonts w:cs="Arial"/>
                <w:b/>
                <w:spacing w:val="-2"/>
              </w:rPr>
            </w:pPr>
          </w:p>
        </w:tc>
        <w:tc>
          <w:tcPr>
            <w:tcW w:w="1417" w:type="dxa"/>
          </w:tcPr>
          <w:p w14:paraId="388ED527" w14:textId="77777777" w:rsidR="00D466EE" w:rsidRPr="003A33A7" w:rsidRDefault="00D466EE" w:rsidP="00D466EE">
            <w:pPr>
              <w:tabs>
                <w:tab w:val="left" w:pos="1309"/>
              </w:tabs>
              <w:suppressAutoHyphens/>
              <w:ind w:right="126"/>
              <w:jc w:val="right"/>
              <w:rPr>
                <w:rFonts w:cs="Arial"/>
                <w:b/>
                <w:spacing w:val="-2"/>
              </w:rPr>
            </w:pPr>
          </w:p>
        </w:tc>
        <w:tc>
          <w:tcPr>
            <w:tcW w:w="1418" w:type="dxa"/>
          </w:tcPr>
          <w:p w14:paraId="5A941780" w14:textId="77777777" w:rsidR="00D466EE" w:rsidRPr="003A33A7" w:rsidRDefault="00D466EE" w:rsidP="00D466EE">
            <w:pPr>
              <w:suppressAutoHyphens/>
              <w:ind w:right="33"/>
              <w:jc w:val="right"/>
              <w:rPr>
                <w:rFonts w:cs="Arial"/>
                <w:b/>
                <w:spacing w:val="-2"/>
              </w:rPr>
            </w:pPr>
          </w:p>
        </w:tc>
        <w:tc>
          <w:tcPr>
            <w:tcW w:w="1417" w:type="dxa"/>
          </w:tcPr>
          <w:p w14:paraId="7E567DA3" w14:textId="77777777" w:rsidR="00D466EE" w:rsidRPr="003A33A7" w:rsidRDefault="00D466EE" w:rsidP="00D466EE">
            <w:pPr>
              <w:suppressAutoHyphens/>
              <w:ind w:right="34"/>
              <w:jc w:val="right"/>
              <w:rPr>
                <w:rFonts w:cs="Arial"/>
                <w:b/>
                <w:spacing w:val="-2"/>
              </w:rPr>
            </w:pPr>
          </w:p>
        </w:tc>
      </w:tr>
      <w:tr w:rsidR="00D466EE" w:rsidRPr="00C328EF" w14:paraId="2D128776" w14:textId="77777777" w:rsidTr="00625C11">
        <w:tblPrEx>
          <w:tblLook w:val="0000" w:firstRow="0" w:lastRow="0" w:firstColumn="0" w:lastColumn="0" w:noHBand="0" w:noVBand="0"/>
        </w:tblPrEx>
        <w:tc>
          <w:tcPr>
            <w:tcW w:w="4361" w:type="dxa"/>
          </w:tcPr>
          <w:p w14:paraId="5273F6E1" w14:textId="77777777" w:rsidR="00D466EE" w:rsidRPr="003A33A7" w:rsidRDefault="003A33A7" w:rsidP="00D466EE">
            <w:pPr>
              <w:ind w:left="546"/>
            </w:pPr>
            <w:r w:rsidRPr="003A33A7">
              <w:t>Loss</w:t>
            </w:r>
            <w:r w:rsidR="00D466EE" w:rsidRPr="003A33A7">
              <w:t xml:space="preserve"> for the </w:t>
            </w:r>
            <w:r w:rsidR="00E10B7E" w:rsidRPr="003A33A7">
              <w:t>period</w:t>
            </w:r>
          </w:p>
        </w:tc>
        <w:tc>
          <w:tcPr>
            <w:tcW w:w="1701" w:type="dxa"/>
          </w:tcPr>
          <w:p w14:paraId="45D2FB57" w14:textId="77777777" w:rsidR="00D466EE" w:rsidRPr="003A33A7" w:rsidRDefault="00D466EE" w:rsidP="00D466EE">
            <w:pPr>
              <w:suppressAutoHyphens/>
              <w:ind w:right="126"/>
              <w:jc w:val="right"/>
              <w:rPr>
                <w:rFonts w:cs="Arial"/>
                <w:spacing w:val="-2"/>
              </w:rPr>
            </w:pPr>
            <w:r w:rsidRPr="003A33A7">
              <w:rPr>
                <w:rFonts w:cs="Arial"/>
                <w:spacing w:val="-2"/>
              </w:rPr>
              <w:t>-</w:t>
            </w:r>
          </w:p>
        </w:tc>
        <w:tc>
          <w:tcPr>
            <w:tcW w:w="1417" w:type="dxa"/>
          </w:tcPr>
          <w:p w14:paraId="4A011E22" w14:textId="77777777" w:rsidR="00D466EE" w:rsidRPr="003A33A7" w:rsidRDefault="00D466EE" w:rsidP="00D466EE">
            <w:pPr>
              <w:tabs>
                <w:tab w:val="left" w:pos="1309"/>
              </w:tabs>
              <w:suppressAutoHyphens/>
              <w:ind w:right="126"/>
              <w:jc w:val="right"/>
              <w:rPr>
                <w:rFonts w:cs="Arial"/>
                <w:spacing w:val="-2"/>
              </w:rPr>
            </w:pPr>
            <w:r w:rsidRPr="003A33A7">
              <w:rPr>
                <w:rFonts w:cs="Arial"/>
                <w:spacing w:val="-2"/>
              </w:rPr>
              <w:t>-</w:t>
            </w:r>
          </w:p>
        </w:tc>
        <w:tc>
          <w:tcPr>
            <w:tcW w:w="1418" w:type="dxa"/>
          </w:tcPr>
          <w:p w14:paraId="27EDDCEA" w14:textId="77777777" w:rsidR="00D466EE" w:rsidRPr="003A33A7" w:rsidRDefault="00D466EE" w:rsidP="00D466EE">
            <w:pPr>
              <w:tabs>
                <w:tab w:val="left" w:pos="1309"/>
              </w:tabs>
              <w:suppressAutoHyphens/>
              <w:ind w:right="126"/>
              <w:jc w:val="right"/>
              <w:rPr>
                <w:rFonts w:cs="Arial"/>
                <w:spacing w:val="-2"/>
              </w:rPr>
            </w:pPr>
            <w:r w:rsidRPr="003A33A7">
              <w:rPr>
                <w:rFonts w:cs="Arial"/>
                <w:spacing w:val="-2"/>
              </w:rPr>
              <w:t>-</w:t>
            </w:r>
          </w:p>
        </w:tc>
        <w:tc>
          <w:tcPr>
            <w:tcW w:w="1417" w:type="dxa"/>
          </w:tcPr>
          <w:p w14:paraId="6B40B953" w14:textId="77777777" w:rsidR="00D466EE" w:rsidRPr="003A33A7" w:rsidRDefault="003A33A7" w:rsidP="00D466EE">
            <w:pPr>
              <w:suppressAutoHyphens/>
              <w:ind w:right="34"/>
              <w:jc w:val="right"/>
              <w:rPr>
                <w:rFonts w:cs="Arial"/>
                <w:spacing w:val="-2"/>
              </w:rPr>
            </w:pPr>
            <w:r w:rsidRPr="003A33A7">
              <w:t>(6,818)</w:t>
            </w:r>
          </w:p>
        </w:tc>
      </w:tr>
      <w:tr w:rsidR="00D10084" w:rsidRPr="00C328EF" w14:paraId="4FEEA094" w14:textId="77777777" w:rsidTr="00625C11">
        <w:tblPrEx>
          <w:tblLook w:val="0000" w:firstRow="0" w:lastRow="0" w:firstColumn="0" w:lastColumn="0" w:noHBand="0" w:noVBand="0"/>
        </w:tblPrEx>
        <w:tc>
          <w:tcPr>
            <w:tcW w:w="4361" w:type="dxa"/>
          </w:tcPr>
          <w:p w14:paraId="3AE37955" w14:textId="77777777" w:rsidR="00D10084" w:rsidRPr="003A33A7" w:rsidRDefault="00D10084" w:rsidP="00D10084">
            <w:pPr>
              <w:ind w:left="546"/>
            </w:pPr>
            <w:r w:rsidRPr="003A33A7">
              <w:t>Revaluation of land and buildings</w:t>
            </w:r>
          </w:p>
        </w:tc>
        <w:tc>
          <w:tcPr>
            <w:tcW w:w="1701" w:type="dxa"/>
          </w:tcPr>
          <w:p w14:paraId="43B285F3" w14:textId="77777777" w:rsidR="00D10084" w:rsidRPr="003A33A7" w:rsidRDefault="00E10B7E" w:rsidP="00D10084">
            <w:pPr>
              <w:suppressAutoHyphens/>
              <w:ind w:right="126"/>
              <w:jc w:val="right"/>
              <w:rPr>
                <w:rFonts w:cs="Arial"/>
                <w:spacing w:val="-2"/>
              </w:rPr>
            </w:pPr>
            <w:r w:rsidRPr="003A33A7">
              <w:rPr>
                <w:rFonts w:cs="Arial"/>
                <w:spacing w:val="-2"/>
              </w:rPr>
              <w:t>46</w:t>
            </w:r>
          </w:p>
        </w:tc>
        <w:tc>
          <w:tcPr>
            <w:tcW w:w="1417" w:type="dxa"/>
          </w:tcPr>
          <w:p w14:paraId="32C98D7A" w14:textId="77777777" w:rsidR="00D10084" w:rsidRPr="003A33A7" w:rsidRDefault="00D10084" w:rsidP="00D10084">
            <w:pPr>
              <w:tabs>
                <w:tab w:val="left" w:pos="1309"/>
              </w:tabs>
              <w:suppressAutoHyphens/>
              <w:ind w:right="126"/>
              <w:jc w:val="right"/>
              <w:rPr>
                <w:rFonts w:cs="Arial"/>
                <w:spacing w:val="-2"/>
              </w:rPr>
            </w:pPr>
            <w:r w:rsidRPr="003A33A7">
              <w:rPr>
                <w:rFonts w:cs="Arial"/>
                <w:spacing w:val="-2"/>
              </w:rPr>
              <w:t>-</w:t>
            </w:r>
          </w:p>
        </w:tc>
        <w:tc>
          <w:tcPr>
            <w:tcW w:w="1418" w:type="dxa"/>
          </w:tcPr>
          <w:p w14:paraId="79453EC2" w14:textId="77777777" w:rsidR="00D10084" w:rsidRPr="003A33A7" w:rsidRDefault="00D10084" w:rsidP="00D10084">
            <w:pPr>
              <w:tabs>
                <w:tab w:val="left" w:pos="1309"/>
              </w:tabs>
              <w:suppressAutoHyphens/>
              <w:ind w:right="126"/>
              <w:jc w:val="right"/>
              <w:rPr>
                <w:rFonts w:cs="Arial"/>
                <w:spacing w:val="-2"/>
              </w:rPr>
            </w:pPr>
            <w:r w:rsidRPr="003A33A7">
              <w:rPr>
                <w:rFonts w:cs="Arial"/>
                <w:spacing w:val="-2"/>
              </w:rPr>
              <w:t>-</w:t>
            </w:r>
          </w:p>
        </w:tc>
        <w:tc>
          <w:tcPr>
            <w:tcW w:w="1417" w:type="dxa"/>
          </w:tcPr>
          <w:p w14:paraId="70859694" w14:textId="77777777" w:rsidR="00D10084" w:rsidRPr="003A33A7" w:rsidRDefault="00D10084" w:rsidP="00D10084">
            <w:pPr>
              <w:suppressAutoHyphens/>
              <w:ind w:right="34"/>
              <w:jc w:val="right"/>
              <w:rPr>
                <w:rFonts w:cs="Arial"/>
                <w:spacing w:val="-2"/>
              </w:rPr>
            </w:pPr>
            <w:r w:rsidRPr="003A33A7">
              <w:rPr>
                <w:rFonts w:cs="Arial"/>
                <w:spacing w:val="-2"/>
              </w:rPr>
              <w:t>-</w:t>
            </w:r>
          </w:p>
        </w:tc>
      </w:tr>
      <w:tr w:rsidR="00D10084" w:rsidRPr="00C328EF" w14:paraId="000DE8CA" w14:textId="77777777" w:rsidTr="00625C11">
        <w:tblPrEx>
          <w:tblLook w:val="0000" w:firstRow="0" w:lastRow="0" w:firstColumn="0" w:lastColumn="0" w:noHBand="0" w:noVBand="0"/>
        </w:tblPrEx>
        <w:tc>
          <w:tcPr>
            <w:tcW w:w="4361" w:type="dxa"/>
          </w:tcPr>
          <w:p w14:paraId="10932E80" w14:textId="77777777" w:rsidR="00D10084" w:rsidRPr="003A33A7" w:rsidRDefault="00D10084" w:rsidP="00D10084">
            <w:pPr>
              <w:ind w:left="546"/>
            </w:pPr>
            <w:r w:rsidRPr="003A33A7">
              <w:t xml:space="preserve">Actuarial </w:t>
            </w:r>
            <w:r w:rsidR="00F71B0C" w:rsidRPr="003A33A7">
              <w:t>loss</w:t>
            </w:r>
            <w:r w:rsidRPr="003A33A7">
              <w:t xml:space="preserve"> on pension plan</w:t>
            </w:r>
          </w:p>
        </w:tc>
        <w:tc>
          <w:tcPr>
            <w:tcW w:w="1701" w:type="dxa"/>
          </w:tcPr>
          <w:p w14:paraId="796BAB14" w14:textId="77777777" w:rsidR="00D10084" w:rsidRPr="003A33A7" w:rsidRDefault="00D10084" w:rsidP="00D10084">
            <w:pPr>
              <w:suppressAutoHyphens/>
              <w:ind w:right="126"/>
              <w:jc w:val="right"/>
              <w:rPr>
                <w:rFonts w:cs="Arial"/>
                <w:spacing w:val="-2"/>
              </w:rPr>
            </w:pPr>
            <w:r w:rsidRPr="003A33A7">
              <w:rPr>
                <w:rFonts w:cs="Arial"/>
                <w:spacing w:val="-2"/>
              </w:rPr>
              <w:t>-</w:t>
            </w:r>
          </w:p>
        </w:tc>
        <w:tc>
          <w:tcPr>
            <w:tcW w:w="1417" w:type="dxa"/>
          </w:tcPr>
          <w:p w14:paraId="328F2284" w14:textId="77777777" w:rsidR="00D10084" w:rsidRPr="003A33A7" w:rsidRDefault="00D10084" w:rsidP="00D10084">
            <w:pPr>
              <w:tabs>
                <w:tab w:val="left" w:pos="1309"/>
              </w:tabs>
              <w:suppressAutoHyphens/>
              <w:ind w:right="126"/>
              <w:jc w:val="right"/>
              <w:rPr>
                <w:rFonts w:cs="Arial"/>
                <w:spacing w:val="-2"/>
              </w:rPr>
            </w:pPr>
            <w:r w:rsidRPr="003A33A7">
              <w:rPr>
                <w:rFonts w:cs="Arial"/>
                <w:spacing w:val="-2"/>
              </w:rPr>
              <w:t>-</w:t>
            </w:r>
          </w:p>
        </w:tc>
        <w:tc>
          <w:tcPr>
            <w:tcW w:w="1418" w:type="dxa"/>
          </w:tcPr>
          <w:p w14:paraId="382BEC5C" w14:textId="77777777" w:rsidR="00D10084" w:rsidRPr="003A33A7" w:rsidRDefault="00D10084" w:rsidP="00D10084">
            <w:pPr>
              <w:tabs>
                <w:tab w:val="left" w:pos="1309"/>
              </w:tabs>
              <w:suppressAutoHyphens/>
              <w:ind w:right="126"/>
              <w:jc w:val="right"/>
              <w:rPr>
                <w:rFonts w:cs="Arial"/>
                <w:spacing w:val="-2"/>
              </w:rPr>
            </w:pPr>
            <w:r w:rsidRPr="003A33A7">
              <w:rPr>
                <w:rFonts w:cs="Arial"/>
                <w:spacing w:val="-2"/>
              </w:rPr>
              <w:t>-</w:t>
            </w:r>
          </w:p>
        </w:tc>
        <w:tc>
          <w:tcPr>
            <w:tcW w:w="1417" w:type="dxa"/>
          </w:tcPr>
          <w:p w14:paraId="08174710" w14:textId="77777777" w:rsidR="00D10084" w:rsidRPr="003A33A7" w:rsidRDefault="00F71B0C" w:rsidP="00D10084">
            <w:pPr>
              <w:suppressAutoHyphens/>
              <w:ind w:right="34"/>
              <w:jc w:val="right"/>
              <w:rPr>
                <w:rFonts w:cs="Arial"/>
                <w:spacing w:val="-2"/>
              </w:rPr>
            </w:pPr>
            <w:r w:rsidRPr="003A33A7">
              <w:rPr>
                <w:rFonts w:cs="Arial"/>
                <w:spacing w:val="-2"/>
              </w:rPr>
              <w:t>(</w:t>
            </w:r>
            <w:r w:rsidR="00D10084" w:rsidRPr="003A33A7">
              <w:rPr>
                <w:rFonts w:cs="Arial"/>
                <w:spacing w:val="-2"/>
              </w:rPr>
              <w:t>1</w:t>
            </w:r>
            <w:r w:rsidR="003A33A7" w:rsidRPr="003A33A7">
              <w:rPr>
                <w:rFonts w:cs="Arial"/>
                <w:spacing w:val="-2"/>
              </w:rPr>
              <w:t>7</w:t>
            </w:r>
            <w:r w:rsidR="00D10084" w:rsidRPr="003A33A7">
              <w:rPr>
                <w:rFonts w:cs="Arial"/>
                <w:spacing w:val="-2"/>
              </w:rPr>
              <w:t>,</w:t>
            </w:r>
            <w:r w:rsidR="003A33A7" w:rsidRPr="003A33A7">
              <w:rPr>
                <w:rFonts w:cs="Arial"/>
                <w:spacing w:val="-2"/>
              </w:rPr>
              <w:t>074</w:t>
            </w:r>
            <w:r w:rsidRPr="003A33A7">
              <w:rPr>
                <w:rFonts w:cs="Arial"/>
                <w:spacing w:val="-2"/>
              </w:rPr>
              <w:t>)</w:t>
            </w:r>
          </w:p>
        </w:tc>
      </w:tr>
      <w:tr w:rsidR="00D10084" w:rsidRPr="00C328EF" w14:paraId="3A3A81A5" w14:textId="77777777" w:rsidTr="00625C11">
        <w:tblPrEx>
          <w:tblLook w:val="0000" w:firstRow="0" w:lastRow="0" w:firstColumn="0" w:lastColumn="0" w:noHBand="0" w:noVBand="0"/>
        </w:tblPrEx>
        <w:tc>
          <w:tcPr>
            <w:tcW w:w="4361" w:type="dxa"/>
          </w:tcPr>
          <w:p w14:paraId="30A834CC" w14:textId="77777777" w:rsidR="00D10084" w:rsidRPr="003A33A7" w:rsidRDefault="00D10084" w:rsidP="00D10084">
            <w:pPr>
              <w:ind w:left="546"/>
            </w:pPr>
            <w:r w:rsidRPr="003A33A7">
              <w:t>Deferred tax thereon</w:t>
            </w:r>
          </w:p>
        </w:tc>
        <w:tc>
          <w:tcPr>
            <w:tcW w:w="1701" w:type="dxa"/>
          </w:tcPr>
          <w:p w14:paraId="3FFE3E6B" w14:textId="77777777" w:rsidR="00D10084" w:rsidRPr="00E10B7E" w:rsidRDefault="00D10084" w:rsidP="00D10084">
            <w:pPr>
              <w:suppressAutoHyphens/>
              <w:ind w:right="126"/>
              <w:jc w:val="right"/>
              <w:rPr>
                <w:rFonts w:cs="Arial"/>
                <w:spacing w:val="-2"/>
              </w:rPr>
            </w:pPr>
            <w:r w:rsidRPr="00E10B7E">
              <w:rPr>
                <w:rFonts w:cs="Arial"/>
                <w:spacing w:val="-2"/>
              </w:rPr>
              <w:t>-</w:t>
            </w:r>
          </w:p>
        </w:tc>
        <w:tc>
          <w:tcPr>
            <w:tcW w:w="1417" w:type="dxa"/>
          </w:tcPr>
          <w:p w14:paraId="17AD5ADA"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w:t>
            </w:r>
          </w:p>
        </w:tc>
        <w:tc>
          <w:tcPr>
            <w:tcW w:w="1418" w:type="dxa"/>
          </w:tcPr>
          <w:p w14:paraId="708317B6"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w:t>
            </w:r>
          </w:p>
        </w:tc>
        <w:tc>
          <w:tcPr>
            <w:tcW w:w="1417" w:type="dxa"/>
          </w:tcPr>
          <w:p w14:paraId="70319BFF" w14:textId="77777777" w:rsidR="00D10084" w:rsidRPr="003A33A7" w:rsidRDefault="003A33A7" w:rsidP="00D10084">
            <w:pPr>
              <w:suppressAutoHyphens/>
              <w:ind w:right="34"/>
              <w:jc w:val="right"/>
              <w:rPr>
                <w:rFonts w:cs="Arial"/>
                <w:spacing w:val="-2"/>
              </w:rPr>
            </w:pPr>
            <w:r w:rsidRPr="003A33A7">
              <w:rPr>
                <w:rFonts w:cs="Arial"/>
                <w:spacing w:val="-2"/>
              </w:rPr>
              <w:t>4,266</w:t>
            </w:r>
          </w:p>
        </w:tc>
      </w:tr>
      <w:tr w:rsidR="00D10084" w:rsidRPr="00C328EF" w14:paraId="2770A4E8" w14:textId="77777777" w:rsidTr="00625C11">
        <w:tc>
          <w:tcPr>
            <w:tcW w:w="4361" w:type="dxa"/>
          </w:tcPr>
          <w:p w14:paraId="718C6217" w14:textId="77777777" w:rsidR="00D10084" w:rsidRPr="003A33A7" w:rsidRDefault="00D10084" w:rsidP="00D10084">
            <w:pPr>
              <w:ind w:left="546"/>
            </w:pPr>
            <w:r w:rsidRPr="003A33A7">
              <w:t>Net fair value movements on cash flow hedges</w:t>
            </w:r>
          </w:p>
        </w:tc>
        <w:tc>
          <w:tcPr>
            <w:tcW w:w="1701" w:type="dxa"/>
          </w:tcPr>
          <w:p w14:paraId="319C13AD" w14:textId="77777777" w:rsidR="00D10084" w:rsidRPr="00E10B7E" w:rsidRDefault="00D10084" w:rsidP="00D10084">
            <w:pPr>
              <w:suppressAutoHyphens/>
              <w:ind w:right="126"/>
              <w:jc w:val="right"/>
              <w:rPr>
                <w:rFonts w:cs="Arial"/>
                <w:spacing w:val="-2"/>
              </w:rPr>
            </w:pPr>
            <w:r w:rsidRPr="00E10B7E">
              <w:rPr>
                <w:rFonts w:cs="Arial"/>
                <w:spacing w:val="-2"/>
              </w:rPr>
              <w:t>-</w:t>
            </w:r>
          </w:p>
        </w:tc>
        <w:tc>
          <w:tcPr>
            <w:tcW w:w="1417" w:type="dxa"/>
          </w:tcPr>
          <w:p w14:paraId="4BABAF7C"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w:t>
            </w:r>
          </w:p>
        </w:tc>
        <w:tc>
          <w:tcPr>
            <w:tcW w:w="1418" w:type="dxa"/>
          </w:tcPr>
          <w:p w14:paraId="14780782" w14:textId="77777777" w:rsidR="00D10084" w:rsidRPr="003A33A7" w:rsidRDefault="003A33A7" w:rsidP="00D10084">
            <w:pPr>
              <w:tabs>
                <w:tab w:val="left" w:pos="1309"/>
              </w:tabs>
              <w:suppressAutoHyphens/>
              <w:ind w:right="126"/>
              <w:jc w:val="right"/>
              <w:rPr>
                <w:rFonts w:cs="Arial"/>
                <w:spacing w:val="-2"/>
              </w:rPr>
            </w:pPr>
            <w:r w:rsidRPr="003A33A7">
              <w:rPr>
                <w:rFonts w:cs="Arial"/>
                <w:spacing w:val="-2"/>
              </w:rPr>
              <w:t>1,092</w:t>
            </w:r>
          </w:p>
        </w:tc>
        <w:tc>
          <w:tcPr>
            <w:tcW w:w="1417" w:type="dxa"/>
          </w:tcPr>
          <w:p w14:paraId="5BC4C970" w14:textId="77777777" w:rsidR="00D10084" w:rsidRPr="003A33A7" w:rsidRDefault="00D10084" w:rsidP="00D10084">
            <w:pPr>
              <w:suppressAutoHyphens/>
              <w:ind w:right="34"/>
              <w:jc w:val="right"/>
              <w:rPr>
                <w:rFonts w:cs="Arial"/>
                <w:spacing w:val="-2"/>
              </w:rPr>
            </w:pPr>
            <w:r w:rsidRPr="003A33A7">
              <w:rPr>
                <w:rFonts w:cs="Arial"/>
                <w:spacing w:val="-2"/>
              </w:rPr>
              <w:t>-</w:t>
            </w:r>
          </w:p>
        </w:tc>
      </w:tr>
      <w:tr w:rsidR="00D10084" w:rsidRPr="00C328EF" w14:paraId="573DCF06" w14:textId="77777777" w:rsidTr="00625C11">
        <w:tc>
          <w:tcPr>
            <w:tcW w:w="4361" w:type="dxa"/>
          </w:tcPr>
          <w:p w14:paraId="27731C3E" w14:textId="77777777" w:rsidR="00D10084" w:rsidRPr="003A33A7" w:rsidRDefault="00D10084" w:rsidP="00D10084">
            <w:pPr>
              <w:ind w:left="546"/>
            </w:pPr>
            <w:r w:rsidRPr="003A33A7">
              <w:t>Deferred tax thereon</w:t>
            </w:r>
          </w:p>
        </w:tc>
        <w:tc>
          <w:tcPr>
            <w:tcW w:w="1701" w:type="dxa"/>
          </w:tcPr>
          <w:p w14:paraId="060F46B3" w14:textId="77777777" w:rsidR="00D10084" w:rsidRPr="00E10B7E" w:rsidRDefault="00D10084" w:rsidP="00D10084">
            <w:pPr>
              <w:suppressAutoHyphens/>
              <w:ind w:right="126"/>
              <w:jc w:val="right"/>
              <w:rPr>
                <w:rFonts w:cs="Arial"/>
                <w:spacing w:val="-2"/>
              </w:rPr>
            </w:pPr>
            <w:r w:rsidRPr="00E10B7E">
              <w:rPr>
                <w:rFonts w:cs="Arial"/>
                <w:spacing w:val="-2"/>
              </w:rPr>
              <w:t>-</w:t>
            </w:r>
          </w:p>
        </w:tc>
        <w:tc>
          <w:tcPr>
            <w:tcW w:w="1417" w:type="dxa"/>
          </w:tcPr>
          <w:p w14:paraId="13180225" w14:textId="77777777" w:rsidR="00D10084" w:rsidRPr="00D10084" w:rsidRDefault="00D10084" w:rsidP="00D10084">
            <w:pPr>
              <w:tabs>
                <w:tab w:val="left" w:pos="1309"/>
              </w:tabs>
              <w:suppressAutoHyphens/>
              <w:ind w:right="126"/>
              <w:jc w:val="right"/>
              <w:rPr>
                <w:rFonts w:cs="Arial"/>
                <w:spacing w:val="-2"/>
              </w:rPr>
            </w:pPr>
            <w:r w:rsidRPr="00D10084">
              <w:rPr>
                <w:rFonts w:cs="Arial"/>
                <w:spacing w:val="-2"/>
              </w:rPr>
              <w:t>-</w:t>
            </w:r>
          </w:p>
        </w:tc>
        <w:tc>
          <w:tcPr>
            <w:tcW w:w="1418" w:type="dxa"/>
          </w:tcPr>
          <w:p w14:paraId="1B16F300" w14:textId="77777777" w:rsidR="00D10084" w:rsidRPr="003A33A7" w:rsidRDefault="00F71B0C" w:rsidP="00D10084">
            <w:pPr>
              <w:tabs>
                <w:tab w:val="left" w:pos="1309"/>
              </w:tabs>
              <w:suppressAutoHyphens/>
              <w:ind w:right="126"/>
              <w:jc w:val="right"/>
              <w:rPr>
                <w:rFonts w:cs="Arial"/>
                <w:spacing w:val="-2"/>
              </w:rPr>
            </w:pPr>
            <w:r w:rsidRPr="003A33A7">
              <w:rPr>
                <w:rFonts w:cs="Arial"/>
                <w:spacing w:val="-2"/>
              </w:rPr>
              <w:t>(</w:t>
            </w:r>
            <w:r w:rsidR="003A33A7" w:rsidRPr="003A33A7">
              <w:rPr>
                <w:rFonts w:cs="Arial"/>
                <w:spacing w:val="-2"/>
              </w:rPr>
              <w:t>273</w:t>
            </w:r>
            <w:r w:rsidRPr="003A33A7">
              <w:rPr>
                <w:rFonts w:cs="Arial"/>
                <w:spacing w:val="-2"/>
              </w:rPr>
              <w:t>)</w:t>
            </w:r>
          </w:p>
        </w:tc>
        <w:tc>
          <w:tcPr>
            <w:tcW w:w="1417" w:type="dxa"/>
          </w:tcPr>
          <w:p w14:paraId="5A750B42" w14:textId="77777777" w:rsidR="00D10084" w:rsidRPr="00D10084" w:rsidRDefault="00D10084" w:rsidP="00D10084">
            <w:pPr>
              <w:suppressAutoHyphens/>
              <w:ind w:right="34"/>
              <w:jc w:val="right"/>
              <w:rPr>
                <w:rFonts w:cs="Arial"/>
                <w:spacing w:val="-2"/>
              </w:rPr>
            </w:pPr>
            <w:r w:rsidRPr="00D10084">
              <w:rPr>
                <w:rFonts w:cs="Arial"/>
                <w:spacing w:val="-2"/>
              </w:rPr>
              <w:t>-</w:t>
            </w:r>
          </w:p>
        </w:tc>
      </w:tr>
      <w:tr w:rsidR="003A33A7" w:rsidRPr="00C328EF" w14:paraId="538BAE30" w14:textId="77777777" w:rsidTr="00625C11">
        <w:tc>
          <w:tcPr>
            <w:tcW w:w="4361" w:type="dxa"/>
          </w:tcPr>
          <w:p w14:paraId="793BF02B" w14:textId="77777777" w:rsidR="003A33A7" w:rsidRPr="003A33A7" w:rsidRDefault="003A33A7" w:rsidP="003A33A7">
            <w:pPr>
              <w:ind w:left="546"/>
            </w:pPr>
            <w:r>
              <w:t>Dividends</w:t>
            </w:r>
          </w:p>
        </w:tc>
        <w:tc>
          <w:tcPr>
            <w:tcW w:w="1701" w:type="dxa"/>
          </w:tcPr>
          <w:p w14:paraId="0B799D68" w14:textId="77777777" w:rsidR="003A33A7" w:rsidRPr="00E10B7E" w:rsidRDefault="003A33A7" w:rsidP="003A33A7">
            <w:pPr>
              <w:suppressAutoHyphens/>
              <w:ind w:right="126"/>
              <w:jc w:val="right"/>
              <w:rPr>
                <w:rFonts w:cs="Arial"/>
                <w:spacing w:val="-2"/>
              </w:rPr>
            </w:pPr>
            <w:r w:rsidRPr="003A33A7">
              <w:rPr>
                <w:rFonts w:cs="Arial"/>
                <w:spacing w:val="-2"/>
              </w:rPr>
              <w:t>-</w:t>
            </w:r>
          </w:p>
        </w:tc>
        <w:tc>
          <w:tcPr>
            <w:tcW w:w="1417" w:type="dxa"/>
          </w:tcPr>
          <w:p w14:paraId="539854F4" w14:textId="77777777" w:rsidR="003A33A7" w:rsidRPr="00D10084" w:rsidRDefault="003A33A7" w:rsidP="003A33A7">
            <w:pPr>
              <w:tabs>
                <w:tab w:val="left" w:pos="1309"/>
              </w:tabs>
              <w:suppressAutoHyphens/>
              <w:ind w:right="126"/>
              <w:jc w:val="right"/>
              <w:rPr>
                <w:rFonts w:cs="Arial"/>
                <w:spacing w:val="-2"/>
              </w:rPr>
            </w:pPr>
            <w:r w:rsidRPr="003A33A7">
              <w:rPr>
                <w:rFonts w:cs="Arial"/>
                <w:spacing w:val="-2"/>
              </w:rPr>
              <w:t>-</w:t>
            </w:r>
          </w:p>
        </w:tc>
        <w:tc>
          <w:tcPr>
            <w:tcW w:w="1418" w:type="dxa"/>
          </w:tcPr>
          <w:p w14:paraId="15FFFAFF" w14:textId="77777777" w:rsidR="003A33A7" w:rsidRPr="003A33A7" w:rsidRDefault="003A33A7" w:rsidP="003A33A7">
            <w:pPr>
              <w:tabs>
                <w:tab w:val="left" w:pos="1309"/>
              </w:tabs>
              <w:suppressAutoHyphens/>
              <w:ind w:right="126"/>
              <w:jc w:val="right"/>
              <w:rPr>
                <w:rFonts w:cs="Arial"/>
                <w:spacing w:val="-2"/>
              </w:rPr>
            </w:pPr>
            <w:r w:rsidRPr="003A33A7">
              <w:rPr>
                <w:rFonts w:cs="Arial"/>
                <w:spacing w:val="-2"/>
              </w:rPr>
              <w:t>-</w:t>
            </w:r>
          </w:p>
        </w:tc>
        <w:tc>
          <w:tcPr>
            <w:tcW w:w="1417" w:type="dxa"/>
          </w:tcPr>
          <w:p w14:paraId="184CC0C3" w14:textId="77777777" w:rsidR="003A33A7" w:rsidRPr="00D10084" w:rsidRDefault="003A33A7" w:rsidP="003A33A7">
            <w:pPr>
              <w:suppressAutoHyphens/>
              <w:ind w:right="34"/>
              <w:jc w:val="right"/>
              <w:rPr>
                <w:rFonts w:cs="Arial"/>
                <w:spacing w:val="-2"/>
              </w:rPr>
            </w:pPr>
            <w:r w:rsidRPr="003A33A7">
              <w:t>(</w:t>
            </w:r>
            <w:r>
              <w:t>2,912</w:t>
            </w:r>
            <w:r w:rsidRPr="003A33A7">
              <w:t>)</w:t>
            </w:r>
          </w:p>
        </w:tc>
      </w:tr>
      <w:tr w:rsidR="003A33A7" w:rsidRPr="00C328EF" w14:paraId="55DAD9E8" w14:textId="77777777" w:rsidTr="00625C11">
        <w:tc>
          <w:tcPr>
            <w:tcW w:w="4361" w:type="dxa"/>
          </w:tcPr>
          <w:p w14:paraId="30A64DDE" w14:textId="77777777" w:rsidR="003A33A7" w:rsidRPr="00C328EF" w:rsidRDefault="003A33A7" w:rsidP="003A33A7">
            <w:pPr>
              <w:ind w:left="546"/>
              <w:rPr>
                <w:highlight w:val="yellow"/>
              </w:rPr>
            </w:pPr>
          </w:p>
        </w:tc>
        <w:tc>
          <w:tcPr>
            <w:tcW w:w="1701" w:type="dxa"/>
          </w:tcPr>
          <w:p w14:paraId="7705FCBC" w14:textId="77777777" w:rsidR="003A33A7" w:rsidRPr="00E10B7E" w:rsidRDefault="003A33A7" w:rsidP="003A33A7">
            <w:pPr>
              <w:suppressAutoHyphens/>
              <w:ind w:right="126"/>
              <w:jc w:val="right"/>
              <w:rPr>
                <w:rFonts w:cs="Arial"/>
                <w:b/>
                <w:spacing w:val="-2"/>
              </w:rPr>
            </w:pPr>
            <w:r w:rsidRPr="00E10B7E">
              <w:rPr>
                <w:rFonts w:cs="Arial"/>
                <w:b/>
                <w:spacing w:val="-2"/>
              </w:rPr>
              <w:t>───────</w:t>
            </w:r>
          </w:p>
        </w:tc>
        <w:tc>
          <w:tcPr>
            <w:tcW w:w="1417" w:type="dxa"/>
          </w:tcPr>
          <w:p w14:paraId="3BBDB640" w14:textId="77777777" w:rsidR="003A33A7" w:rsidRPr="00D10084" w:rsidRDefault="003A33A7" w:rsidP="003A33A7">
            <w:pPr>
              <w:tabs>
                <w:tab w:val="left" w:pos="1309"/>
              </w:tabs>
              <w:suppressAutoHyphens/>
              <w:ind w:right="126"/>
              <w:jc w:val="right"/>
              <w:rPr>
                <w:rFonts w:cs="Arial"/>
                <w:spacing w:val="-2"/>
              </w:rPr>
            </w:pPr>
            <w:r w:rsidRPr="00D10084">
              <w:rPr>
                <w:rFonts w:cs="Arial"/>
                <w:b/>
                <w:spacing w:val="-2"/>
              </w:rPr>
              <w:t>───────</w:t>
            </w:r>
          </w:p>
        </w:tc>
        <w:tc>
          <w:tcPr>
            <w:tcW w:w="1418" w:type="dxa"/>
          </w:tcPr>
          <w:p w14:paraId="78059C20" w14:textId="77777777" w:rsidR="003A33A7" w:rsidRPr="003A33A7" w:rsidRDefault="003A33A7" w:rsidP="003A33A7">
            <w:pPr>
              <w:suppressAutoHyphens/>
              <w:ind w:right="126"/>
              <w:jc w:val="right"/>
              <w:rPr>
                <w:rFonts w:cs="Arial"/>
                <w:spacing w:val="-2"/>
              </w:rPr>
            </w:pPr>
            <w:r w:rsidRPr="003A33A7">
              <w:rPr>
                <w:rFonts w:cs="Arial"/>
                <w:b/>
                <w:spacing w:val="-2"/>
              </w:rPr>
              <w:t>──────</w:t>
            </w:r>
          </w:p>
        </w:tc>
        <w:tc>
          <w:tcPr>
            <w:tcW w:w="1417" w:type="dxa"/>
          </w:tcPr>
          <w:p w14:paraId="0A436087" w14:textId="77777777" w:rsidR="003A33A7" w:rsidRPr="003A33A7" w:rsidRDefault="003A33A7" w:rsidP="003A33A7">
            <w:pPr>
              <w:suppressAutoHyphens/>
              <w:ind w:right="34"/>
              <w:jc w:val="right"/>
              <w:rPr>
                <w:rFonts w:cs="Arial"/>
                <w:spacing w:val="-2"/>
              </w:rPr>
            </w:pPr>
            <w:r w:rsidRPr="003A33A7">
              <w:rPr>
                <w:rFonts w:cs="Arial"/>
                <w:spacing w:val="-2"/>
              </w:rPr>
              <w:t>───────</w:t>
            </w:r>
          </w:p>
        </w:tc>
      </w:tr>
      <w:tr w:rsidR="003A33A7" w:rsidRPr="00C328EF" w14:paraId="31685AB6" w14:textId="77777777" w:rsidTr="00625C11">
        <w:tc>
          <w:tcPr>
            <w:tcW w:w="4361" w:type="dxa"/>
          </w:tcPr>
          <w:p w14:paraId="47E68255" w14:textId="77777777" w:rsidR="003A33A7" w:rsidRPr="00C328EF" w:rsidRDefault="003A33A7" w:rsidP="003A33A7">
            <w:pPr>
              <w:ind w:left="546"/>
              <w:rPr>
                <w:b/>
                <w:highlight w:val="yellow"/>
              </w:rPr>
            </w:pPr>
            <w:r w:rsidRPr="00CA1F53">
              <w:rPr>
                <w:b/>
              </w:rPr>
              <w:t>At 28 December 2024</w:t>
            </w:r>
          </w:p>
        </w:tc>
        <w:tc>
          <w:tcPr>
            <w:tcW w:w="1701" w:type="dxa"/>
          </w:tcPr>
          <w:p w14:paraId="7122C3AD" w14:textId="77777777" w:rsidR="003A33A7" w:rsidRPr="00E10B7E" w:rsidRDefault="003A33A7" w:rsidP="003A33A7">
            <w:pPr>
              <w:suppressAutoHyphens/>
              <w:ind w:right="126"/>
              <w:jc w:val="right"/>
              <w:rPr>
                <w:rFonts w:cs="Arial"/>
                <w:spacing w:val="-2"/>
              </w:rPr>
            </w:pPr>
            <w:r w:rsidRPr="00E10B7E">
              <w:rPr>
                <w:rFonts w:cs="Arial"/>
                <w:spacing w:val="-2"/>
              </w:rPr>
              <w:t>20,862</w:t>
            </w:r>
          </w:p>
        </w:tc>
        <w:tc>
          <w:tcPr>
            <w:tcW w:w="1417" w:type="dxa"/>
          </w:tcPr>
          <w:p w14:paraId="5DB9CB04" w14:textId="77777777" w:rsidR="003A33A7" w:rsidRPr="00D10084" w:rsidRDefault="003A33A7" w:rsidP="003A33A7">
            <w:pPr>
              <w:tabs>
                <w:tab w:val="left" w:pos="1309"/>
              </w:tabs>
              <w:suppressAutoHyphens/>
              <w:ind w:right="126"/>
              <w:jc w:val="right"/>
              <w:rPr>
                <w:rFonts w:cs="Arial"/>
                <w:spacing w:val="-2"/>
              </w:rPr>
            </w:pPr>
            <w:r w:rsidRPr="00D10084">
              <w:rPr>
                <w:rFonts w:cs="Arial"/>
                <w:spacing w:val="-2"/>
              </w:rPr>
              <w:t>59,929</w:t>
            </w:r>
          </w:p>
        </w:tc>
        <w:tc>
          <w:tcPr>
            <w:tcW w:w="1418" w:type="dxa"/>
          </w:tcPr>
          <w:p w14:paraId="3BAE4C5E" w14:textId="77777777" w:rsidR="003A33A7" w:rsidRPr="003A33A7" w:rsidRDefault="003A33A7" w:rsidP="003A33A7">
            <w:pPr>
              <w:suppressAutoHyphens/>
              <w:ind w:right="126"/>
              <w:jc w:val="right"/>
              <w:rPr>
                <w:rFonts w:cs="Arial"/>
                <w:spacing w:val="-2"/>
              </w:rPr>
            </w:pPr>
            <w:r w:rsidRPr="003A33A7">
              <w:rPr>
                <w:rFonts w:cs="Arial"/>
                <w:spacing w:val="-2"/>
              </w:rPr>
              <w:t>(346)</w:t>
            </w:r>
          </w:p>
        </w:tc>
        <w:tc>
          <w:tcPr>
            <w:tcW w:w="1417" w:type="dxa"/>
          </w:tcPr>
          <w:p w14:paraId="28B48BEA" w14:textId="77777777" w:rsidR="003A33A7" w:rsidRPr="003A33A7" w:rsidRDefault="003A33A7" w:rsidP="003A33A7">
            <w:pPr>
              <w:suppressAutoHyphens/>
              <w:ind w:right="34"/>
              <w:jc w:val="right"/>
              <w:rPr>
                <w:rFonts w:cs="Arial"/>
                <w:spacing w:val="-2"/>
              </w:rPr>
            </w:pPr>
            <w:r w:rsidRPr="003A33A7">
              <w:rPr>
                <w:rFonts w:cs="Arial"/>
                <w:spacing w:val="-2"/>
              </w:rPr>
              <w:t>(19,042)</w:t>
            </w:r>
          </w:p>
        </w:tc>
      </w:tr>
      <w:tr w:rsidR="003A33A7" w:rsidRPr="00C328EF" w14:paraId="20630F3D" w14:textId="77777777" w:rsidTr="00625C11">
        <w:tc>
          <w:tcPr>
            <w:tcW w:w="4361" w:type="dxa"/>
          </w:tcPr>
          <w:p w14:paraId="0B6CD5A2" w14:textId="77777777" w:rsidR="003A33A7" w:rsidRPr="00C328EF" w:rsidRDefault="003A33A7" w:rsidP="003A33A7">
            <w:pPr>
              <w:jc w:val="both"/>
              <w:rPr>
                <w:highlight w:val="yellow"/>
              </w:rPr>
            </w:pPr>
          </w:p>
        </w:tc>
        <w:tc>
          <w:tcPr>
            <w:tcW w:w="1701" w:type="dxa"/>
          </w:tcPr>
          <w:p w14:paraId="694C4F56" w14:textId="77777777" w:rsidR="003A33A7" w:rsidRPr="00E10B7E" w:rsidRDefault="003A33A7" w:rsidP="003A33A7">
            <w:pPr>
              <w:suppressAutoHyphens/>
              <w:ind w:right="126"/>
              <w:jc w:val="right"/>
              <w:rPr>
                <w:rFonts w:cs="Arial"/>
                <w:spacing w:val="-2"/>
              </w:rPr>
            </w:pPr>
            <w:r w:rsidRPr="00E10B7E">
              <w:rPr>
                <w:rFonts w:cs="Arial"/>
                <w:spacing w:val="-2"/>
              </w:rPr>
              <w:t>═══════</w:t>
            </w:r>
          </w:p>
        </w:tc>
        <w:tc>
          <w:tcPr>
            <w:tcW w:w="1417" w:type="dxa"/>
          </w:tcPr>
          <w:p w14:paraId="2F8C8BE2" w14:textId="77777777" w:rsidR="003A33A7" w:rsidRPr="00D10084" w:rsidRDefault="003A33A7" w:rsidP="003A33A7">
            <w:pPr>
              <w:tabs>
                <w:tab w:val="left" w:pos="1309"/>
              </w:tabs>
              <w:suppressAutoHyphens/>
              <w:ind w:right="126"/>
              <w:jc w:val="right"/>
              <w:rPr>
                <w:rFonts w:cs="Arial"/>
                <w:spacing w:val="-2"/>
              </w:rPr>
            </w:pPr>
            <w:r w:rsidRPr="00D10084">
              <w:rPr>
                <w:rFonts w:cs="Arial"/>
                <w:spacing w:val="-2"/>
              </w:rPr>
              <w:t>═══════</w:t>
            </w:r>
          </w:p>
        </w:tc>
        <w:tc>
          <w:tcPr>
            <w:tcW w:w="1418" w:type="dxa"/>
          </w:tcPr>
          <w:p w14:paraId="3DDF1752" w14:textId="77777777" w:rsidR="003A33A7" w:rsidRPr="003A33A7" w:rsidRDefault="003A33A7" w:rsidP="003A33A7">
            <w:pPr>
              <w:suppressAutoHyphens/>
              <w:ind w:right="33"/>
              <w:rPr>
                <w:rFonts w:cs="Arial"/>
                <w:spacing w:val="-2"/>
              </w:rPr>
            </w:pPr>
            <w:r w:rsidRPr="003A33A7">
              <w:rPr>
                <w:rFonts w:cs="Arial"/>
                <w:spacing w:val="-2"/>
              </w:rPr>
              <w:t>═══════</w:t>
            </w:r>
          </w:p>
        </w:tc>
        <w:tc>
          <w:tcPr>
            <w:tcW w:w="1417" w:type="dxa"/>
          </w:tcPr>
          <w:p w14:paraId="328E83CD" w14:textId="77777777" w:rsidR="003A33A7" w:rsidRPr="003A33A7" w:rsidRDefault="003A33A7" w:rsidP="003A33A7">
            <w:pPr>
              <w:suppressAutoHyphens/>
              <w:ind w:right="34"/>
              <w:rPr>
                <w:rFonts w:cs="Arial"/>
                <w:spacing w:val="-2"/>
              </w:rPr>
            </w:pPr>
            <w:r w:rsidRPr="003A33A7">
              <w:rPr>
                <w:rFonts w:cs="Arial"/>
                <w:spacing w:val="-2"/>
              </w:rPr>
              <w:t>═══════</w:t>
            </w:r>
          </w:p>
        </w:tc>
      </w:tr>
      <w:tr w:rsidR="003A33A7" w:rsidRPr="00C328EF" w14:paraId="4D6DDB4E" w14:textId="77777777" w:rsidTr="00625C11">
        <w:tc>
          <w:tcPr>
            <w:tcW w:w="4361" w:type="dxa"/>
          </w:tcPr>
          <w:p w14:paraId="134C60BE" w14:textId="77777777" w:rsidR="003A33A7" w:rsidRPr="00D10084" w:rsidRDefault="003A33A7" w:rsidP="003A33A7">
            <w:pPr>
              <w:suppressAutoHyphens/>
              <w:ind w:firstLine="546"/>
              <w:rPr>
                <w:b/>
              </w:rPr>
            </w:pPr>
          </w:p>
        </w:tc>
        <w:tc>
          <w:tcPr>
            <w:tcW w:w="1701" w:type="dxa"/>
          </w:tcPr>
          <w:p w14:paraId="74281ABC" w14:textId="77777777" w:rsidR="003A33A7" w:rsidRPr="00C328EF" w:rsidRDefault="003A33A7" w:rsidP="003A33A7">
            <w:pPr>
              <w:suppressAutoHyphens/>
              <w:ind w:right="126"/>
              <w:jc w:val="right"/>
              <w:rPr>
                <w:rFonts w:cs="Arial"/>
                <w:b/>
                <w:spacing w:val="-2"/>
                <w:highlight w:val="yellow"/>
              </w:rPr>
            </w:pPr>
          </w:p>
        </w:tc>
        <w:tc>
          <w:tcPr>
            <w:tcW w:w="1417" w:type="dxa"/>
          </w:tcPr>
          <w:p w14:paraId="4196839A" w14:textId="77777777" w:rsidR="003A33A7" w:rsidRPr="00D10084" w:rsidRDefault="003A33A7" w:rsidP="003A33A7">
            <w:pPr>
              <w:tabs>
                <w:tab w:val="left" w:pos="1309"/>
              </w:tabs>
              <w:suppressAutoHyphens/>
              <w:ind w:right="126"/>
              <w:jc w:val="right"/>
              <w:rPr>
                <w:rFonts w:cs="Arial"/>
                <w:b/>
                <w:spacing w:val="-2"/>
              </w:rPr>
            </w:pPr>
          </w:p>
        </w:tc>
        <w:tc>
          <w:tcPr>
            <w:tcW w:w="1418" w:type="dxa"/>
          </w:tcPr>
          <w:p w14:paraId="4643749A" w14:textId="77777777" w:rsidR="003A33A7" w:rsidRPr="00C328EF" w:rsidRDefault="003A33A7" w:rsidP="003A33A7">
            <w:pPr>
              <w:suppressAutoHyphens/>
              <w:ind w:right="33"/>
              <w:jc w:val="right"/>
              <w:rPr>
                <w:rFonts w:cs="Arial"/>
                <w:b/>
                <w:spacing w:val="-2"/>
                <w:highlight w:val="yellow"/>
              </w:rPr>
            </w:pPr>
          </w:p>
        </w:tc>
        <w:tc>
          <w:tcPr>
            <w:tcW w:w="1417" w:type="dxa"/>
          </w:tcPr>
          <w:p w14:paraId="24DD00A1" w14:textId="77777777" w:rsidR="003A33A7" w:rsidRPr="00C328EF" w:rsidRDefault="003A33A7" w:rsidP="003A33A7">
            <w:pPr>
              <w:suppressAutoHyphens/>
              <w:ind w:right="34"/>
              <w:jc w:val="right"/>
              <w:rPr>
                <w:rFonts w:cs="Arial"/>
                <w:b/>
                <w:spacing w:val="-2"/>
                <w:highlight w:val="yellow"/>
              </w:rPr>
            </w:pPr>
          </w:p>
        </w:tc>
      </w:tr>
      <w:tr w:rsidR="003A33A7" w:rsidRPr="00C328EF" w14:paraId="0909FA82" w14:textId="77777777" w:rsidTr="00625C11">
        <w:tc>
          <w:tcPr>
            <w:tcW w:w="4361" w:type="dxa"/>
          </w:tcPr>
          <w:p w14:paraId="0A832FBB" w14:textId="77777777" w:rsidR="003A33A7" w:rsidRPr="00D10084" w:rsidRDefault="003A33A7" w:rsidP="003A33A7">
            <w:pPr>
              <w:suppressAutoHyphens/>
              <w:ind w:firstLine="546"/>
              <w:rPr>
                <w:rFonts w:cs="Arial"/>
                <w:spacing w:val="-2"/>
                <w:u w:val="single"/>
              </w:rPr>
            </w:pPr>
            <w:r w:rsidRPr="00D10084">
              <w:rPr>
                <w:b/>
                <w:u w:val="single"/>
              </w:rPr>
              <w:t>Company</w:t>
            </w:r>
          </w:p>
        </w:tc>
        <w:tc>
          <w:tcPr>
            <w:tcW w:w="1701" w:type="dxa"/>
          </w:tcPr>
          <w:p w14:paraId="65CADE17" w14:textId="77777777" w:rsidR="003A33A7" w:rsidRPr="00C328EF" w:rsidRDefault="003A33A7" w:rsidP="003A33A7">
            <w:pPr>
              <w:suppressAutoHyphens/>
              <w:ind w:right="126"/>
              <w:jc w:val="right"/>
              <w:rPr>
                <w:rFonts w:cs="Arial"/>
                <w:b/>
                <w:spacing w:val="-2"/>
                <w:highlight w:val="yellow"/>
              </w:rPr>
            </w:pPr>
          </w:p>
        </w:tc>
        <w:tc>
          <w:tcPr>
            <w:tcW w:w="1417" w:type="dxa"/>
          </w:tcPr>
          <w:p w14:paraId="32B70B4C" w14:textId="77777777" w:rsidR="003A33A7" w:rsidRPr="00C328EF" w:rsidRDefault="003A33A7" w:rsidP="003A33A7">
            <w:pPr>
              <w:tabs>
                <w:tab w:val="left" w:pos="1309"/>
              </w:tabs>
              <w:suppressAutoHyphens/>
              <w:ind w:right="126"/>
              <w:jc w:val="right"/>
              <w:rPr>
                <w:rFonts w:cs="Arial"/>
                <w:b/>
                <w:spacing w:val="-2"/>
                <w:highlight w:val="yellow"/>
              </w:rPr>
            </w:pPr>
          </w:p>
        </w:tc>
        <w:tc>
          <w:tcPr>
            <w:tcW w:w="1418" w:type="dxa"/>
          </w:tcPr>
          <w:p w14:paraId="33392E83" w14:textId="77777777" w:rsidR="003A33A7" w:rsidRPr="00C328EF" w:rsidRDefault="003A33A7" w:rsidP="003A33A7">
            <w:pPr>
              <w:suppressAutoHyphens/>
              <w:ind w:right="33"/>
              <w:jc w:val="right"/>
              <w:rPr>
                <w:rFonts w:cs="Arial"/>
                <w:b/>
                <w:spacing w:val="-2"/>
                <w:highlight w:val="yellow"/>
              </w:rPr>
            </w:pPr>
          </w:p>
        </w:tc>
        <w:tc>
          <w:tcPr>
            <w:tcW w:w="1417" w:type="dxa"/>
          </w:tcPr>
          <w:p w14:paraId="33BA3181" w14:textId="77777777" w:rsidR="003A33A7" w:rsidRPr="00C328EF" w:rsidRDefault="003A33A7" w:rsidP="003A33A7">
            <w:pPr>
              <w:suppressAutoHyphens/>
              <w:ind w:right="34"/>
              <w:jc w:val="right"/>
              <w:rPr>
                <w:rFonts w:cs="Arial"/>
                <w:b/>
                <w:spacing w:val="-2"/>
                <w:highlight w:val="yellow"/>
              </w:rPr>
            </w:pPr>
          </w:p>
        </w:tc>
      </w:tr>
      <w:tr w:rsidR="003A33A7" w:rsidRPr="00C328EF" w14:paraId="2D86E5D1" w14:textId="77777777" w:rsidTr="00625C11">
        <w:tc>
          <w:tcPr>
            <w:tcW w:w="4361" w:type="dxa"/>
          </w:tcPr>
          <w:p w14:paraId="5EDBFC21" w14:textId="77777777" w:rsidR="003A33A7" w:rsidRPr="00D10084" w:rsidRDefault="003A33A7" w:rsidP="003A33A7">
            <w:pPr>
              <w:ind w:left="546"/>
            </w:pPr>
          </w:p>
        </w:tc>
        <w:tc>
          <w:tcPr>
            <w:tcW w:w="1701" w:type="dxa"/>
          </w:tcPr>
          <w:p w14:paraId="386472F4" w14:textId="77777777" w:rsidR="003A33A7" w:rsidRPr="00C328EF" w:rsidRDefault="003A33A7" w:rsidP="003A33A7">
            <w:pPr>
              <w:suppressAutoHyphens/>
              <w:ind w:right="126"/>
              <w:jc w:val="right"/>
              <w:rPr>
                <w:rFonts w:cs="Arial"/>
                <w:spacing w:val="-2"/>
                <w:highlight w:val="yellow"/>
              </w:rPr>
            </w:pPr>
          </w:p>
        </w:tc>
        <w:tc>
          <w:tcPr>
            <w:tcW w:w="1417" w:type="dxa"/>
          </w:tcPr>
          <w:p w14:paraId="009AC2E0" w14:textId="77777777" w:rsidR="003A33A7" w:rsidRPr="00C328EF" w:rsidRDefault="003A33A7" w:rsidP="003A33A7">
            <w:pPr>
              <w:tabs>
                <w:tab w:val="left" w:pos="1309"/>
              </w:tabs>
              <w:suppressAutoHyphens/>
              <w:ind w:right="126"/>
              <w:jc w:val="right"/>
              <w:rPr>
                <w:rFonts w:cs="Arial"/>
                <w:spacing w:val="-2"/>
                <w:highlight w:val="yellow"/>
              </w:rPr>
            </w:pPr>
          </w:p>
        </w:tc>
        <w:tc>
          <w:tcPr>
            <w:tcW w:w="1418" w:type="dxa"/>
          </w:tcPr>
          <w:p w14:paraId="4C32C2BF" w14:textId="77777777" w:rsidR="003A33A7" w:rsidRPr="00C328EF" w:rsidRDefault="003A33A7" w:rsidP="003A33A7">
            <w:pPr>
              <w:suppressAutoHyphens/>
              <w:ind w:right="33"/>
              <w:jc w:val="right"/>
              <w:rPr>
                <w:rFonts w:cs="Arial"/>
                <w:spacing w:val="-2"/>
                <w:highlight w:val="yellow"/>
              </w:rPr>
            </w:pPr>
          </w:p>
        </w:tc>
        <w:tc>
          <w:tcPr>
            <w:tcW w:w="1417" w:type="dxa"/>
          </w:tcPr>
          <w:p w14:paraId="5265FC24" w14:textId="77777777" w:rsidR="003A33A7" w:rsidRPr="00C328EF" w:rsidRDefault="003A33A7" w:rsidP="003A33A7">
            <w:pPr>
              <w:suppressAutoHyphens/>
              <w:ind w:right="34"/>
              <w:jc w:val="right"/>
              <w:rPr>
                <w:rFonts w:cs="Arial"/>
                <w:spacing w:val="-2"/>
                <w:highlight w:val="yellow"/>
              </w:rPr>
            </w:pPr>
          </w:p>
        </w:tc>
      </w:tr>
      <w:tr w:rsidR="003A33A7" w:rsidRPr="00C328EF" w14:paraId="6D120062" w14:textId="77777777" w:rsidTr="00625C11">
        <w:tc>
          <w:tcPr>
            <w:tcW w:w="4361" w:type="dxa"/>
          </w:tcPr>
          <w:p w14:paraId="2B2B5C9E" w14:textId="77777777" w:rsidR="003A33A7" w:rsidRPr="00D10084" w:rsidRDefault="003A33A7" w:rsidP="003A33A7">
            <w:pPr>
              <w:ind w:left="546"/>
              <w:rPr>
                <w:b/>
              </w:rPr>
            </w:pPr>
            <w:r w:rsidRPr="00D10084">
              <w:rPr>
                <w:b/>
              </w:rPr>
              <w:t>At 1 January 2023</w:t>
            </w:r>
          </w:p>
        </w:tc>
        <w:tc>
          <w:tcPr>
            <w:tcW w:w="1701" w:type="dxa"/>
          </w:tcPr>
          <w:p w14:paraId="398CDD22" w14:textId="77777777" w:rsidR="003A33A7" w:rsidRPr="00D10084" w:rsidRDefault="003A33A7" w:rsidP="003A33A7">
            <w:pPr>
              <w:suppressAutoHyphens/>
              <w:ind w:right="126"/>
              <w:jc w:val="right"/>
              <w:rPr>
                <w:rFonts w:cs="Arial"/>
                <w:spacing w:val="-2"/>
              </w:rPr>
            </w:pPr>
            <w:r w:rsidRPr="00D10084">
              <w:rPr>
                <w:rFonts w:cs="Arial"/>
                <w:spacing w:val="-2"/>
              </w:rPr>
              <w:t>-</w:t>
            </w:r>
          </w:p>
        </w:tc>
        <w:tc>
          <w:tcPr>
            <w:tcW w:w="1417" w:type="dxa"/>
          </w:tcPr>
          <w:p w14:paraId="6C0C42FB" w14:textId="77777777" w:rsidR="003A33A7" w:rsidRPr="00D10084" w:rsidRDefault="003A33A7" w:rsidP="003A33A7">
            <w:pPr>
              <w:tabs>
                <w:tab w:val="left" w:pos="1309"/>
              </w:tabs>
              <w:suppressAutoHyphens/>
              <w:ind w:right="126"/>
              <w:jc w:val="right"/>
              <w:rPr>
                <w:rFonts w:cs="Arial"/>
                <w:spacing w:val="-2"/>
              </w:rPr>
            </w:pPr>
            <w:r w:rsidRPr="00D10084">
              <w:rPr>
                <w:rFonts w:cs="Arial"/>
                <w:spacing w:val="-2"/>
              </w:rPr>
              <w:t>-</w:t>
            </w:r>
          </w:p>
        </w:tc>
        <w:tc>
          <w:tcPr>
            <w:tcW w:w="1418" w:type="dxa"/>
          </w:tcPr>
          <w:p w14:paraId="2D728B06" w14:textId="77777777" w:rsidR="003A33A7" w:rsidRPr="00D10084" w:rsidRDefault="003A33A7" w:rsidP="003A33A7">
            <w:pPr>
              <w:tabs>
                <w:tab w:val="left" w:pos="1309"/>
              </w:tabs>
              <w:suppressAutoHyphens/>
              <w:ind w:right="126"/>
              <w:jc w:val="right"/>
              <w:rPr>
                <w:rFonts w:cs="Arial"/>
                <w:spacing w:val="-2"/>
              </w:rPr>
            </w:pPr>
            <w:r w:rsidRPr="00D10084">
              <w:rPr>
                <w:rFonts w:cs="Arial"/>
                <w:spacing w:val="-2"/>
              </w:rPr>
              <w:t>-</w:t>
            </w:r>
          </w:p>
        </w:tc>
        <w:tc>
          <w:tcPr>
            <w:tcW w:w="1417" w:type="dxa"/>
          </w:tcPr>
          <w:p w14:paraId="1E4C3821" w14:textId="77777777" w:rsidR="003A33A7" w:rsidRPr="00D10084" w:rsidRDefault="003A33A7" w:rsidP="003A33A7">
            <w:pPr>
              <w:suppressAutoHyphens/>
              <w:ind w:right="34"/>
              <w:jc w:val="right"/>
              <w:rPr>
                <w:rFonts w:cs="Arial"/>
                <w:spacing w:val="-2"/>
              </w:rPr>
            </w:pPr>
            <w:r w:rsidRPr="00D10084">
              <w:rPr>
                <w:rFonts w:cs="Arial"/>
                <w:spacing w:val="-2"/>
              </w:rPr>
              <w:t>(35,446)</w:t>
            </w:r>
          </w:p>
        </w:tc>
      </w:tr>
      <w:tr w:rsidR="003A33A7" w:rsidRPr="00C328EF" w14:paraId="3A22AD57" w14:textId="77777777" w:rsidTr="00625C11">
        <w:tc>
          <w:tcPr>
            <w:tcW w:w="4361" w:type="dxa"/>
          </w:tcPr>
          <w:p w14:paraId="66A5AADB" w14:textId="77777777" w:rsidR="003A33A7" w:rsidRPr="00D10084" w:rsidRDefault="003A33A7" w:rsidP="003A33A7">
            <w:pPr>
              <w:ind w:left="546"/>
            </w:pPr>
            <w:r w:rsidRPr="00D10084">
              <w:t xml:space="preserve">Loss for the </w:t>
            </w:r>
            <w:r w:rsidR="0011148E">
              <w:t>period</w:t>
            </w:r>
          </w:p>
        </w:tc>
        <w:tc>
          <w:tcPr>
            <w:tcW w:w="1701" w:type="dxa"/>
          </w:tcPr>
          <w:p w14:paraId="7C988C1D" w14:textId="77777777" w:rsidR="003A33A7" w:rsidRPr="00D10084" w:rsidRDefault="003A33A7" w:rsidP="003A33A7">
            <w:pPr>
              <w:suppressAutoHyphens/>
              <w:ind w:right="126"/>
              <w:jc w:val="right"/>
              <w:rPr>
                <w:rFonts w:cs="Arial"/>
                <w:spacing w:val="-2"/>
              </w:rPr>
            </w:pPr>
            <w:r w:rsidRPr="00D10084">
              <w:rPr>
                <w:rFonts w:cs="Arial"/>
                <w:spacing w:val="-2"/>
              </w:rPr>
              <w:t>-</w:t>
            </w:r>
          </w:p>
        </w:tc>
        <w:tc>
          <w:tcPr>
            <w:tcW w:w="1417" w:type="dxa"/>
          </w:tcPr>
          <w:p w14:paraId="03443EB5" w14:textId="77777777" w:rsidR="003A33A7" w:rsidRPr="00D10084" w:rsidRDefault="003A33A7" w:rsidP="003A33A7">
            <w:pPr>
              <w:tabs>
                <w:tab w:val="left" w:pos="1309"/>
              </w:tabs>
              <w:suppressAutoHyphens/>
              <w:ind w:right="126"/>
              <w:jc w:val="right"/>
              <w:rPr>
                <w:rFonts w:cs="Arial"/>
                <w:spacing w:val="-2"/>
              </w:rPr>
            </w:pPr>
            <w:r w:rsidRPr="00D10084">
              <w:rPr>
                <w:rFonts w:cs="Arial"/>
                <w:spacing w:val="-2"/>
              </w:rPr>
              <w:t>-</w:t>
            </w:r>
          </w:p>
        </w:tc>
        <w:tc>
          <w:tcPr>
            <w:tcW w:w="1418" w:type="dxa"/>
          </w:tcPr>
          <w:p w14:paraId="6C265721" w14:textId="77777777" w:rsidR="003A33A7" w:rsidRPr="00D10084" w:rsidRDefault="003A33A7" w:rsidP="003A33A7">
            <w:pPr>
              <w:tabs>
                <w:tab w:val="left" w:pos="1309"/>
              </w:tabs>
              <w:suppressAutoHyphens/>
              <w:ind w:right="126"/>
              <w:jc w:val="right"/>
              <w:rPr>
                <w:rFonts w:cs="Arial"/>
                <w:spacing w:val="-2"/>
              </w:rPr>
            </w:pPr>
            <w:r w:rsidRPr="00D10084">
              <w:rPr>
                <w:rFonts w:cs="Arial"/>
                <w:spacing w:val="-2"/>
              </w:rPr>
              <w:t>-</w:t>
            </w:r>
          </w:p>
        </w:tc>
        <w:tc>
          <w:tcPr>
            <w:tcW w:w="1417" w:type="dxa"/>
          </w:tcPr>
          <w:p w14:paraId="15E981BB" w14:textId="77777777" w:rsidR="003A33A7" w:rsidRPr="00D10084" w:rsidRDefault="003A33A7" w:rsidP="003A33A7">
            <w:pPr>
              <w:suppressAutoHyphens/>
              <w:ind w:right="34"/>
              <w:jc w:val="right"/>
              <w:rPr>
                <w:rFonts w:cs="Arial"/>
                <w:spacing w:val="-2"/>
              </w:rPr>
            </w:pPr>
            <w:r w:rsidRPr="00D10084">
              <w:rPr>
                <w:rFonts w:cs="Arial"/>
                <w:spacing w:val="-2"/>
              </w:rPr>
              <w:t>(9,219)</w:t>
            </w:r>
          </w:p>
        </w:tc>
      </w:tr>
      <w:tr w:rsidR="003A33A7" w:rsidRPr="00C328EF" w14:paraId="62C3B7C3" w14:textId="77777777" w:rsidTr="00625C11">
        <w:tc>
          <w:tcPr>
            <w:tcW w:w="4361" w:type="dxa"/>
          </w:tcPr>
          <w:p w14:paraId="5F60A43E" w14:textId="77777777" w:rsidR="003A33A7" w:rsidRPr="00D10084" w:rsidRDefault="003A33A7" w:rsidP="003A33A7">
            <w:pPr>
              <w:ind w:left="546"/>
            </w:pPr>
          </w:p>
        </w:tc>
        <w:tc>
          <w:tcPr>
            <w:tcW w:w="1701" w:type="dxa"/>
          </w:tcPr>
          <w:p w14:paraId="1989BCDC" w14:textId="77777777" w:rsidR="003A33A7" w:rsidRPr="00D10084" w:rsidRDefault="003A33A7" w:rsidP="003A33A7">
            <w:pPr>
              <w:suppressAutoHyphens/>
              <w:ind w:right="126"/>
              <w:jc w:val="right"/>
              <w:rPr>
                <w:rFonts w:cs="Arial"/>
                <w:b/>
                <w:spacing w:val="-2"/>
              </w:rPr>
            </w:pPr>
            <w:r w:rsidRPr="00D10084">
              <w:rPr>
                <w:rFonts w:cs="Arial"/>
                <w:b/>
                <w:spacing w:val="-2"/>
              </w:rPr>
              <w:t>───────</w:t>
            </w:r>
          </w:p>
        </w:tc>
        <w:tc>
          <w:tcPr>
            <w:tcW w:w="1417" w:type="dxa"/>
          </w:tcPr>
          <w:p w14:paraId="541F11B2" w14:textId="77777777" w:rsidR="003A33A7" w:rsidRPr="00D10084" w:rsidRDefault="003A33A7" w:rsidP="003A33A7">
            <w:pPr>
              <w:tabs>
                <w:tab w:val="left" w:pos="1309"/>
              </w:tabs>
              <w:suppressAutoHyphens/>
              <w:ind w:right="126"/>
              <w:jc w:val="right"/>
              <w:rPr>
                <w:rFonts w:cs="Arial"/>
                <w:spacing w:val="-2"/>
              </w:rPr>
            </w:pPr>
            <w:r w:rsidRPr="00D10084">
              <w:rPr>
                <w:rFonts w:cs="Arial"/>
                <w:b/>
                <w:spacing w:val="-2"/>
              </w:rPr>
              <w:t>───────</w:t>
            </w:r>
          </w:p>
        </w:tc>
        <w:tc>
          <w:tcPr>
            <w:tcW w:w="1418" w:type="dxa"/>
          </w:tcPr>
          <w:p w14:paraId="46F6C855" w14:textId="77777777" w:rsidR="003A33A7" w:rsidRPr="00D10084" w:rsidRDefault="003A33A7" w:rsidP="003A33A7">
            <w:pPr>
              <w:tabs>
                <w:tab w:val="left" w:pos="1309"/>
              </w:tabs>
              <w:suppressAutoHyphens/>
              <w:ind w:right="126"/>
              <w:jc w:val="right"/>
              <w:rPr>
                <w:rFonts w:cs="Arial"/>
                <w:spacing w:val="-2"/>
              </w:rPr>
            </w:pPr>
            <w:r w:rsidRPr="00D10084">
              <w:rPr>
                <w:rFonts w:cs="Arial"/>
                <w:b/>
                <w:spacing w:val="-2"/>
              </w:rPr>
              <w:t>──────</w:t>
            </w:r>
          </w:p>
        </w:tc>
        <w:tc>
          <w:tcPr>
            <w:tcW w:w="1417" w:type="dxa"/>
          </w:tcPr>
          <w:p w14:paraId="04704996" w14:textId="77777777" w:rsidR="003A33A7" w:rsidRPr="00D10084" w:rsidRDefault="003A33A7" w:rsidP="003A33A7">
            <w:pPr>
              <w:suppressAutoHyphens/>
              <w:ind w:right="34"/>
              <w:jc w:val="right"/>
              <w:rPr>
                <w:rFonts w:cs="Arial"/>
                <w:spacing w:val="-2"/>
              </w:rPr>
            </w:pPr>
            <w:r w:rsidRPr="00D10084">
              <w:rPr>
                <w:rFonts w:cs="Arial"/>
                <w:spacing w:val="-2"/>
              </w:rPr>
              <w:t>───────</w:t>
            </w:r>
          </w:p>
        </w:tc>
      </w:tr>
      <w:tr w:rsidR="003A33A7" w:rsidRPr="00C328EF" w14:paraId="32610C5A" w14:textId="77777777" w:rsidTr="00625C11">
        <w:tblPrEx>
          <w:tblLook w:val="0000" w:firstRow="0" w:lastRow="0" w:firstColumn="0" w:lastColumn="0" w:noHBand="0" w:noVBand="0"/>
        </w:tblPrEx>
        <w:tc>
          <w:tcPr>
            <w:tcW w:w="4361" w:type="dxa"/>
          </w:tcPr>
          <w:p w14:paraId="096D9D7E" w14:textId="77777777" w:rsidR="003A33A7" w:rsidRPr="00D10084" w:rsidRDefault="003A33A7" w:rsidP="003A33A7">
            <w:pPr>
              <w:ind w:left="546"/>
              <w:rPr>
                <w:b/>
              </w:rPr>
            </w:pPr>
            <w:r w:rsidRPr="00D10084">
              <w:rPr>
                <w:b/>
              </w:rPr>
              <w:t>At 3</w:t>
            </w:r>
            <w:r>
              <w:rPr>
                <w:b/>
              </w:rPr>
              <w:t>0</w:t>
            </w:r>
            <w:r w:rsidRPr="00D10084">
              <w:rPr>
                <w:b/>
              </w:rPr>
              <w:t xml:space="preserve"> December 2023</w:t>
            </w:r>
          </w:p>
        </w:tc>
        <w:tc>
          <w:tcPr>
            <w:tcW w:w="1701" w:type="dxa"/>
          </w:tcPr>
          <w:p w14:paraId="4D3FA298" w14:textId="77777777" w:rsidR="003A33A7" w:rsidRPr="00D10084" w:rsidRDefault="003A33A7" w:rsidP="003A33A7">
            <w:pPr>
              <w:suppressAutoHyphens/>
              <w:ind w:right="126"/>
              <w:jc w:val="right"/>
              <w:rPr>
                <w:rFonts w:cs="Arial"/>
                <w:spacing w:val="-2"/>
              </w:rPr>
            </w:pPr>
            <w:r w:rsidRPr="00D10084">
              <w:rPr>
                <w:rFonts w:cs="Arial"/>
                <w:spacing w:val="-2"/>
              </w:rPr>
              <w:t>-</w:t>
            </w:r>
          </w:p>
        </w:tc>
        <w:tc>
          <w:tcPr>
            <w:tcW w:w="1417" w:type="dxa"/>
          </w:tcPr>
          <w:p w14:paraId="1D4D876C" w14:textId="77777777" w:rsidR="003A33A7" w:rsidRPr="00D10084" w:rsidRDefault="003A33A7" w:rsidP="003A33A7">
            <w:pPr>
              <w:tabs>
                <w:tab w:val="left" w:pos="1309"/>
              </w:tabs>
              <w:suppressAutoHyphens/>
              <w:ind w:right="126"/>
              <w:jc w:val="right"/>
              <w:rPr>
                <w:rFonts w:cs="Arial"/>
                <w:spacing w:val="-2"/>
              </w:rPr>
            </w:pPr>
            <w:r w:rsidRPr="00D10084">
              <w:rPr>
                <w:rFonts w:cs="Arial"/>
                <w:spacing w:val="-2"/>
              </w:rPr>
              <w:t>-</w:t>
            </w:r>
          </w:p>
        </w:tc>
        <w:tc>
          <w:tcPr>
            <w:tcW w:w="1418" w:type="dxa"/>
          </w:tcPr>
          <w:p w14:paraId="42510AC8" w14:textId="77777777" w:rsidR="003A33A7" w:rsidRPr="00D10084" w:rsidRDefault="003A33A7" w:rsidP="003A33A7">
            <w:pPr>
              <w:tabs>
                <w:tab w:val="left" w:pos="1309"/>
              </w:tabs>
              <w:suppressAutoHyphens/>
              <w:ind w:right="126"/>
              <w:jc w:val="right"/>
              <w:rPr>
                <w:rFonts w:cs="Arial"/>
                <w:spacing w:val="-2"/>
              </w:rPr>
            </w:pPr>
            <w:r w:rsidRPr="00D10084">
              <w:rPr>
                <w:rFonts w:cs="Arial"/>
                <w:spacing w:val="-2"/>
              </w:rPr>
              <w:t>-</w:t>
            </w:r>
          </w:p>
        </w:tc>
        <w:tc>
          <w:tcPr>
            <w:tcW w:w="1417" w:type="dxa"/>
          </w:tcPr>
          <w:p w14:paraId="3A177E9C" w14:textId="77777777" w:rsidR="003A33A7" w:rsidRPr="00D10084" w:rsidRDefault="003A33A7" w:rsidP="003A33A7">
            <w:pPr>
              <w:suppressAutoHyphens/>
              <w:ind w:right="34"/>
              <w:jc w:val="right"/>
              <w:rPr>
                <w:rFonts w:cs="Arial"/>
                <w:spacing w:val="-2"/>
              </w:rPr>
            </w:pPr>
            <w:r w:rsidRPr="00D10084">
              <w:rPr>
                <w:rFonts w:cs="Arial"/>
                <w:spacing w:val="-2"/>
              </w:rPr>
              <w:t>(</w:t>
            </w:r>
            <w:r>
              <w:rPr>
                <w:rFonts w:cs="Arial"/>
                <w:spacing w:val="-2"/>
              </w:rPr>
              <w:t>44</w:t>
            </w:r>
            <w:r w:rsidRPr="00D10084">
              <w:rPr>
                <w:rFonts w:cs="Arial"/>
                <w:spacing w:val="-2"/>
              </w:rPr>
              <w:t>,</w:t>
            </w:r>
            <w:r>
              <w:rPr>
                <w:rFonts w:cs="Arial"/>
                <w:spacing w:val="-2"/>
              </w:rPr>
              <w:t>665</w:t>
            </w:r>
            <w:r w:rsidRPr="00D10084">
              <w:rPr>
                <w:rFonts w:cs="Arial"/>
                <w:spacing w:val="-2"/>
              </w:rPr>
              <w:t>)</w:t>
            </w:r>
          </w:p>
        </w:tc>
      </w:tr>
      <w:tr w:rsidR="003A33A7" w:rsidRPr="00C328EF" w14:paraId="084D59A2" w14:textId="77777777" w:rsidTr="00625C11">
        <w:tblPrEx>
          <w:tblLook w:val="0000" w:firstRow="0" w:lastRow="0" w:firstColumn="0" w:lastColumn="0" w:noHBand="0" w:noVBand="0"/>
        </w:tblPrEx>
        <w:tc>
          <w:tcPr>
            <w:tcW w:w="4361" w:type="dxa"/>
          </w:tcPr>
          <w:p w14:paraId="50239ED4" w14:textId="77777777" w:rsidR="003A33A7" w:rsidRPr="00D10084" w:rsidRDefault="003A33A7" w:rsidP="003A33A7">
            <w:pPr>
              <w:rPr>
                <w:b/>
              </w:rPr>
            </w:pPr>
          </w:p>
        </w:tc>
        <w:tc>
          <w:tcPr>
            <w:tcW w:w="1701" w:type="dxa"/>
          </w:tcPr>
          <w:p w14:paraId="01910575" w14:textId="77777777" w:rsidR="003A33A7" w:rsidRPr="00D10084" w:rsidRDefault="003A33A7" w:rsidP="003A33A7">
            <w:pPr>
              <w:suppressAutoHyphens/>
              <w:ind w:right="126"/>
              <w:jc w:val="right"/>
              <w:rPr>
                <w:rFonts w:cs="Arial"/>
                <w:b/>
                <w:spacing w:val="-2"/>
              </w:rPr>
            </w:pPr>
          </w:p>
        </w:tc>
        <w:tc>
          <w:tcPr>
            <w:tcW w:w="1417" w:type="dxa"/>
          </w:tcPr>
          <w:p w14:paraId="338B1632" w14:textId="77777777" w:rsidR="003A33A7" w:rsidRPr="00D10084" w:rsidRDefault="003A33A7" w:rsidP="003A33A7">
            <w:pPr>
              <w:tabs>
                <w:tab w:val="left" w:pos="1309"/>
              </w:tabs>
              <w:suppressAutoHyphens/>
              <w:ind w:right="126"/>
              <w:jc w:val="right"/>
              <w:rPr>
                <w:rFonts w:cs="Arial"/>
                <w:b/>
                <w:spacing w:val="-2"/>
              </w:rPr>
            </w:pPr>
          </w:p>
        </w:tc>
        <w:tc>
          <w:tcPr>
            <w:tcW w:w="1418" w:type="dxa"/>
          </w:tcPr>
          <w:p w14:paraId="79DF5AF2" w14:textId="77777777" w:rsidR="003A33A7" w:rsidRPr="00D10084" w:rsidRDefault="003A33A7" w:rsidP="003A33A7">
            <w:pPr>
              <w:tabs>
                <w:tab w:val="left" w:pos="1309"/>
              </w:tabs>
              <w:suppressAutoHyphens/>
              <w:ind w:right="126"/>
              <w:jc w:val="right"/>
              <w:rPr>
                <w:rFonts w:cs="Arial"/>
                <w:b/>
                <w:spacing w:val="-2"/>
              </w:rPr>
            </w:pPr>
          </w:p>
        </w:tc>
        <w:tc>
          <w:tcPr>
            <w:tcW w:w="1417" w:type="dxa"/>
          </w:tcPr>
          <w:p w14:paraId="08B0F901" w14:textId="77777777" w:rsidR="003A33A7" w:rsidRPr="00D10084" w:rsidRDefault="003A33A7" w:rsidP="003A33A7">
            <w:pPr>
              <w:suppressAutoHyphens/>
              <w:ind w:right="34"/>
              <w:jc w:val="right"/>
              <w:rPr>
                <w:rFonts w:cs="Arial"/>
                <w:b/>
                <w:spacing w:val="-2"/>
              </w:rPr>
            </w:pPr>
          </w:p>
        </w:tc>
      </w:tr>
      <w:tr w:rsidR="003A33A7" w:rsidRPr="00C328EF" w14:paraId="50CD817C" w14:textId="77777777" w:rsidTr="00625C11">
        <w:tblPrEx>
          <w:tblLook w:val="0000" w:firstRow="0" w:lastRow="0" w:firstColumn="0" w:lastColumn="0" w:noHBand="0" w:noVBand="0"/>
        </w:tblPrEx>
        <w:tc>
          <w:tcPr>
            <w:tcW w:w="4361" w:type="dxa"/>
          </w:tcPr>
          <w:p w14:paraId="1A744D28" w14:textId="77777777" w:rsidR="003A33A7" w:rsidRPr="00CA1F53" w:rsidRDefault="003A33A7" w:rsidP="003A33A7">
            <w:pPr>
              <w:ind w:left="546"/>
            </w:pPr>
            <w:r w:rsidRPr="00CA1F53">
              <w:t xml:space="preserve">Loss for the </w:t>
            </w:r>
            <w:r w:rsidR="0011148E">
              <w:t>period</w:t>
            </w:r>
          </w:p>
        </w:tc>
        <w:tc>
          <w:tcPr>
            <w:tcW w:w="1701" w:type="dxa"/>
          </w:tcPr>
          <w:p w14:paraId="7AC0BEEF" w14:textId="77777777" w:rsidR="003A33A7" w:rsidRPr="00D10084" w:rsidRDefault="003A33A7" w:rsidP="003A33A7">
            <w:pPr>
              <w:suppressAutoHyphens/>
              <w:ind w:right="126"/>
              <w:jc w:val="right"/>
              <w:rPr>
                <w:rFonts w:cs="Arial"/>
                <w:spacing w:val="-2"/>
              </w:rPr>
            </w:pPr>
            <w:r w:rsidRPr="00D10084">
              <w:rPr>
                <w:rFonts w:cs="Arial"/>
                <w:spacing w:val="-2"/>
              </w:rPr>
              <w:t>-</w:t>
            </w:r>
          </w:p>
        </w:tc>
        <w:tc>
          <w:tcPr>
            <w:tcW w:w="1417" w:type="dxa"/>
          </w:tcPr>
          <w:p w14:paraId="4F69DAFF" w14:textId="77777777" w:rsidR="003A33A7" w:rsidRPr="00D10084" w:rsidRDefault="003A33A7" w:rsidP="003A33A7">
            <w:pPr>
              <w:tabs>
                <w:tab w:val="left" w:pos="1309"/>
              </w:tabs>
              <w:suppressAutoHyphens/>
              <w:ind w:right="126"/>
              <w:jc w:val="right"/>
              <w:rPr>
                <w:rFonts w:cs="Arial"/>
                <w:spacing w:val="-2"/>
              </w:rPr>
            </w:pPr>
            <w:r w:rsidRPr="00D10084">
              <w:rPr>
                <w:rFonts w:cs="Arial"/>
                <w:spacing w:val="-2"/>
              </w:rPr>
              <w:t>-</w:t>
            </w:r>
          </w:p>
        </w:tc>
        <w:tc>
          <w:tcPr>
            <w:tcW w:w="1418" w:type="dxa"/>
          </w:tcPr>
          <w:p w14:paraId="2B03525D" w14:textId="77777777" w:rsidR="003A33A7" w:rsidRPr="00D10084" w:rsidRDefault="003A33A7" w:rsidP="003A33A7">
            <w:pPr>
              <w:tabs>
                <w:tab w:val="left" w:pos="1309"/>
              </w:tabs>
              <w:suppressAutoHyphens/>
              <w:ind w:right="126"/>
              <w:jc w:val="right"/>
              <w:rPr>
                <w:rFonts w:cs="Arial"/>
                <w:spacing w:val="-2"/>
              </w:rPr>
            </w:pPr>
            <w:r w:rsidRPr="00D10084">
              <w:rPr>
                <w:rFonts w:cs="Arial"/>
                <w:spacing w:val="-2"/>
              </w:rPr>
              <w:t>-</w:t>
            </w:r>
          </w:p>
        </w:tc>
        <w:tc>
          <w:tcPr>
            <w:tcW w:w="1417" w:type="dxa"/>
          </w:tcPr>
          <w:p w14:paraId="397B7893" w14:textId="77777777" w:rsidR="003A33A7" w:rsidRPr="00CA1F53" w:rsidRDefault="003A33A7" w:rsidP="003A33A7">
            <w:pPr>
              <w:suppressAutoHyphens/>
              <w:ind w:right="34"/>
              <w:jc w:val="right"/>
              <w:rPr>
                <w:rFonts w:cs="Arial"/>
                <w:spacing w:val="-2"/>
              </w:rPr>
            </w:pPr>
            <w:r w:rsidRPr="00CA1F53">
              <w:rPr>
                <w:rFonts w:cs="Arial"/>
                <w:spacing w:val="-2"/>
              </w:rPr>
              <w:t>(8,179)</w:t>
            </w:r>
          </w:p>
        </w:tc>
      </w:tr>
      <w:tr w:rsidR="003A33A7" w:rsidRPr="00C328EF" w14:paraId="4DD3207E" w14:textId="77777777" w:rsidTr="00625C11">
        <w:tblPrEx>
          <w:tblLook w:val="0000" w:firstRow="0" w:lastRow="0" w:firstColumn="0" w:lastColumn="0" w:noHBand="0" w:noVBand="0"/>
        </w:tblPrEx>
        <w:tc>
          <w:tcPr>
            <w:tcW w:w="4361" w:type="dxa"/>
          </w:tcPr>
          <w:p w14:paraId="76ED42F7" w14:textId="77777777" w:rsidR="003A33A7" w:rsidRPr="00CA1F53" w:rsidRDefault="003A33A7" w:rsidP="003A33A7">
            <w:pPr>
              <w:ind w:left="546"/>
            </w:pPr>
            <w:r w:rsidRPr="00CA1F53">
              <w:t>Dividend paid</w:t>
            </w:r>
          </w:p>
        </w:tc>
        <w:tc>
          <w:tcPr>
            <w:tcW w:w="1701" w:type="dxa"/>
          </w:tcPr>
          <w:p w14:paraId="072F0488" w14:textId="77777777" w:rsidR="003A33A7" w:rsidRPr="00D10084" w:rsidRDefault="003A33A7" w:rsidP="003A33A7">
            <w:pPr>
              <w:suppressAutoHyphens/>
              <w:ind w:right="126"/>
              <w:jc w:val="right"/>
              <w:rPr>
                <w:rFonts w:cs="Arial"/>
                <w:spacing w:val="-2"/>
              </w:rPr>
            </w:pPr>
            <w:r>
              <w:rPr>
                <w:rFonts w:cs="Arial"/>
                <w:spacing w:val="-2"/>
              </w:rPr>
              <w:t>-</w:t>
            </w:r>
          </w:p>
        </w:tc>
        <w:tc>
          <w:tcPr>
            <w:tcW w:w="1417" w:type="dxa"/>
          </w:tcPr>
          <w:p w14:paraId="31CD8031" w14:textId="77777777" w:rsidR="003A33A7" w:rsidRPr="00D10084" w:rsidRDefault="003A33A7" w:rsidP="003A33A7">
            <w:pPr>
              <w:tabs>
                <w:tab w:val="left" w:pos="1309"/>
              </w:tabs>
              <w:suppressAutoHyphens/>
              <w:ind w:right="126"/>
              <w:jc w:val="right"/>
              <w:rPr>
                <w:rFonts w:cs="Arial"/>
                <w:spacing w:val="-2"/>
              </w:rPr>
            </w:pPr>
            <w:r>
              <w:rPr>
                <w:rFonts w:cs="Arial"/>
                <w:spacing w:val="-2"/>
              </w:rPr>
              <w:t>-</w:t>
            </w:r>
          </w:p>
        </w:tc>
        <w:tc>
          <w:tcPr>
            <w:tcW w:w="1418" w:type="dxa"/>
          </w:tcPr>
          <w:p w14:paraId="33BBA6C7" w14:textId="77777777" w:rsidR="003A33A7" w:rsidRPr="00D10084" w:rsidRDefault="003A33A7" w:rsidP="003A33A7">
            <w:pPr>
              <w:tabs>
                <w:tab w:val="left" w:pos="1309"/>
              </w:tabs>
              <w:suppressAutoHyphens/>
              <w:ind w:right="126"/>
              <w:jc w:val="right"/>
              <w:rPr>
                <w:rFonts w:cs="Arial"/>
                <w:spacing w:val="-2"/>
              </w:rPr>
            </w:pPr>
            <w:r>
              <w:rPr>
                <w:rFonts w:cs="Arial"/>
                <w:spacing w:val="-2"/>
              </w:rPr>
              <w:t>-</w:t>
            </w:r>
          </w:p>
        </w:tc>
        <w:tc>
          <w:tcPr>
            <w:tcW w:w="1417" w:type="dxa"/>
          </w:tcPr>
          <w:p w14:paraId="40F9E501" w14:textId="77777777" w:rsidR="003A33A7" w:rsidRPr="00CA1F53" w:rsidRDefault="003A33A7" w:rsidP="003A33A7">
            <w:pPr>
              <w:suppressAutoHyphens/>
              <w:ind w:right="34"/>
              <w:jc w:val="right"/>
              <w:rPr>
                <w:rFonts w:cs="Arial"/>
                <w:spacing w:val="-2"/>
              </w:rPr>
            </w:pPr>
            <w:r w:rsidRPr="00CA1F53">
              <w:rPr>
                <w:rFonts w:cs="Arial"/>
                <w:spacing w:val="-2"/>
              </w:rPr>
              <w:t>(2,912)</w:t>
            </w:r>
          </w:p>
        </w:tc>
      </w:tr>
      <w:tr w:rsidR="003A33A7" w:rsidRPr="00C328EF" w14:paraId="265DB3F5" w14:textId="77777777" w:rsidTr="00625C11">
        <w:tc>
          <w:tcPr>
            <w:tcW w:w="4361" w:type="dxa"/>
          </w:tcPr>
          <w:p w14:paraId="37926667" w14:textId="77777777" w:rsidR="003A33A7" w:rsidRPr="00CA1F53" w:rsidRDefault="003A33A7" w:rsidP="003A33A7">
            <w:pPr>
              <w:ind w:left="546"/>
            </w:pPr>
          </w:p>
        </w:tc>
        <w:tc>
          <w:tcPr>
            <w:tcW w:w="1701" w:type="dxa"/>
          </w:tcPr>
          <w:p w14:paraId="066F5517" w14:textId="77777777" w:rsidR="003A33A7" w:rsidRPr="00D10084" w:rsidRDefault="003A33A7" w:rsidP="003A33A7">
            <w:pPr>
              <w:suppressAutoHyphens/>
              <w:ind w:right="126"/>
              <w:jc w:val="right"/>
              <w:rPr>
                <w:rFonts w:cs="Arial"/>
                <w:b/>
                <w:spacing w:val="-2"/>
              </w:rPr>
            </w:pPr>
            <w:r w:rsidRPr="00D10084">
              <w:rPr>
                <w:rFonts w:cs="Arial"/>
                <w:b/>
                <w:spacing w:val="-2"/>
              </w:rPr>
              <w:t>───────</w:t>
            </w:r>
          </w:p>
        </w:tc>
        <w:tc>
          <w:tcPr>
            <w:tcW w:w="1417" w:type="dxa"/>
          </w:tcPr>
          <w:p w14:paraId="781FF465" w14:textId="77777777" w:rsidR="003A33A7" w:rsidRPr="00D10084" w:rsidRDefault="003A33A7" w:rsidP="003A33A7">
            <w:pPr>
              <w:tabs>
                <w:tab w:val="left" w:pos="1309"/>
              </w:tabs>
              <w:suppressAutoHyphens/>
              <w:ind w:right="126"/>
              <w:jc w:val="right"/>
              <w:rPr>
                <w:rFonts w:cs="Arial"/>
                <w:spacing w:val="-2"/>
              </w:rPr>
            </w:pPr>
            <w:r w:rsidRPr="00D10084">
              <w:rPr>
                <w:rFonts w:cs="Arial"/>
                <w:b/>
                <w:spacing w:val="-2"/>
              </w:rPr>
              <w:t>───────</w:t>
            </w:r>
          </w:p>
        </w:tc>
        <w:tc>
          <w:tcPr>
            <w:tcW w:w="1418" w:type="dxa"/>
          </w:tcPr>
          <w:p w14:paraId="7CEFCADD" w14:textId="77777777" w:rsidR="003A33A7" w:rsidRPr="00D10084" w:rsidRDefault="003A33A7" w:rsidP="003A33A7">
            <w:pPr>
              <w:tabs>
                <w:tab w:val="left" w:pos="1309"/>
              </w:tabs>
              <w:suppressAutoHyphens/>
              <w:ind w:right="126"/>
              <w:jc w:val="right"/>
              <w:rPr>
                <w:rFonts w:cs="Arial"/>
                <w:spacing w:val="-2"/>
              </w:rPr>
            </w:pPr>
            <w:r w:rsidRPr="00D10084">
              <w:rPr>
                <w:rFonts w:cs="Arial"/>
                <w:b/>
                <w:spacing w:val="-2"/>
              </w:rPr>
              <w:t>──────</w:t>
            </w:r>
          </w:p>
        </w:tc>
        <w:tc>
          <w:tcPr>
            <w:tcW w:w="1417" w:type="dxa"/>
          </w:tcPr>
          <w:p w14:paraId="16466A03" w14:textId="77777777" w:rsidR="003A33A7" w:rsidRPr="00CA1F53" w:rsidRDefault="003A33A7" w:rsidP="003A33A7">
            <w:pPr>
              <w:suppressAutoHyphens/>
              <w:ind w:right="34"/>
              <w:jc w:val="right"/>
              <w:rPr>
                <w:rFonts w:cs="Arial"/>
                <w:spacing w:val="-2"/>
              </w:rPr>
            </w:pPr>
            <w:r w:rsidRPr="00CA1F53">
              <w:rPr>
                <w:rFonts w:cs="Arial"/>
                <w:spacing w:val="-2"/>
              </w:rPr>
              <w:t>───────</w:t>
            </w:r>
          </w:p>
        </w:tc>
      </w:tr>
      <w:tr w:rsidR="003A33A7" w:rsidRPr="00C328EF" w14:paraId="3AE1B616" w14:textId="77777777" w:rsidTr="00625C11">
        <w:tc>
          <w:tcPr>
            <w:tcW w:w="4361" w:type="dxa"/>
          </w:tcPr>
          <w:p w14:paraId="73CD80B0" w14:textId="77777777" w:rsidR="003A33A7" w:rsidRPr="00CA1F53" w:rsidRDefault="003A33A7" w:rsidP="003A33A7">
            <w:pPr>
              <w:ind w:left="546"/>
              <w:rPr>
                <w:b/>
              </w:rPr>
            </w:pPr>
            <w:r w:rsidRPr="00CA1F53">
              <w:rPr>
                <w:b/>
              </w:rPr>
              <w:t xml:space="preserve">At </w:t>
            </w:r>
            <w:r>
              <w:rPr>
                <w:b/>
              </w:rPr>
              <w:t>28</w:t>
            </w:r>
            <w:r w:rsidRPr="00CA1F53">
              <w:rPr>
                <w:b/>
              </w:rPr>
              <w:t xml:space="preserve"> December 2024</w:t>
            </w:r>
          </w:p>
        </w:tc>
        <w:tc>
          <w:tcPr>
            <w:tcW w:w="1701" w:type="dxa"/>
          </w:tcPr>
          <w:p w14:paraId="2DCED31B" w14:textId="77777777" w:rsidR="003A33A7" w:rsidRPr="00D10084" w:rsidRDefault="003A33A7" w:rsidP="003A33A7">
            <w:pPr>
              <w:suppressAutoHyphens/>
              <w:ind w:right="126"/>
              <w:jc w:val="right"/>
              <w:rPr>
                <w:rFonts w:cs="Arial"/>
                <w:spacing w:val="-2"/>
              </w:rPr>
            </w:pPr>
            <w:r w:rsidRPr="00D10084">
              <w:rPr>
                <w:rFonts w:cs="Arial"/>
                <w:spacing w:val="-2"/>
              </w:rPr>
              <w:t>-</w:t>
            </w:r>
          </w:p>
        </w:tc>
        <w:tc>
          <w:tcPr>
            <w:tcW w:w="1417" w:type="dxa"/>
          </w:tcPr>
          <w:p w14:paraId="72856D53" w14:textId="77777777" w:rsidR="003A33A7" w:rsidRPr="00D10084" w:rsidRDefault="003A33A7" w:rsidP="003A33A7">
            <w:pPr>
              <w:tabs>
                <w:tab w:val="left" w:pos="1309"/>
              </w:tabs>
              <w:suppressAutoHyphens/>
              <w:ind w:right="126"/>
              <w:jc w:val="right"/>
              <w:rPr>
                <w:rFonts w:cs="Arial"/>
                <w:spacing w:val="-2"/>
              </w:rPr>
            </w:pPr>
            <w:r w:rsidRPr="00D10084">
              <w:rPr>
                <w:rFonts w:cs="Arial"/>
                <w:spacing w:val="-2"/>
              </w:rPr>
              <w:t>-</w:t>
            </w:r>
          </w:p>
        </w:tc>
        <w:tc>
          <w:tcPr>
            <w:tcW w:w="1418" w:type="dxa"/>
          </w:tcPr>
          <w:p w14:paraId="03C0040A" w14:textId="77777777" w:rsidR="003A33A7" w:rsidRPr="00D10084" w:rsidRDefault="003A33A7" w:rsidP="003A33A7">
            <w:pPr>
              <w:tabs>
                <w:tab w:val="left" w:pos="1309"/>
              </w:tabs>
              <w:suppressAutoHyphens/>
              <w:ind w:right="126"/>
              <w:jc w:val="right"/>
              <w:rPr>
                <w:rFonts w:cs="Arial"/>
                <w:spacing w:val="-2"/>
              </w:rPr>
            </w:pPr>
            <w:r w:rsidRPr="00D10084">
              <w:rPr>
                <w:rFonts w:cs="Arial"/>
                <w:spacing w:val="-2"/>
              </w:rPr>
              <w:t>-</w:t>
            </w:r>
          </w:p>
        </w:tc>
        <w:tc>
          <w:tcPr>
            <w:tcW w:w="1417" w:type="dxa"/>
          </w:tcPr>
          <w:p w14:paraId="7867A2E9" w14:textId="77777777" w:rsidR="003A33A7" w:rsidRPr="00CA1F53" w:rsidRDefault="003A33A7" w:rsidP="003A33A7">
            <w:pPr>
              <w:suppressAutoHyphens/>
              <w:ind w:right="34"/>
              <w:jc w:val="right"/>
              <w:rPr>
                <w:rFonts w:cs="Arial"/>
                <w:spacing w:val="-2"/>
              </w:rPr>
            </w:pPr>
            <w:r w:rsidRPr="00CA1F53">
              <w:rPr>
                <w:rFonts w:cs="Arial"/>
                <w:spacing w:val="-2"/>
              </w:rPr>
              <w:t>(55,756)</w:t>
            </w:r>
          </w:p>
        </w:tc>
      </w:tr>
      <w:tr w:rsidR="003A33A7" w:rsidRPr="00C328EF" w14:paraId="3AB6EAD0" w14:textId="77777777" w:rsidTr="00625C11">
        <w:tc>
          <w:tcPr>
            <w:tcW w:w="4361" w:type="dxa"/>
          </w:tcPr>
          <w:p w14:paraId="00134423" w14:textId="77777777" w:rsidR="003A33A7" w:rsidRPr="00C328EF" w:rsidRDefault="003A33A7" w:rsidP="003A33A7">
            <w:pPr>
              <w:jc w:val="both"/>
              <w:rPr>
                <w:highlight w:val="yellow"/>
              </w:rPr>
            </w:pPr>
          </w:p>
        </w:tc>
        <w:tc>
          <w:tcPr>
            <w:tcW w:w="1701" w:type="dxa"/>
          </w:tcPr>
          <w:p w14:paraId="7E299388" w14:textId="77777777" w:rsidR="003A33A7" w:rsidRPr="00D10084" w:rsidRDefault="003A33A7" w:rsidP="003A33A7">
            <w:pPr>
              <w:suppressAutoHyphens/>
              <w:ind w:right="126"/>
              <w:jc w:val="right"/>
              <w:rPr>
                <w:rFonts w:cs="Arial"/>
                <w:spacing w:val="-2"/>
              </w:rPr>
            </w:pPr>
            <w:r w:rsidRPr="00D10084">
              <w:rPr>
                <w:rFonts w:cs="Arial"/>
                <w:spacing w:val="-2"/>
              </w:rPr>
              <w:t>═══════</w:t>
            </w:r>
          </w:p>
        </w:tc>
        <w:tc>
          <w:tcPr>
            <w:tcW w:w="1417" w:type="dxa"/>
          </w:tcPr>
          <w:p w14:paraId="1C0DB7AE" w14:textId="77777777" w:rsidR="003A33A7" w:rsidRPr="00D10084" w:rsidRDefault="003A33A7" w:rsidP="003A33A7">
            <w:pPr>
              <w:tabs>
                <w:tab w:val="left" w:pos="1309"/>
              </w:tabs>
              <w:suppressAutoHyphens/>
              <w:ind w:right="126"/>
              <w:jc w:val="right"/>
              <w:rPr>
                <w:rFonts w:cs="Arial"/>
                <w:spacing w:val="-2"/>
              </w:rPr>
            </w:pPr>
            <w:r w:rsidRPr="00D10084">
              <w:rPr>
                <w:rFonts w:cs="Arial"/>
                <w:spacing w:val="-2"/>
              </w:rPr>
              <w:t>═══════</w:t>
            </w:r>
          </w:p>
        </w:tc>
        <w:tc>
          <w:tcPr>
            <w:tcW w:w="1418" w:type="dxa"/>
          </w:tcPr>
          <w:p w14:paraId="554C4548" w14:textId="77777777" w:rsidR="003A33A7" w:rsidRPr="00D10084" w:rsidRDefault="003A33A7" w:rsidP="003A33A7">
            <w:pPr>
              <w:tabs>
                <w:tab w:val="left" w:pos="1309"/>
              </w:tabs>
              <w:suppressAutoHyphens/>
              <w:ind w:right="126"/>
              <w:jc w:val="right"/>
              <w:rPr>
                <w:rFonts w:cs="Arial"/>
                <w:spacing w:val="-2"/>
              </w:rPr>
            </w:pPr>
            <w:r w:rsidRPr="00D10084">
              <w:rPr>
                <w:rFonts w:cs="Arial"/>
                <w:spacing w:val="-2"/>
              </w:rPr>
              <w:t>══════</w:t>
            </w:r>
          </w:p>
        </w:tc>
        <w:tc>
          <w:tcPr>
            <w:tcW w:w="1417" w:type="dxa"/>
          </w:tcPr>
          <w:p w14:paraId="6A0AC866" w14:textId="77777777" w:rsidR="003A33A7" w:rsidRPr="00CA1F53" w:rsidRDefault="003A33A7" w:rsidP="003A33A7">
            <w:pPr>
              <w:suppressAutoHyphens/>
              <w:ind w:right="34"/>
              <w:rPr>
                <w:rFonts w:cs="Arial"/>
                <w:spacing w:val="-2"/>
              </w:rPr>
            </w:pPr>
            <w:r w:rsidRPr="00CA1F53">
              <w:rPr>
                <w:rFonts w:cs="Arial"/>
                <w:spacing w:val="-2"/>
              </w:rPr>
              <w:t>═══════</w:t>
            </w:r>
          </w:p>
        </w:tc>
      </w:tr>
      <w:tr w:rsidR="003A33A7" w:rsidRPr="00C328EF" w14:paraId="2207AA69" w14:textId="77777777" w:rsidTr="00625C11">
        <w:tc>
          <w:tcPr>
            <w:tcW w:w="4361" w:type="dxa"/>
          </w:tcPr>
          <w:p w14:paraId="165B0DC6" w14:textId="77777777" w:rsidR="003A33A7" w:rsidRPr="00C328EF" w:rsidRDefault="003A33A7" w:rsidP="003A33A7">
            <w:pPr>
              <w:jc w:val="both"/>
              <w:rPr>
                <w:highlight w:val="yellow"/>
              </w:rPr>
            </w:pPr>
          </w:p>
        </w:tc>
        <w:tc>
          <w:tcPr>
            <w:tcW w:w="1701" w:type="dxa"/>
          </w:tcPr>
          <w:p w14:paraId="3E2C2119" w14:textId="77777777" w:rsidR="003A33A7" w:rsidRPr="00C328EF" w:rsidRDefault="003A33A7" w:rsidP="003A33A7">
            <w:pPr>
              <w:suppressAutoHyphens/>
              <w:ind w:right="126"/>
              <w:jc w:val="right"/>
              <w:rPr>
                <w:rFonts w:cs="Arial"/>
                <w:spacing w:val="-2"/>
                <w:highlight w:val="yellow"/>
              </w:rPr>
            </w:pPr>
          </w:p>
        </w:tc>
        <w:tc>
          <w:tcPr>
            <w:tcW w:w="1417" w:type="dxa"/>
          </w:tcPr>
          <w:p w14:paraId="3DFE9074" w14:textId="77777777" w:rsidR="003A33A7" w:rsidRPr="00C328EF" w:rsidRDefault="003A33A7" w:rsidP="003A33A7">
            <w:pPr>
              <w:tabs>
                <w:tab w:val="left" w:pos="1309"/>
              </w:tabs>
              <w:suppressAutoHyphens/>
              <w:ind w:right="126"/>
              <w:jc w:val="right"/>
              <w:rPr>
                <w:rFonts w:cs="Arial"/>
                <w:spacing w:val="-2"/>
                <w:highlight w:val="yellow"/>
              </w:rPr>
            </w:pPr>
          </w:p>
        </w:tc>
        <w:tc>
          <w:tcPr>
            <w:tcW w:w="1418" w:type="dxa"/>
          </w:tcPr>
          <w:p w14:paraId="69F879D8" w14:textId="77777777" w:rsidR="003A33A7" w:rsidRPr="00C328EF" w:rsidRDefault="003A33A7" w:rsidP="003A33A7">
            <w:pPr>
              <w:suppressAutoHyphens/>
              <w:ind w:right="33"/>
              <w:rPr>
                <w:rFonts w:cs="Arial"/>
                <w:spacing w:val="-2"/>
                <w:highlight w:val="yellow"/>
              </w:rPr>
            </w:pPr>
          </w:p>
        </w:tc>
        <w:tc>
          <w:tcPr>
            <w:tcW w:w="1417" w:type="dxa"/>
          </w:tcPr>
          <w:p w14:paraId="7C674D26" w14:textId="77777777" w:rsidR="003A33A7" w:rsidRPr="00C328EF" w:rsidRDefault="003A33A7" w:rsidP="003A33A7">
            <w:pPr>
              <w:suppressAutoHyphens/>
              <w:ind w:right="34"/>
              <w:rPr>
                <w:rFonts w:cs="Arial"/>
                <w:spacing w:val="-2"/>
                <w:highlight w:val="yellow"/>
              </w:rPr>
            </w:pPr>
          </w:p>
        </w:tc>
      </w:tr>
    </w:tbl>
    <w:p w14:paraId="1B213E83" w14:textId="77777777" w:rsidR="00CC736B" w:rsidRPr="00D10084" w:rsidRDefault="00B6457A" w:rsidP="002D6212">
      <w:pPr>
        <w:ind w:left="567" w:right="-447"/>
        <w:jc w:val="both"/>
      </w:pPr>
      <w:r w:rsidRPr="00D10084">
        <w:t>In 201</w:t>
      </w:r>
      <w:r w:rsidR="000D77CC" w:rsidRPr="00D10084">
        <w:t>3</w:t>
      </w:r>
      <w:r w:rsidR="003430AF" w:rsidRPr="00D10084">
        <w:t xml:space="preserve"> the </w:t>
      </w:r>
      <w:r w:rsidR="00541B3B" w:rsidRPr="00D10084">
        <w:t>C</w:t>
      </w:r>
      <w:r w:rsidR="003430AF" w:rsidRPr="00D10084">
        <w:t xml:space="preserve">ompany </w:t>
      </w:r>
      <w:r w:rsidR="005D2938" w:rsidRPr="00D10084">
        <w:t>acquired Lothian Buses Limited. T</w:t>
      </w:r>
      <w:r w:rsidR="00CC736B" w:rsidRPr="00D10084">
        <w:t xml:space="preserve">he excess of the </w:t>
      </w:r>
      <w:r w:rsidR="005D2938" w:rsidRPr="00D10084">
        <w:t xml:space="preserve">book value of the </w:t>
      </w:r>
      <w:r w:rsidR="00FC637A" w:rsidRPr="00D10084">
        <w:t>G</w:t>
      </w:r>
      <w:r w:rsidR="005D2938" w:rsidRPr="00D10084">
        <w:t>roup’s share of Lothian Buses Limited’s assets and liabilities at the time of acquisition over the consideration</w:t>
      </w:r>
      <w:r w:rsidR="001E3DC0" w:rsidRPr="00D10084">
        <w:t xml:space="preserve"> </w:t>
      </w:r>
      <w:r w:rsidR="00CC736B" w:rsidRPr="00D10084">
        <w:t xml:space="preserve">has been </w:t>
      </w:r>
      <w:r w:rsidR="005D2938" w:rsidRPr="00D10084">
        <w:t xml:space="preserve">allocated to </w:t>
      </w:r>
      <w:r w:rsidR="00CC736B" w:rsidRPr="00D10084">
        <w:t>other reserves</w:t>
      </w:r>
      <w:r w:rsidR="006A6AA5" w:rsidRPr="00D10084">
        <w:t xml:space="preserve">, in accordance with the </w:t>
      </w:r>
      <w:r w:rsidR="00541B3B" w:rsidRPr="00D10084">
        <w:t>C</w:t>
      </w:r>
      <w:r w:rsidR="006A6AA5" w:rsidRPr="00D10084">
        <w:t>ompany’s accounting policy for subsidiaries previously held under common control</w:t>
      </w:r>
      <w:r w:rsidR="00CC736B" w:rsidRPr="00D10084">
        <w:t>.</w:t>
      </w:r>
    </w:p>
    <w:p w14:paraId="6567DC30" w14:textId="77777777" w:rsidR="00F12726" w:rsidRPr="00F45179" w:rsidRDefault="00F12726" w:rsidP="00F12726">
      <w:pPr>
        <w:jc w:val="center"/>
        <w:rPr>
          <w:b/>
        </w:rPr>
      </w:pPr>
      <w:r w:rsidRPr="00C328EF">
        <w:rPr>
          <w:highlight w:val="yellow"/>
        </w:rPr>
        <w:br w:type="page"/>
      </w:r>
      <w:r w:rsidRPr="00F45179">
        <w:rPr>
          <w:b/>
        </w:rPr>
        <w:lastRenderedPageBreak/>
        <w:t>TRANSPORT FOR EDINBURGH LIMITED</w:t>
      </w:r>
    </w:p>
    <w:p w14:paraId="5C770AE8" w14:textId="77777777" w:rsidR="00F12726" w:rsidRPr="00F45179" w:rsidRDefault="00F12726" w:rsidP="00F12726">
      <w:pPr>
        <w:jc w:val="center"/>
        <w:rPr>
          <w:b/>
        </w:rPr>
      </w:pPr>
    </w:p>
    <w:p w14:paraId="5DEA4E94" w14:textId="77777777" w:rsidR="00F12726" w:rsidRPr="00F45179" w:rsidRDefault="00F12726" w:rsidP="00F12726">
      <w:pPr>
        <w:jc w:val="center"/>
        <w:rPr>
          <w:b/>
        </w:rPr>
      </w:pPr>
      <w:r w:rsidRPr="00F45179">
        <w:rPr>
          <w:b/>
        </w:rPr>
        <w:t>Notes to the Financial Statements (continued)</w:t>
      </w:r>
    </w:p>
    <w:p w14:paraId="00D57DFA" w14:textId="77777777" w:rsidR="00F12726" w:rsidRPr="00F45179" w:rsidRDefault="00F12726" w:rsidP="00F12726">
      <w:pPr>
        <w:jc w:val="center"/>
        <w:rPr>
          <w:b/>
        </w:rPr>
      </w:pPr>
    </w:p>
    <w:p w14:paraId="194E9D1D" w14:textId="77777777" w:rsidR="00F12726" w:rsidRPr="00977682" w:rsidRDefault="00D90B89" w:rsidP="00F12726">
      <w:pPr>
        <w:tabs>
          <w:tab w:val="left" w:pos="567"/>
        </w:tabs>
        <w:jc w:val="center"/>
        <w:rPr>
          <w:b/>
        </w:rPr>
      </w:pPr>
      <w:r w:rsidRPr="00977682">
        <w:rPr>
          <w:b/>
        </w:rPr>
        <w:t>For the period ended 28 December 2024</w:t>
      </w:r>
    </w:p>
    <w:p w14:paraId="77EE2B56" w14:textId="77777777" w:rsidR="00296040" w:rsidRPr="00977682" w:rsidRDefault="00296040" w:rsidP="00904F14">
      <w:pPr>
        <w:jc w:val="both"/>
      </w:pPr>
    </w:p>
    <w:p w14:paraId="07018ABA" w14:textId="77777777" w:rsidR="00F12726" w:rsidRPr="00977682" w:rsidRDefault="00F12726" w:rsidP="00A5227C">
      <w:pPr>
        <w:numPr>
          <w:ilvl w:val="0"/>
          <w:numId w:val="40"/>
        </w:numPr>
        <w:tabs>
          <w:tab w:val="num" w:pos="546"/>
        </w:tabs>
        <w:ind w:left="360"/>
        <w:rPr>
          <w:b/>
        </w:rPr>
      </w:pPr>
      <w:r w:rsidRPr="00977682">
        <w:rPr>
          <w:b/>
        </w:rPr>
        <w:t>Non-controlling interest</w:t>
      </w:r>
    </w:p>
    <w:tbl>
      <w:tblPr>
        <w:tblW w:w="10326" w:type="dxa"/>
        <w:tblLayout w:type="fixed"/>
        <w:tblLook w:val="01E0" w:firstRow="1" w:lastRow="1" w:firstColumn="1" w:lastColumn="1" w:noHBand="0" w:noVBand="0"/>
      </w:tblPr>
      <w:tblGrid>
        <w:gridCol w:w="7518"/>
        <w:gridCol w:w="1379"/>
        <w:gridCol w:w="1429"/>
      </w:tblGrid>
      <w:tr w:rsidR="00F12726" w:rsidRPr="00977682" w14:paraId="495ECA25" w14:textId="77777777" w:rsidTr="008A06C2">
        <w:tc>
          <w:tcPr>
            <w:tcW w:w="7518" w:type="dxa"/>
          </w:tcPr>
          <w:p w14:paraId="6133C2D5" w14:textId="77777777" w:rsidR="00F12726" w:rsidRPr="00977682" w:rsidRDefault="00F12726" w:rsidP="008A06C2">
            <w:pPr>
              <w:suppressAutoHyphens/>
              <w:ind w:firstLine="546"/>
              <w:rPr>
                <w:b/>
              </w:rPr>
            </w:pPr>
          </w:p>
        </w:tc>
        <w:tc>
          <w:tcPr>
            <w:tcW w:w="1379" w:type="dxa"/>
          </w:tcPr>
          <w:p w14:paraId="19C6473D" w14:textId="77777777" w:rsidR="00F12726" w:rsidRPr="00977682" w:rsidRDefault="00F12726" w:rsidP="008A06C2">
            <w:pPr>
              <w:suppressAutoHyphens/>
              <w:ind w:right="126"/>
              <w:jc w:val="right"/>
              <w:rPr>
                <w:rFonts w:cs="Arial"/>
                <w:b/>
                <w:spacing w:val="-2"/>
              </w:rPr>
            </w:pPr>
          </w:p>
        </w:tc>
        <w:tc>
          <w:tcPr>
            <w:tcW w:w="1429" w:type="dxa"/>
          </w:tcPr>
          <w:p w14:paraId="66A7AB2D" w14:textId="77777777" w:rsidR="00F12726" w:rsidRPr="00977682" w:rsidRDefault="00F12726" w:rsidP="008A06C2">
            <w:pPr>
              <w:suppressAutoHyphens/>
              <w:ind w:right="126"/>
              <w:jc w:val="right"/>
              <w:rPr>
                <w:rFonts w:cs="Arial"/>
                <w:b/>
                <w:spacing w:val="-2"/>
              </w:rPr>
            </w:pPr>
            <w:r w:rsidRPr="00977682">
              <w:rPr>
                <w:rFonts w:cs="Arial"/>
                <w:b/>
                <w:spacing w:val="-2"/>
              </w:rPr>
              <w:t>Non- controlling interest</w:t>
            </w:r>
          </w:p>
        </w:tc>
      </w:tr>
      <w:tr w:rsidR="00F12726" w:rsidRPr="00C328EF" w14:paraId="2D510551" w14:textId="77777777" w:rsidTr="008A06C2">
        <w:tc>
          <w:tcPr>
            <w:tcW w:w="7518" w:type="dxa"/>
          </w:tcPr>
          <w:p w14:paraId="547DBD64" w14:textId="77777777" w:rsidR="00F12726" w:rsidRPr="00D10084" w:rsidRDefault="00F12726" w:rsidP="008A06C2">
            <w:pPr>
              <w:suppressAutoHyphens/>
              <w:ind w:firstLine="546"/>
              <w:rPr>
                <w:rFonts w:cs="Arial"/>
                <w:spacing w:val="-2"/>
              </w:rPr>
            </w:pPr>
          </w:p>
        </w:tc>
        <w:tc>
          <w:tcPr>
            <w:tcW w:w="1379" w:type="dxa"/>
          </w:tcPr>
          <w:p w14:paraId="76D777E5" w14:textId="77777777" w:rsidR="00F12726" w:rsidRPr="00D10084" w:rsidRDefault="00F12726" w:rsidP="008A06C2">
            <w:pPr>
              <w:suppressAutoHyphens/>
              <w:ind w:right="126"/>
              <w:jc w:val="right"/>
              <w:rPr>
                <w:rFonts w:cs="Arial"/>
                <w:b/>
                <w:spacing w:val="-2"/>
              </w:rPr>
            </w:pPr>
          </w:p>
        </w:tc>
        <w:tc>
          <w:tcPr>
            <w:tcW w:w="1429" w:type="dxa"/>
          </w:tcPr>
          <w:p w14:paraId="431F92D6" w14:textId="77777777" w:rsidR="00F12726" w:rsidRPr="00D10084" w:rsidRDefault="00F12726" w:rsidP="008A06C2">
            <w:pPr>
              <w:suppressAutoHyphens/>
              <w:ind w:right="126"/>
              <w:jc w:val="right"/>
              <w:rPr>
                <w:rFonts w:cs="Arial"/>
                <w:b/>
                <w:spacing w:val="-2"/>
              </w:rPr>
            </w:pPr>
            <w:r w:rsidRPr="00D10084">
              <w:rPr>
                <w:rFonts w:cs="Arial"/>
                <w:b/>
                <w:spacing w:val="-2"/>
              </w:rPr>
              <w:t>£’000</w:t>
            </w:r>
          </w:p>
        </w:tc>
      </w:tr>
      <w:tr w:rsidR="00F12726" w:rsidRPr="00C328EF" w14:paraId="174C6BD6" w14:textId="77777777" w:rsidTr="008A06C2">
        <w:tc>
          <w:tcPr>
            <w:tcW w:w="7518" w:type="dxa"/>
          </w:tcPr>
          <w:p w14:paraId="1845CBA5" w14:textId="77777777" w:rsidR="00F12726" w:rsidRPr="00D10084" w:rsidRDefault="00F12726" w:rsidP="008A06C2">
            <w:pPr>
              <w:ind w:left="546"/>
            </w:pPr>
          </w:p>
        </w:tc>
        <w:tc>
          <w:tcPr>
            <w:tcW w:w="1379" w:type="dxa"/>
          </w:tcPr>
          <w:p w14:paraId="48A23CE7" w14:textId="77777777" w:rsidR="00F12726" w:rsidRPr="00D10084" w:rsidRDefault="00F12726" w:rsidP="008A06C2">
            <w:pPr>
              <w:suppressAutoHyphens/>
              <w:ind w:right="126"/>
              <w:jc w:val="right"/>
              <w:rPr>
                <w:rFonts w:cs="Arial"/>
                <w:spacing w:val="-2"/>
              </w:rPr>
            </w:pPr>
          </w:p>
        </w:tc>
        <w:tc>
          <w:tcPr>
            <w:tcW w:w="1429" w:type="dxa"/>
          </w:tcPr>
          <w:p w14:paraId="13073A18" w14:textId="77777777" w:rsidR="00F12726" w:rsidRPr="00D10084" w:rsidRDefault="00F12726" w:rsidP="008A06C2">
            <w:pPr>
              <w:suppressAutoHyphens/>
              <w:ind w:right="126"/>
              <w:jc w:val="right"/>
              <w:rPr>
                <w:rFonts w:cs="Arial"/>
                <w:spacing w:val="-2"/>
              </w:rPr>
            </w:pPr>
          </w:p>
        </w:tc>
      </w:tr>
      <w:tr w:rsidR="00F12726" w:rsidRPr="00C328EF" w14:paraId="252C70AD" w14:textId="77777777" w:rsidTr="008A06C2">
        <w:tc>
          <w:tcPr>
            <w:tcW w:w="7518" w:type="dxa"/>
          </w:tcPr>
          <w:p w14:paraId="69D19E4C" w14:textId="77777777" w:rsidR="00F12726" w:rsidRPr="00D10084" w:rsidRDefault="00F12726" w:rsidP="00D466EE">
            <w:pPr>
              <w:ind w:left="546"/>
              <w:rPr>
                <w:b/>
              </w:rPr>
            </w:pPr>
            <w:bookmarkStart w:id="43" w:name="_Hlk192434692"/>
            <w:r w:rsidRPr="00D10084">
              <w:rPr>
                <w:b/>
              </w:rPr>
              <w:t>At 1 January 20</w:t>
            </w:r>
            <w:r w:rsidR="000F4184" w:rsidRPr="00D10084">
              <w:rPr>
                <w:b/>
              </w:rPr>
              <w:t>2</w:t>
            </w:r>
            <w:r w:rsidR="00D10084" w:rsidRPr="00D10084">
              <w:rPr>
                <w:b/>
              </w:rPr>
              <w:t>3</w:t>
            </w:r>
          </w:p>
        </w:tc>
        <w:tc>
          <w:tcPr>
            <w:tcW w:w="1379" w:type="dxa"/>
          </w:tcPr>
          <w:p w14:paraId="29B2B43C" w14:textId="77777777" w:rsidR="00F12726" w:rsidRPr="00D10084" w:rsidRDefault="00F12726" w:rsidP="008A06C2">
            <w:pPr>
              <w:suppressAutoHyphens/>
              <w:ind w:right="126"/>
              <w:jc w:val="right"/>
              <w:rPr>
                <w:rFonts w:cs="Arial"/>
                <w:b/>
                <w:spacing w:val="-2"/>
              </w:rPr>
            </w:pPr>
          </w:p>
        </w:tc>
        <w:tc>
          <w:tcPr>
            <w:tcW w:w="1429" w:type="dxa"/>
          </w:tcPr>
          <w:p w14:paraId="47B9277B" w14:textId="77777777" w:rsidR="00F12726" w:rsidRPr="00D10084" w:rsidRDefault="00D10084" w:rsidP="008A06C2">
            <w:pPr>
              <w:suppressAutoHyphens/>
              <w:ind w:right="126"/>
              <w:jc w:val="right"/>
              <w:rPr>
                <w:rFonts w:cs="Arial"/>
                <w:spacing w:val="-2"/>
              </w:rPr>
            </w:pPr>
            <w:r w:rsidRPr="00D10084">
              <w:rPr>
                <w:rFonts w:cs="Arial"/>
                <w:spacing w:val="-2"/>
              </w:rPr>
              <w:t>11,813</w:t>
            </w:r>
          </w:p>
        </w:tc>
      </w:tr>
      <w:tr w:rsidR="00D10084" w:rsidRPr="00C328EF" w14:paraId="23F99114" w14:textId="77777777" w:rsidTr="008A06C2">
        <w:tc>
          <w:tcPr>
            <w:tcW w:w="7518" w:type="dxa"/>
          </w:tcPr>
          <w:p w14:paraId="34EB7244" w14:textId="77777777" w:rsidR="00D10084" w:rsidRPr="00D10084" w:rsidRDefault="00D10084" w:rsidP="00D10084">
            <w:pPr>
              <w:ind w:left="546"/>
            </w:pPr>
            <w:r w:rsidRPr="00D10084">
              <w:t xml:space="preserve">Share of profit for the </w:t>
            </w:r>
            <w:r w:rsidR="00A61AEE">
              <w:t>period</w:t>
            </w:r>
          </w:p>
        </w:tc>
        <w:tc>
          <w:tcPr>
            <w:tcW w:w="1379" w:type="dxa"/>
          </w:tcPr>
          <w:p w14:paraId="478B773D" w14:textId="77777777" w:rsidR="00D10084" w:rsidRPr="00D10084" w:rsidRDefault="00D10084" w:rsidP="00D10084">
            <w:pPr>
              <w:suppressAutoHyphens/>
              <w:ind w:right="126"/>
              <w:jc w:val="right"/>
              <w:rPr>
                <w:rFonts w:cs="Arial"/>
                <w:spacing w:val="-2"/>
              </w:rPr>
            </w:pPr>
          </w:p>
        </w:tc>
        <w:tc>
          <w:tcPr>
            <w:tcW w:w="1429" w:type="dxa"/>
          </w:tcPr>
          <w:p w14:paraId="4C6A4583" w14:textId="77777777" w:rsidR="00D10084" w:rsidRPr="00D10084" w:rsidRDefault="00D10084" w:rsidP="00D10084">
            <w:pPr>
              <w:suppressAutoHyphens/>
              <w:ind w:right="126"/>
              <w:jc w:val="right"/>
              <w:rPr>
                <w:rFonts w:cs="Arial"/>
                <w:spacing w:val="-2"/>
              </w:rPr>
            </w:pPr>
            <w:r w:rsidRPr="00D10084">
              <w:rPr>
                <w:rFonts w:cs="Arial"/>
                <w:spacing w:val="-2"/>
              </w:rPr>
              <w:t>1,311</w:t>
            </w:r>
          </w:p>
        </w:tc>
      </w:tr>
      <w:tr w:rsidR="00D10084" w:rsidRPr="00C328EF" w14:paraId="16445F88" w14:textId="77777777" w:rsidTr="008A06C2">
        <w:tc>
          <w:tcPr>
            <w:tcW w:w="7518" w:type="dxa"/>
          </w:tcPr>
          <w:p w14:paraId="383F619E" w14:textId="77777777" w:rsidR="00D10084" w:rsidRPr="00D10084" w:rsidRDefault="00D10084" w:rsidP="00D10084">
            <w:pPr>
              <w:ind w:left="546"/>
            </w:pPr>
            <w:r w:rsidRPr="00D10084">
              <w:t>Share of cash flow hedges</w:t>
            </w:r>
          </w:p>
        </w:tc>
        <w:tc>
          <w:tcPr>
            <w:tcW w:w="1379" w:type="dxa"/>
          </w:tcPr>
          <w:p w14:paraId="7290AA76" w14:textId="77777777" w:rsidR="00D10084" w:rsidRPr="00D10084" w:rsidRDefault="00D10084" w:rsidP="00D10084">
            <w:pPr>
              <w:suppressAutoHyphens/>
              <w:ind w:right="126"/>
              <w:jc w:val="right"/>
              <w:rPr>
                <w:rFonts w:cs="Arial"/>
                <w:spacing w:val="-2"/>
              </w:rPr>
            </w:pPr>
          </w:p>
        </w:tc>
        <w:tc>
          <w:tcPr>
            <w:tcW w:w="1429" w:type="dxa"/>
          </w:tcPr>
          <w:p w14:paraId="32E85652" w14:textId="77777777" w:rsidR="00D10084" w:rsidRPr="00D10084" w:rsidRDefault="00D10084" w:rsidP="00D10084">
            <w:pPr>
              <w:suppressAutoHyphens/>
              <w:ind w:right="126"/>
              <w:jc w:val="right"/>
              <w:rPr>
                <w:rFonts w:cs="Arial"/>
                <w:spacing w:val="-2"/>
              </w:rPr>
            </w:pPr>
            <w:r w:rsidRPr="00D10084">
              <w:rPr>
                <w:rFonts w:cs="Arial"/>
                <w:spacing w:val="-2"/>
              </w:rPr>
              <w:t>(363)</w:t>
            </w:r>
          </w:p>
        </w:tc>
      </w:tr>
      <w:tr w:rsidR="00D10084" w:rsidRPr="00C328EF" w14:paraId="34783BCF" w14:textId="77777777" w:rsidTr="008A06C2">
        <w:tc>
          <w:tcPr>
            <w:tcW w:w="7518" w:type="dxa"/>
          </w:tcPr>
          <w:p w14:paraId="5811B2C8" w14:textId="77777777" w:rsidR="00D10084" w:rsidRPr="00D10084" w:rsidRDefault="00D10084" w:rsidP="00D10084">
            <w:pPr>
              <w:ind w:left="546"/>
            </w:pPr>
            <w:r w:rsidRPr="00D10084">
              <w:t>Share of deferred tax thereon</w:t>
            </w:r>
          </w:p>
        </w:tc>
        <w:tc>
          <w:tcPr>
            <w:tcW w:w="1379" w:type="dxa"/>
          </w:tcPr>
          <w:p w14:paraId="3A047C59" w14:textId="77777777" w:rsidR="00D10084" w:rsidRPr="00D10084" w:rsidRDefault="00D10084" w:rsidP="00D10084">
            <w:pPr>
              <w:suppressAutoHyphens/>
              <w:ind w:right="126"/>
              <w:jc w:val="right"/>
              <w:rPr>
                <w:rFonts w:cs="Arial"/>
                <w:spacing w:val="-2"/>
              </w:rPr>
            </w:pPr>
          </w:p>
        </w:tc>
        <w:tc>
          <w:tcPr>
            <w:tcW w:w="1429" w:type="dxa"/>
          </w:tcPr>
          <w:p w14:paraId="59232611" w14:textId="77777777" w:rsidR="00D10084" w:rsidRPr="00D10084" w:rsidRDefault="00D10084" w:rsidP="00D10084">
            <w:pPr>
              <w:suppressAutoHyphens/>
              <w:ind w:right="126"/>
              <w:jc w:val="right"/>
              <w:rPr>
                <w:rFonts w:cs="Arial"/>
                <w:spacing w:val="-2"/>
              </w:rPr>
            </w:pPr>
            <w:r w:rsidRPr="00D10084">
              <w:rPr>
                <w:rFonts w:cs="Arial"/>
                <w:spacing w:val="-2"/>
              </w:rPr>
              <w:t>91</w:t>
            </w:r>
          </w:p>
        </w:tc>
      </w:tr>
      <w:tr w:rsidR="00D10084" w:rsidRPr="00C328EF" w14:paraId="673BE056" w14:textId="77777777" w:rsidTr="008A06C2">
        <w:tc>
          <w:tcPr>
            <w:tcW w:w="7518" w:type="dxa"/>
          </w:tcPr>
          <w:p w14:paraId="039B41AE" w14:textId="77777777" w:rsidR="00D10084" w:rsidRPr="00A61AEE" w:rsidRDefault="00D10084" w:rsidP="00D10084">
            <w:pPr>
              <w:ind w:left="546"/>
            </w:pPr>
            <w:r w:rsidRPr="00A61AEE">
              <w:t xml:space="preserve">Share of actuarial gain for the </w:t>
            </w:r>
            <w:r w:rsidR="00A61AEE">
              <w:t>period</w:t>
            </w:r>
          </w:p>
        </w:tc>
        <w:tc>
          <w:tcPr>
            <w:tcW w:w="1379" w:type="dxa"/>
          </w:tcPr>
          <w:p w14:paraId="76335CA4" w14:textId="77777777" w:rsidR="00D10084" w:rsidRPr="00D10084" w:rsidRDefault="00D10084" w:rsidP="00D10084">
            <w:pPr>
              <w:suppressAutoHyphens/>
              <w:ind w:right="126"/>
              <w:jc w:val="right"/>
              <w:rPr>
                <w:rFonts w:cs="Arial"/>
                <w:spacing w:val="-2"/>
              </w:rPr>
            </w:pPr>
          </w:p>
        </w:tc>
        <w:tc>
          <w:tcPr>
            <w:tcW w:w="1429" w:type="dxa"/>
          </w:tcPr>
          <w:p w14:paraId="2B75F4C4" w14:textId="77777777" w:rsidR="00D10084" w:rsidRPr="00D10084" w:rsidRDefault="00D10084" w:rsidP="00D10084">
            <w:pPr>
              <w:suppressAutoHyphens/>
              <w:ind w:right="126"/>
              <w:jc w:val="right"/>
              <w:rPr>
                <w:rFonts w:cs="Arial"/>
                <w:spacing w:val="-2"/>
              </w:rPr>
            </w:pPr>
            <w:r w:rsidRPr="00D10084">
              <w:rPr>
                <w:rFonts w:cs="Arial"/>
                <w:spacing w:val="-2"/>
              </w:rPr>
              <w:t>1,861</w:t>
            </w:r>
          </w:p>
        </w:tc>
      </w:tr>
      <w:tr w:rsidR="00D10084" w:rsidRPr="00C328EF" w14:paraId="50AB15C9" w14:textId="77777777" w:rsidTr="008A06C2">
        <w:tc>
          <w:tcPr>
            <w:tcW w:w="7518" w:type="dxa"/>
          </w:tcPr>
          <w:p w14:paraId="7F1A3AF9" w14:textId="77777777" w:rsidR="00D10084" w:rsidRPr="00A61AEE" w:rsidRDefault="00D10084" w:rsidP="00D10084">
            <w:pPr>
              <w:ind w:left="546"/>
            </w:pPr>
            <w:r w:rsidRPr="00A61AEE">
              <w:t>Share of deferred tax thereon</w:t>
            </w:r>
          </w:p>
        </w:tc>
        <w:tc>
          <w:tcPr>
            <w:tcW w:w="1379" w:type="dxa"/>
          </w:tcPr>
          <w:p w14:paraId="2C556CB4" w14:textId="77777777" w:rsidR="00D10084" w:rsidRPr="00D10084" w:rsidRDefault="00D10084" w:rsidP="00D10084">
            <w:pPr>
              <w:suppressAutoHyphens/>
              <w:ind w:right="126"/>
              <w:jc w:val="right"/>
              <w:rPr>
                <w:rFonts w:cs="Arial"/>
                <w:spacing w:val="-2"/>
              </w:rPr>
            </w:pPr>
          </w:p>
        </w:tc>
        <w:tc>
          <w:tcPr>
            <w:tcW w:w="1429" w:type="dxa"/>
          </w:tcPr>
          <w:p w14:paraId="6437EDCF" w14:textId="77777777" w:rsidR="00D10084" w:rsidRPr="00D10084" w:rsidRDefault="00D10084" w:rsidP="00D10084">
            <w:pPr>
              <w:suppressAutoHyphens/>
              <w:ind w:right="126"/>
              <w:jc w:val="right"/>
              <w:rPr>
                <w:rFonts w:cs="Arial"/>
                <w:spacing w:val="-2"/>
              </w:rPr>
            </w:pPr>
            <w:r w:rsidRPr="00D10084">
              <w:rPr>
                <w:rFonts w:cs="Arial"/>
                <w:spacing w:val="-2"/>
              </w:rPr>
              <w:t>(576)</w:t>
            </w:r>
          </w:p>
        </w:tc>
      </w:tr>
      <w:tr w:rsidR="00D10084" w:rsidRPr="00C328EF" w14:paraId="0362D25B" w14:textId="77777777" w:rsidTr="008A06C2">
        <w:tc>
          <w:tcPr>
            <w:tcW w:w="7518" w:type="dxa"/>
          </w:tcPr>
          <w:p w14:paraId="4E6F95F6" w14:textId="77777777" w:rsidR="00D10084" w:rsidRPr="00A61AEE" w:rsidRDefault="00D10084" w:rsidP="00D10084">
            <w:pPr>
              <w:ind w:left="546"/>
            </w:pPr>
            <w:r w:rsidRPr="00A61AEE">
              <w:t>Share of dividend</w:t>
            </w:r>
          </w:p>
        </w:tc>
        <w:tc>
          <w:tcPr>
            <w:tcW w:w="1379" w:type="dxa"/>
          </w:tcPr>
          <w:p w14:paraId="29D8E552" w14:textId="77777777" w:rsidR="00D10084" w:rsidRPr="00D10084" w:rsidRDefault="00D10084" w:rsidP="00D10084">
            <w:pPr>
              <w:suppressAutoHyphens/>
              <w:ind w:right="126"/>
              <w:jc w:val="right"/>
              <w:rPr>
                <w:rFonts w:cs="Arial"/>
                <w:spacing w:val="-2"/>
              </w:rPr>
            </w:pPr>
          </w:p>
        </w:tc>
        <w:tc>
          <w:tcPr>
            <w:tcW w:w="1429" w:type="dxa"/>
          </w:tcPr>
          <w:p w14:paraId="00E2444C" w14:textId="77777777" w:rsidR="00D10084" w:rsidRPr="00D10084" w:rsidRDefault="00D10084" w:rsidP="00D10084">
            <w:pPr>
              <w:suppressAutoHyphens/>
              <w:ind w:right="126"/>
              <w:jc w:val="right"/>
              <w:rPr>
                <w:rFonts w:cs="Arial"/>
                <w:spacing w:val="-2"/>
              </w:rPr>
            </w:pPr>
            <w:r w:rsidRPr="00D10084">
              <w:rPr>
                <w:rFonts w:cs="Arial"/>
                <w:spacing w:val="-2"/>
              </w:rPr>
              <w:t>(288)</w:t>
            </w:r>
          </w:p>
        </w:tc>
      </w:tr>
      <w:tr w:rsidR="00D10084" w:rsidRPr="00C328EF" w14:paraId="3CB7B38F" w14:textId="77777777" w:rsidTr="008A06C2">
        <w:tc>
          <w:tcPr>
            <w:tcW w:w="7518" w:type="dxa"/>
          </w:tcPr>
          <w:p w14:paraId="012CB020" w14:textId="77777777" w:rsidR="00D10084" w:rsidRPr="00A61AEE" w:rsidRDefault="00D10084" w:rsidP="00D10084">
            <w:pPr>
              <w:ind w:left="546"/>
            </w:pPr>
          </w:p>
        </w:tc>
        <w:tc>
          <w:tcPr>
            <w:tcW w:w="1379" w:type="dxa"/>
          </w:tcPr>
          <w:p w14:paraId="2A6D6A0A" w14:textId="77777777" w:rsidR="00D10084" w:rsidRPr="00D10084" w:rsidRDefault="00D10084" w:rsidP="00D10084">
            <w:pPr>
              <w:suppressAutoHyphens/>
              <w:ind w:right="126"/>
              <w:jc w:val="right"/>
              <w:rPr>
                <w:rFonts w:cs="Arial"/>
                <w:spacing w:val="-2"/>
              </w:rPr>
            </w:pPr>
          </w:p>
        </w:tc>
        <w:tc>
          <w:tcPr>
            <w:tcW w:w="1429" w:type="dxa"/>
          </w:tcPr>
          <w:p w14:paraId="4289D4DB" w14:textId="77777777" w:rsidR="00D10084" w:rsidRPr="00D10084" w:rsidRDefault="00D10084" w:rsidP="00D10084">
            <w:pPr>
              <w:suppressAutoHyphens/>
              <w:ind w:right="170"/>
              <w:jc w:val="right"/>
              <w:rPr>
                <w:rFonts w:cs="Arial"/>
                <w:spacing w:val="-2"/>
              </w:rPr>
            </w:pPr>
            <w:r w:rsidRPr="00D10084">
              <w:rPr>
                <w:rFonts w:cs="Arial"/>
                <w:spacing w:val="-2"/>
              </w:rPr>
              <w:t>──────</w:t>
            </w:r>
          </w:p>
        </w:tc>
      </w:tr>
      <w:tr w:rsidR="00D10084" w:rsidRPr="00C328EF" w14:paraId="7B2443EB" w14:textId="77777777" w:rsidTr="008A06C2">
        <w:tblPrEx>
          <w:tblLook w:val="0000" w:firstRow="0" w:lastRow="0" w:firstColumn="0" w:lastColumn="0" w:noHBand="0" w:noVBand="0"/>
        </w:tblPrEx>
        <w:tc>
          <w:tcPr>
            <w:tcW w:w="7518" w:type="dxa"/>
          </w:tcPr>
          <w:p w14:paraId="6E703695" w14:textId="77777777" w:rsidR="00D10084" w:rsidRPr="00A61AEE" w:rsidRDefault="00D10084" w:rsidP="00D10084">
            <w:pPr>
              <w:ind w:left="546"/>
              <w:rPr>
                <w:b/>
              </w:rPr>
            </w:pPr>
            <w:r w:rsidRPr="00A61AEE">
              <w:rPr>
                <w:b/>
              </w:rPr>
              <w:t>At 3</w:t>
            </w:r>
            <w:r w:rsidR="00A61AEE">
              <w:rPr>
                <w:b/>
              </w:rPr>
              <w:t>0</w:t>
            </w:r>
            <w:r w:rsidRPr="00A61AEE">
              <w:rPr>
                <w:b/>
              </w:rPr>
              <w:t xml:space="preserve"> December 2023</w:t>
            </w:r>
          </w:p>
        </w:tc>
        <w:tc>
          <w:tcPr>
            <w:tcW w:w="1379" w:type="dxa"/>
          </w:tcPr>
          <w:p w14:paraId="61EAF6D3" w14:textId="77777777" w:rsidR="00D10084" w:rsidRPr="00D10084" w:rsidRDefault="00D10084" w:rsidP="00D10084">
            <w:pPr>
              <w:suppressAutoHyphens/>
              <w:ind w:right="126"/>
              <w:jc w:val="right"/>
              <w:rPr>
                <w:rFonts w:cs="Arial"/>
                <w:b/>
                <w:spacing w:val="-2"/>
              </w:rPr>
            </w:pPr>
          </w:p>
        </w:tc>
        <w:tc>
          <w:tcPr>
            <w:tcW w:w="1429" w:type="dxa"/>
          </w:tcPr>
          <w:p w14:paraId="0E0BF0DF" w14:textId="77777777" w:rsidR="00D10084" w:rsidRPr="00D10084" w:rsidRDefault="00D10084" w:rsidP="00D10084">
            <w:pPr>
              <w:suppressAutoHyphens/>
              <w:ind w:right="175"/>
              <w:jc w:val="right"/>
              <w:rPr>
                <w:rFonts w:cs="Arial"/>
                <w:spacing w:val="-2"/>
              </w:rPr>
            </w:pPr>
            <w:r w:rsidRPr="00D10084">
              <w:rPr>
                <w:rFonts w:cs="Arial"/>
                <w:spacing w:val="-2"/>
              </w:rPr>
              <w:t>13,849</w:t>
            </w:r>
          </w:p>
        </w:tc>
      </w:tr>
      <w:bookmarkEnd w:id="43"/>
      <w:tr w:rsidR="00F12726" w:rsidRPr="00C328EF" w14:paraId="525C789C" w14:textId="77777777" w:rsidTr="008A06C2">
        <w:tblPrEx>
          <w:tblLook w:val="0000" w:firstRow="0" w:lastRow="0" w:firstColumn="0" w:lastColumn="0" w:noHBand="0" w:noVBand="0"/>
        </w:tblPrEx>
        <w:tc>
          <w:tcPr>
            <w:tcW w:w="7518" w:type="dxa"/>
          </w:tcPr>
          <w:p w14:paraId="394E9551" w14:textId="77777777" w:rsidR="00F12726" w:rsidRPr="00A61AEE" w:rsidRDefault="00F12726" w:rsidP="008A06C2">
            <w:pPr>
              <w:rPr>
                <w:b/>
              </w:rPr>
            </w:pPr>
          </w:p>
        </w:tc>
        <w:tc>
          <w:tcPr>
            <w:tcW w:w="1379" w:type="dxa"/>
          </w:tcPr>
          <w:p w14:paraId="16C32383" w14:textId="77777777" w:rsidR="00F12726" w:rsidRPr="00C328EF" w:rsidRDefault="00F12726" w:rsidP="008A06C2">
            <w:pPr>
              <w:suppressAutoHyphens/>
              <w:ind w:right="126" w:hanging="108"/>
              <w:jc w:val="center"/>
              <w:rPr>
                <w:rFonts w:cs="Arial"/>
                <w:b/>
                <w:spacing w:val="-2"/>
                <w:highlight w:val="yellow"/>
              </w:rPr>
            </w:pPr>
          </w:p>
        </w:tc>
        <w:tc>
          <w:tcPr>
            <w:tcW w:w="1429" w:type="dxa"/>
          </w:tcPr>
          <w:p w14:paraId="57361F52" w14:textId="77777777" w:rsidR="00F12726" w:rsidRPr="00C328EF" w:rsidRDefault="00F12726" w:rsidP="008A06C2">
            <w:pPr>
              <w:suppressAutoHyphens/>
              <w:ind w:right="126"/>
              <w:jc w:val="right"/>
              <w:rPr>
                <w:rFonts w:cs="Arial"/>
                <w:b/>
                <w:spacing w:val="-2"/>
                <w:highlight w:val="yellow"/>
              </w:rPr>
            </w:pPr>
          </w:p>
        </w:tc>
      </w:tr>
      <w:tr w:rsidR="00F12726" w:rsidRPr="00C328EF" w14:paraId="7E78C7B2" w14:textId="77777777" w:rsidTr="008A06C2">
        <w:tblPrEx>
          <w:tblLook w:val="0000" w:firstRow="0" w:lastRow="0" w:firstColumn="0" w:lastColumn="0" w:noHBand="0" w:noVBand="0"/>
        </w:tblPrEx>
        <w:tc>
          <w:tcPr>
            <w:tcW w:w="7518" w:type="dxa"/>
          </w:tcPr>
          <w:p w14:paraId="408BE11F" w14:textId="77777777" w:rsidR="00F12726" w:rsidRPr="00A61AEE" w:rsidRDefault="00F12726" w:rsidP="005B4D8B">
            <w:pPr>
              <w:ind w:left="546"/>
            </w:pPr>
            <w:r w:rsidRPr="00A61AEE">
              <w:t xml:space="preserve">Share of </w:t>
            </w:r>
            <w:r w:rsidR="00A730B4" w:rsidRPr="00A61AEE">
              <w:t>profit</w:t>
            </w:r>
            <w:r w:rsidR="003322D5" w:rsidRPr="00A61AEE">
              <w:t xml:space="preserve"> </w:t>
            </w:r>
            <w:r w:rsidRPr="00A61AEE">
              <w:t xml:space="preserve">for the </w:t>
            </w:r>
            <w:r w:rsidR="00A61AEE">
              <w:t>period</w:t>
            </w:r>
          </w:p>
        </w:tc>
        <w:tc>
          <w:tcPr>
            <w:tcW w:w="1379" w:type="dxa"/>
          </w:tcPr>
          <w:p w14:paraId="5148440B" w14:textId="77777777" w:rsidR="00F12726" w:rsidRPr="00C328EF" w:rsidRDefault="00F12726" w:rsidP="008A06C2">
            <w:pPr>
              <w:suppressAutoHyphens/>
              <w:ind w:right="126"/>
              <w:jc w:val="right"/>
              <w:rPr>
                <w:rFonts w:cs="Arial"/>
                <w:spacing w:val="-2"/>
                <w:highlight w:val="yellow"/>
              </w:rPr>
            </w:pPr>
          </w:p>
        </w:tc>
        <w:tc>
          <w:tcPr>
            <w:tcW w:w="1429" w:type="dxa"/>
          </w:tcPr>
          <w:p w14:paraId="5C673568" w14:textId="77777777" w:rsidR="00F12726" w:rsidRPr="00A61AEE" w:rsidRDefault="00A61AEE" w:rsidP="00422678">
            <w:pPr>
              <w:suppressAutoHyphens/>
              <w:ind w:right="126"/>
              <w:jc w:val="right"/>
              <w:rPr>
                <w:rFonts w:cs="Arial"/>
                <w:spacing w:val="-2"/>
              </w:rPr>
            </w:pPr>
            <w:r w:rsidRPr="00A61AEE">
              <w:rPr>
                <w:rFonts w:cs="Arial"/>
                <w:spacing w:val="-2"/>
              </w:rPr>
              <w:t>297</w:t>
            </w:r>
          </w:p>
        </w:tc>
      </w:tr>
      <w:tr w:rsidR="00D10084" w:rsidRPr="00C328EF" w14:paraId="115F4AD0" w14:textId="77777777" w:rsidTr="008A06C2">
        <w:tc>
          <w:tcPr>
            <w:tcW w:w="7518" w:type="dxa"/>
          </w:tcPr>
          <w:p w14:paraId="7A91ED99" w14:textId="77777777" w:rsidR="00D10084" w:rsidRPr="00A61AEE" w:rsidRDefault="00D10084" w:rsidP="00D10084">
            <w:pPr>
              <w:ind w:left="546"/>
            </w:pPr>
            <w:r w:rsidRPr="00A61AEE">
              <w:t>Share of revaluation of land and buildings</w:t>
            </w:r>
          </w:p>
        </w:tc>
        <w:tc>
          <w:tcPr>
            <w:tcW w:w="1379" w:type="dxa"/>
          </w:tcPr>
          <w:p w14:paraId="4B550330" w14:textId="77777777" w:rsidR="00D10084" w:rsidRPr="00F71B0C" w:rsidRDefault="00D10084" w:rsidP="00D10084">
            <w:pPr>
              <w:suppressAutoHyphens/>
              <w:ind w:right="126"/>
              <w:jc w:val="right"/>
              <w:rPr>
                <w:rFonts w:cs="Arial"/>
                <w:spacing w:val="-2"/>
              </w:rPr>
            </w:pPr>
          </w:p>
        </w:tc>
        <w:tc>
          <w:tcPr>
            <w:tcW w:w="1429" w:type="dxa"/>
          </w:tcPr>
          <w:p w14:paraId="176824FA" w14:textId="77777777" w:rsidR="00D10084" w:rsidRPr="00A61AEE" w:rsidRDefault="00F71B0C" w:rsidP="00D10084">
            <w:pPr>
              <w:suppressAutoHyphens/>
              <w:ind w:right="126"/>
              <w:jc w:val="right"/>
              <w:rPr>
                <w:rFonts w:cs="Arial"/>
                <w:spacing w:val="-2"/>
              </w:rPr>
            </w:pPr>
            <w:r w:rsidRPr="00A61AEE">
              <w:rPr>
                <w:rFonts w:cs="Arial"/>
                <w:spacing w:val="-2"/>
              </w:rPr>
              <w:t>4</w:t>
            </w:r>
          </w:p>
        </w:tc>
      </w:tr>
      <w:tr w:rsidR="00D10084" w:rsidRPr="00C328EF" w14:paraId="03933D5F" w14:textId="77777777" w:rsidTr="008A06C2">
        <w:tc>
          <w:tcPr>
            <w:tcW w:w="7518" w:type="dxa"/>
          </w:tcPr>
          <w:p w14:paraId="0FC5C5B0" w14:textId="77777777" w:rsidR="00D10084" w:rsidRPr="00A61AEE" w:rsidRDefault="00D10084" w:rsidP="00D10084">
            <w:pPr>
              <w:ind w:left="546"/>
            </w:pPr>
            <w:r w:rsidRPr="00A61AEE">
              <w:t>Share of cash flow hedges</w:t>
            </w:r>
          </w:p>
        </w:tc>
        <w:tc>
          <w:tcPr>
            <w:tcW w:w="1379" w:type="dxa"/>
          </w:tcPr>
          <w:p w14:paraId="313DA64A" w14:textId="77777777" w:rsidR="00D10084" w:rsidRPr="00C328EF" w:rsidRDefault="00D10084" w:rsidP="00D10084">
            <w:pPr>
              <w:suppressAutoHyphens/>
              <w:ind w:right="126"/>
              <w:jc w:val="right"/>
              <w:rPr>
                <w:rFonts w:cs="Arial"/>
                <w:spacing w:val="-2"/>
                <w:highlight w:val="yellow"/>
              </w:rPr>
            </w:pPr>
          </w:p>
        </w:tc>
        <w:tc>
          <w:tcPr>
            <w:tcW w:w="1429" w:type="dxa"/>
          </w:tcPr>
          <w:p w14:paraId="252124F3" w14:textId="77777777" w:rsidR="00D10084" w:rsidRPr="00A61AEE" w:rsidRDefault="00A61AEE" w:rsidP="00D10084">
            <w:pPr>
              <w:suppressAutoHyphens/>
              <w:ind w:right="126"/>
              <w:jc w:val="right"/>
              <w:rPr>
                <w:rFonts w:cs="Arial"/>
                <w:spacing w:val="-2"/>
              </w:rPr>
            </w:pPr>
            <w:r w:rsidRPr="00A61AEE">
              <w:rPr>
                <w:rFonts w:cs="Arial"/>
                <w:spacing w:val="-2"/>
              </w:rPr>
              <w:t>108</w:t>
            </w:r>
          </w:p>
        </w:tc>
      </w:tr>
      <w:tr w:rsidR="00D10084" w:rsidRPr="00C328EF" w14:paraId="7886FA88" w14:textId="77777777" w:rsidTr="008A06C2">
        <w:tc>
          <w:tcPr>
            <w:tcW w:w="7518" w:type="dxa"/>
          </w:tcPr>
          <w:p w14:paraId="42A616BD" w14:textId="77777777" w:rsidR="00D10084" w:rsidRPr="00A61AEE" w:rsidRDefault="00D10084" w:rsidP="00D10084">
            <w:pPr>
              <w:ind w:left="546"/>
            </w:pPr>
            <w:r w:rsidRPr="00A61AEE">
              <w:t>Share of deferred tax thereon</w:t>
            </w:r>
          </w:p>
        </w:tc>
        <w:tc>
          <w:tcPr>
            <w:tcW w:w="1379" w:type="dxa"/>
          </w:tcPr>
          <w:p w14:paraId="78C33775" w14:textId="77777777" w:rsidR="00D10084" w:rsidRPr="00C328EF" w:rsidRDefault="00D10084" w:rsidP="00D10084">
            <w:pPr>
              <w:suppressAutoHyphens/>
              <w:ind w:right="126"/>
              <w:jc w:val="right"/>
              <w:rPr>
                <w:rFonts w:cs="Arial"/>
                <w:spacing w:val="-2"/>
                <w:highlight w:val="yellow"/>
              </w:rPr>
            </w:pPr>
          </w:p>
        </w:tc>
        <w:tc>
          <w:tcPr>
            <w:tcW w:w="1429" w:type="dxa"/>
          </w:tcPr>
          <w:p w14:paraId="74338BCC" w14:textId="77777777" w:rsidR="00D10084" w:rsidRPr="00A61AEE" w:rsidRDefault="00F71B0C" w:rsidP="00D10084">
            <w:pPr>
              <w:suppressAutoHyphens/>
              <w:ind w:right="126"/>
              <w:jc w:val="right"/>
              <w:rPr>
                <w:rFonts w:cs="Arial"/>
                <w:spacing w:val="-2"/>
              </w:rPr>
            </w:pPr>
            <w:r w:rsidRPr="00A61AEE">
              <w:rPr>
                <w:rFonts w:cs="Arial"/>
                <w:spacing w:val="-2"/>
              </w:rPr>
              <w:t>(</w:t>
            </w:r>
            <w:r w:rsidR="00A61AEE" w:rsidRPr="00A61AEE">
              <w:rPr>
                <w:rFonts w:cs="Arial"/>
                <w:spacing w:val="-2"/>
              </w:rPr>
              <w:t>27</w:t>
            </w:r>
            <w:r w:rsidRPr="00A61AEE">
              <w:rPr>
                <w:rFonts w:cs="Arial"/>
                <w:spacing w:val="-2"/>
              </w:rPr>
              <w:t>)</w:t>
            </w:r>
          </w:p>
        </w:tc>
      </w:tr>
      <w:tr w:rsidR="00D10084" w:rsidRPr="00C328EF" w14:paraId="43267ACD" w14:textId="77777777" w:rsidTr="008A06C2">
        <w:tc>
          <w:tcPr>
            <w:tcW w:w="7518" w:type="dxa"/>
          </w:tcPr>
          <w:p w14:paraId="6D46231F" w14:textId="77777777" w:rsidR="00D10084" w:rsidRPr="00A61AEE" w:rsidRDefault="00D10084" w:rsidP="00D10084">
            <w:pPr>
              <w:ind w:left="546"/>
            </w:pPr>
            <w:r w:rsidRPr="00A61AEE">
              <w:t xml:space="preserve">Share of actuarial </w:t>
            </w:r>
            <w:r w:rsidR="00F71B0C" w:rsidRPr="00A61AEE">
              <w:t>loss</w:t>
            </w:r>
            <w:r w:rsidRPr="00A61AEE">
              <w:t xml:space="preserve"> for the </w:t>
            </w:r>
            <w:r w:rsidR="00A61AEE">
              <w:t>period</w:t>
            </w:r>
          </w:p>
        </w:tc>
        <w:tc>
          <w:tcPr>
            <w:tcW w:w="1379" w:type="dxa"/>
          </w:tcPr>
          <w:p w14:paraId="36BE55DF" w14:textId="77777777" w:rsidR="00D10084" w:rsidRPr="00C328EF" w:rsidRDefault="00D10084" w:rsidP="00D10084">
            <w:pPr>
              <w:suppressAutoHyphens/>
              <w:ind w:right="126"/>
              <w:jc w:val="right"/>
              <w:rPr>
                <w:rFonts w:cs="Arial"/>
                <w:spacing w:val="-2"/>
                <w:highlight w:val="yellow"/>
              </w:rPr>
            </w:pPr>
          </w:p>
        </w:tc>
        <w:tc>
          <w:tcPr>
            <w:tcW w:w="1429" w:type="dxa"/>
          </w:tcPr>
          <w:p w14:paraId="3EF11E5C" w14:textId="77777777" w:rsidR="00D10084" w:rsidRPr="00A61AEE" w:rsidRDefault="00F71B0C" w:rsidP="00D10084">
            <w:pPr>
              <w:suppressAutoHyphens/>
              <w:ind w:right="126"/>
              <w:jc w:val="right"/>
              <w:rPr>
                <w:rFonts w:cs="Arial"/>
                <w:spacing w:val="-2"/>
              </w:rPr>
            </w:pPr>
            <w:r w:rsidRPr="00A61AEE">
              <w:rPr>
                <w:rFonts w:cs="Arial"/>
                <w:spacing w:val="-2"/>
              </w:rPr>
              <w:t>(</w:t>
            </w:r>
            <w:r w:rsidR="00D10084" w:rsidRPr="00A61AEE">
              <w:rPr>
                <w:rFonts w:cs="Arial"/>
                <w:spacing w:val="-2"/>
              </w:rPr>
              <w:t>1,</w:t>
            </w:r>
            <w:r w:rsidR="00A61AEE" w:rsidRPr="00A61AEE">
              <w:rPr>
                <w:rFonts w:cs="Arial"/>
                <w:spacing w:val="-2"/>
              </w:rPr>
              <w:t>686</w:t>
            </w:r>
            <w:r w:rsidRPr="00A61AEE">
              <w:rPr>
                <w:rFonts w:cs="Arial"/>
                <w:spacing w:val="-2"/>
              </w:rPr>
              <w:t>)</w:t>
            </w:r>
          </w:p>
        </w:tc>
      </w:tr>
      <w:tr w:rsidR="00D10084" w:rsidRPr="00C328EF" w14:paraId="06A1F52F" w14:textId="77777777" w:rsidTr="008A06C2">
        <w:tc>
          <w:tcPr>
            <w:tcW w:w="7518" w:type="dxa"/>
          </w:tcPr>
          <w:p w14:paraId="3641D9F9" w14:textId="77777777" w:rsidR="00D10084" w:rsidRPr="00A61AEE" w:rsidRDefault="00D10084" w:rsidP="00D10084">
            <w:pPr>
              <w:ind w:left="546"/>
            </w:pPr>
            <w:r w:rsidRPr="00A61AEE">
              <w:t>Share of deferred tax thereon</w:t>
            </w:r>
          </w:p>
        </w:tc>
        <w:tc>
          <w:tcPr>
            <w:tcW w:w="1379" w:type="dxa"/>
          </w:tcPr>
          <w:p w14:paraId="1753F496" w14:textId="77777777" w:rsidR="00D10084" w:rsidRPr="00C328EF" w:rsidRDefault="00D10084" w:rsidP="00D10084">
            <w:pPr>
              <w:suppressAutoHyphens/>
              <w:ind w:right="126"/>
              <w:jc w:val="right"/>
              <w:rPr>
                <w:rFonts w:cs="Arial"/>
                <w:spacing w:val="-2"/>
                <w:highlight w:val="yellow"/>
              </w:rPr>
            </w:pPr>
          </w:p>
        </w:tc>
        <w:tc>
          <w:tcPr>
            <w:tcW w:w="1429" w:type="dxa"/>
          </w:tcPr>
          <w:p w14:paraId="0ADACAC7" w14:textId="77777777" w:rsidR="00D10084" w:rsidRPr="00A61AEE" w:rsidRDefault="00A61AEE" w:rsidP="00D10084">
            <w:pPr>
              <w:suppressAutoHyphens/>
              <w:ind w:right="126"/>
              <w:jc w:val="right"/>
              <w:rPr>
                <w:rFonts w:cs="Arial"/>
                <w:spacing w:val="-2"/>
              </w:rPr>
            </w:pPr>
            <w:r w:rsidRPr="00A61AEE">
              <w:rPr>
                <w:rFonts w:cs="Arial"/>
                <w:spacing w:val="-2"/>
              </w:rPr>
              <w:t>421</w:t>
            </w:r>
          </w:p>
        </w:tc>
      </w:tr>
      <w:tr w:rsidR="00D10084" w:rsidRPr="00A61AEE" w14:paraId="245960A8" w14:textId="77777777" w:rsidTr="008A06C2">
        <w:tc>
          <w:tcPr>
            <w:tcW w:w="7518" w:type="dxa"/>
          </w:tcPr>
          <w:p w14:paraId="0E47CB18" w14:textId="77777777" w:rsidR="00D10084" w:rsidRPr="00A61AEE" w:rsidRDefault="00D10084" w:rsidP="00D10084">
            <w:pPr>
              <w:ind w:left="546"/>
            </w:pPr>
          </w:p>
        </w:tc>
        <w:tc>
          <w:tcPr>
            <w:tcW w:w="1379" w:type="dxa"/>
          </w:tcPr>
          <w:p w14:paraId="734701FA" w14:textId="77777777" w:rsidR="00D10084" w:rsidRPr="00C328EF" w:rsidRDefault="00D10084" w:rsidP="00D10084">
            <w:pPr>
              <w:suppressAutoHyphens/>
              <w:ind w:right="126"/>
              <w:jc w:val="right"/>
              <w:rPr>
                <w:rFonts w:cs="Arial"/>
                <w:spacing w:val="-2"/>
                <w:highlight w:val="yellow"/>
              </w:rPr>
            </w:pPr>
          </w:p>
        </w:tc>
        <w:tc>
          <w:tcPr>
            <w:tcW w:w="1429" w:type="dxa"/>
          </w:tcPr>
          <w:p w14:paraId="0623BEBF" w14:textId="77777777" w:rsidR="00D10084" w:rsidRPr="00A61AEE" w:rsidRDefault="00D10084" w:rsidP="00D10084">
            <w:pPr>
              <w:suppressAutoHyphens/>
              <w:ind w:right="170"/>
              <w:jc w:val="right"/>
              <w:rPr>
                <w:rFonts w:cs="Arial"/>
                <w:spacing w:val="-2"/>
              </w:rPr>
            </w:pPr>
            <w:r w:rsidRPr="00A61AEE">
              <w:rPr>
                <w:rFonts w:cs="Arial"/>
                <w:spacing w:val="-2"/>
              </w:rPr>
              <w:t>──────</w:t>
            </w:r>
          </w:p>
        </w:tc>
      </w:tr>
      <w:tr w:rsidR="00D10084" w:rsidRPr="00A61AEE" w14:paraId="337E4480" w14:textId="77777777" w:rsidTr="008A06C2">
        <w:tc>
          <w:tcPr>
            <w:tcW w:w="7518" w:type="dxa"/>
          </w:tcPr>
          <w:p w14:paraId="13DDDA83" w14:textId="77777777" w:rsidR="00D10084" w:rsidRPr="00A61AEE" w:rsidRDefault="00D10084" w:rsidP="00D10084">
            <w:pPr>
              <w:ind w:left="546"/>
              <w:rPr>
                <w:b/>
              </w:rPr>
            </w:pPr>
            <w:r w:rsidRPr="00A61AEE">
              <w:rPr>
                <w:b/>
              </w:rPr>
              <w:t xml:space="preserve">At </w:t>
            </w:r>
            <w:r w:rsidR="00A61AEE">
              <w:rPr>
                <w:b/>
              </w:rPr>
              <w:t>28</w:t>
            </w:r>
            <w:r w:rsidRPr="00A61AEE">
              <w:rPr>
                <w:b/>
              </w:rPr>
              <w:t xml:space="preserve"> December 2024</w:t>
            </w:r>
          </w:p>
        </w:tc>
        <w:tc>
          <w:tcPr>
            <w:tcW w:w="1379" w:type="dxa"/>
          </w:tcPr>
          <w:p w14:paraId="41148006" w14:textId="77777777" w:rsidR="00D10084" w:rsidRPr="00C328EF" w:rsidRDefault="00D10084" w:rsidP="00D10084">
            <w:pPr>
              <w:suppressAutoHyphens/>
              <w:ind w:right="126"/>
              <w:jc w:val="right"/>
              <w:rPr>
                <w:rFonts w:cs="Arial"/>
                <w:b/>
                <w:spacing w:val="-2"/>
                <w:highlight w:val="yellow"/>
              </w:rPr>
            </w:pPr>
          </w:p>
        </w:tc>
        <w:tc>
          <w:tcPr>
            <w:tcW w:w="1429" w:type="dxa"/>
          </w:tcPr>
          <w:p w14:paraId="4A803501" w14:textId="77777777" w:rsidR="00D10084" w:rsidRPr="00A61AEE" w:rsidRDefault="00A61AEE" w:rsidP="00D10084">
            <w:pPr>
              <w:suppressAutoHyphens/>
              <w:ind w:right="175"/>
              <w:jc w:val="right"/>
              <w:rPr>
                <w:rFonts w:cs="Arial"/>
                <w:spacing w:val="-2"/>
              </w:rPr>
            </w:pPr>
            <w:r w:rsidRPr="00A61AEE">
              <w:rPr>
                <w:rFonts w:cs="Arial"/>
                <w:spacing w:val="-2"/>
              </w:rPr>
              <w:t>12,966</w:t>
            </w:r>
          </w:p>
        </w:tc>
      </w:tr>
      <w:tr w:rsidR="00D10084" w:rsidRPr="00A61AEE" w14:paraId="3AC87A63" w14:textId="77777777" w:rsidTr="008A06C2">
        <w:tc>
          <w:tcPr>
            <w:tcW w:w="7518" w:type="dxa"/>
          </w:tcPr>
          <w:p w14:paraId="0E16B3E0" w14:textId="77777777" w:rsidR="00D10084" w:rsidRPr="00C328EF" w:rsidRDefault="00D10084" w:rsidP="00D10084">
            <w:pPr>
              <w:jc w:val="both"/>
              <w:rPr>
                <w:highlight w:val="yellow"/>
              </w:rPr>
            </w:pPr>
          </w:p>
        </w:tc>
        <w:tc>
          <w:tcPr>
            <w:tcW w:w="1379" w:type="dxa"/>
          </w:tcPr>
          <w:p w14:paraId="17FF55E5" w14:textId="77777777" w:rsidR="00D10084" w:rsidRPr="00C328EF" w:rsidRDefault="00D10084" w:rsidP="00D10084">
            <w:pPr>
              <w:suppressAutoHyphens/>
              <w:ind w:right="126"/>
              <w:jc w:val="right"/>
              <w:rPr>
                <w:rFonts w:cs="Arial"/>
                <w:spacing w:val="-2"/>
                <w:highlight w:val="yellow"/>
              </w:rPr>
            </w:pPr>
          </w:p>
        </w:tc>
        <w:tc>
          <w:tcPr>
            <w:tcW w:w="1429" w:type="dxa"/>
          </w:tcPr>
          <w:p w14:paraId="398EEA8A" w14:textId="77777777" w:rsidR="00D10084" w:rsidRPr="00A61AEE" w:rsidRDefault="00D10084" w:rsidP="00977682">
            <w:pPr>
              <w:suppressAutoHyphens/>
              <w:ind w:right="175"/>
              <w:jc w:val="right"/>
              <w:rPr>
                <w:rFonts w:cs="Arial"/>
                <w:spacing w:val="-2"/>
              </w:rPr>
            </w:pPr>
            <w:r w:rsidRPr="00A61AEE">
              <w:rPr>
                <w:rFonts w:cs="Arial"/>
                <w:spacing w:val="-2"/>
              </w:rPr>
              <w:t>══════</w:t>
            </w:r>
          </w:p>
        </w:tc>
      </w:tr>
    </w:tbl>
    <w:p w14:paraId="380C0208" w14:textId="77777777" w:rsidR="00977682" w:rsidRDefault="00977682" w:rsidP="00977682">
      <w:pPr>
        <w:rPr>
          <w:highlight w:val="yellow"/>
        </w:rPr>
      </w:pPr>
    </w:p>
    <w:p w14:paraId="3FB6AD1F" w14:textId="77777777" w:rsidR="00977682" w:rsidRPr="00977682" w:rsidRDefault="00977682" w:rsidP="00A5227C">
      <w:pPr>
        <w:numPr>
          <w:ilvl w:val="0"/>
          <w:numId w:val="40"/>
        </w:numPr>
        <w:tabs>
          <w:tab w:val="num" w:pos="546"/>
        </w:tabs>
        <w:ind w:left="360"/>
        <w:rPr>
          <w:b/>
        </w:rPr>
      </w:pPr>
      <w:r w:rsidRPr="00977682">
        <w:rPr>
          <w:b/>
        </w:rPr>
        <w:t>Commitments</w:t>
      </w:r>
    </w:p>
    <w:p w14:paraId="5E1C4B49" w14:textId="77777777" w:rsidR="00977682" w:rsidRPr="0085645E" w:rsidRDefault="00977682" w:rsidP="00977682">
      <w:pPr>
        <w:jc w:val="both"/>
      </w:pPr>
    </w:p>
    <w:p w14:paraId="7E81253A" w14:textId="77777777" w:rsidR="0007783D" w:rsidRPr="0008397D" w:rsidRDefault="00977682" w:rsidP="0007783D">
      <w:pPr>
        <w:ind w:left="567"/>
        <w:jc w:val="both"/>
      </w:pPr>
      <w:r w:rsidRPr="0085645E">
        <w:t>In December 2024 the Board of Lothian Buses Limited gave approval for expenditure of £22</w:t>
      </w:r>
      <w:r w:rsidR="0007783D">
        <w:t>.0</w:t>
      </w:r>
      <w:r w:rsidRPr="0085645E">
        <w:t>m for 44 new electric buses (2023: £23.3m)</w:t>
      </w:r>
      <w:r w:rsidR="0007783D" w:rsidRPr="0007783D">
        <w:t xml:space="preserve"> </w:t>
      </w:r>
      <w:r w:rsidR="0007783D">
        <w:t>together with related charging infrastructure and equipment of £3.6m</w:t>
      </w:r>
      <w:r w:rsidR="0007783D" w:rsidRPr="0008397D">
        <w:t>.</w:t>
      </w:r>
    </w:p>
    <w:p w14:paraId="3B7E2FFC" w14:textId="77777777" w:rsidR="00977682" w:rsidRDefault="00977682" w:rsidP="00977682">
      <w:pPr>
        <w:ind w:left="567"/>
        <w:jc w:val="both"/>
      </w:pPr>
    </w:p>
    <w:p w14:paraId="7303B195" w14:textId="77777777" w:rsidR="00AE607B" w:rsidRDefault="00AE607B" w:rsidP="00AE607B">
      <w:pPr>
        <w:jc w:val="both"/>
      </w:pPr>
    </w:p>
    <w:p w14:paraId="6FC09591" w14:textId="77777777" w:rsidR="00AE607B" w:rsidRPr="00AE607B" w:rsidRDefault="00AE607B" w:rsidP="00A5227C">
      <w:pPr>
        <w:numPr>
          <w:ilvl w:val="0"/>
          <w:numId w:val="40"/>
        </w:numPr>
        <w:tabs>
          <w:tab w:val="num" w:pos="546"/>
        </w:tabs>
        <w:ind w:left="360"/>
        <w:rPr>
          <w:b/>
        </w:rPr>
      </w:pPr>
      <w:r w:rsidRPr="00AE607B">
        <w:rPr>
          <w:b/>
        </w:rPr>
        <w:t>Controlling interest</w:t>
      </w:r>
    </w:p>
    <w:p w14:paraId="4A36C001" w14:textId="77777777" w:rsidR="00AE607B" w:rsidRPr="00AE607B" w:rsidRDefault="00AE607B" w:rsidP="00AE607B">
      <w:pPr>
        <w:jc w:val="both"/>
      </w:pPr>
    </w:p>
    <w:p w14:paraId="3170C898" w14:textId="77777777" w:rsidR="00AE607B" w:rsidRPr="00F3718E" w:rsidRDefault="00AE607B" w:rsidP="00AE607B">
      <w:pPr>
        <w:ind w:left="567"/>
        <w:jc w:val="both"/>
      </w:pPr>
      <w:r w:rsidRPr="00AE607B">
        <w:t>By virtue</w:t>
      </w:r>
      <w:r w:rsidRPr="00F3718E">
        <w:t xml:space="preserve"> of its controlling interest in the Company’s equity capital, the City of Edinburgh Council is the ultimate controlling party.</w:t>
      </w:r>
    </w:p>
    <w:p w14:paraId="4ECC4E14" w14:textId="77777777" w:rsidR="00AE607B" w:rsidRPr="00F3718E" w:rsidRDefault="00AE607B" w:rsidP="00AE607B">
      <w:pPr>
        <w:ind w:left="567"/>
        <w:jc w:val="both"/>
      </w:pPr>
    </w:p>
    <w:p w14:paraId="0EDC2D76" w14:textId="77777777" w:rsidR="00AE607B" w:rsidRPr="00F3718E" w:rsidRDefault="00AE607B" w:rsidP="00AE607B">
      <w:pPr>
        <w:ind w:left="567"/>
        <w:jc w:val="both"/>
      </w:pPr>
      <w:r w:rsidRPr="00F3718E">
        <w:t>Group accounts are available to the public from the following address:</w:t>
      </w:r>
    </w:p>
    <w:p w14:paraId="2FC8B354" w14:textId="77777777" w:rsidR="00AE607B" w:rsidRPr="00F3718E" w:rsidRDefault="00AE607B" w:rsidP="00AE607B">
      <w:pPr>
        <w:ind w:left="567"/>
        <w:jc w:val="both"/>
      </w:pPr>
    </w:p>
    <w:p w14:paraId="41945E7B" w14:textId="77777777" w:rsidR="00AE607B" w:rsidRPr="00F3718E" w:rsidRDefault="00AE607B" w:rsidP="00AE607B">
      <w:pPr>
        <w:ind w:left="567"/>
        <w:jc w:val="both"/>
      </w:pPr>
      <w:r w:rsidRPr="00F3718E">
        <w:t>Director of Finance</w:t>
      </w:r>
    </w:p>
    <w:p w14:paraId="73F95AAA" w14:textId="77777777" w:rsidR="00AE607B" w:rsidRPr="00F3718E" w:rsidRDefault="00AE607B" w:rsidP="00AE607B">
      <w:pPr>
        <w:ind w:left="567"/>
        <w:jc w:val="both"/>
      </w:pPr>
      <w:r w:rsidRPr="00F3718E">
        <w:t>City of Edinburgh Council</w:t>
      </w:r>
    </w:p>
    <w:p w14:paraId="40181EA0" w14:textId="77777777" w:rsidR="00AE607B" w:rsidRPr="00F3718E" w:rsidRDefault="00AE607B" w:rsidP="00AE607B">
      <w:pPr>
        <w:ind w:left="567"/>
        <w:jc w:val="both"/>
      </w:pPr>
      <w:r w:rsidRPr="00F3718E">
        <w:t>Waverley Court</w:t>
      </w:r>
    </w:p>
    <w:p w14:paraId="785BA521" w14:textId="77777777" w:rsidR="00AE607B" w:rsidRPr="00F3718E" w:rsidRDefault="00AE607B" w:rsidP="00AE607B">
      <w:pPr>
        <w:ind w:left="567"/>
        <w:jc w:val="both"/>
      </w:pPr>
      <w:r w:rsidRPr="00F3718E">
        <w:t>Edinburgh</w:t>
      </w:r>
    </w:p>
    <w:p w14:paraId="6EDAEE5A" w14:textId="77777777" w:rsidR="00AE607B" w:rsidRPr="00F3718E" w:rsidRDefault="00AE607B" w:rsidP="00AE607B">
      <w:pPr>
        <w:ind w:left="567"/>
        <w:jc w:val="both"/>
      </w:pPr>
      <w:r w:rsidRPr="00F3718E">
        <w:t>EH8 8BG</w:t>
      </w:r>
    </w:p>
    <w:p w14:paraId="5FF6ED34" w14:textId="77777777" w:rsidR="00FC03FB" w:rsidRPr="00631312" w:rsidRDefault="00296040" w:rsidP="00FC03FB">
      <w:pPr>
        <w:jc w:val="center"/>
        <w:rPr>
          <w:b/>
        </w:rPr>
      </w:pPr>
      <w:r w:rsidRPr="00C328EF">
        <w:rPr>
          <w:highlight w:val="yellow"/>
        </w:rPr>
        <w:br w:type="page"/>
      </w:r>
      <w:r w:rsidR="00FC03FB" w:rsidRPr="00631312">
        <w:rPr>
          <w:b/>
        </w:rPr>
        <w:lastRenderedPageBreak/>
        <w:t>TRANSPORT FOR EDINBURGH LIMITED</w:t>
      </w:r>
    </w:p>
    <w:p w14:paraId="1EF6BD22" w14:textId="77777777" w:rsidR="00FC03FB" w:rsidRPr="00631312" w:rsidRDefault="00FC03FB" w:rsidP="00FC03FB">
      <w:pPr>
        <w:jc w:val="center"/>
        <w:rPr>
          <w:b/>
        </w:rPr>
      </w:pPr>
    </w:p>
    <w:p w14:paraId="7AC281A3" w14:textId="77777777" w:rsidR="00FC03FB" w:rsidRPr="00631312" w:rsidRDefault="00FC03FB" w:rsidP="00FC03FB">
      <w:pPr>
        <w:jc w:val="center"/>
        <w:rPr>
          <w:b/>
        </w:rPr>
      </w:pPr>
      <w:r w:rsidRPr="00631312">
        <w:rPr>
          <w:b/>
        </w:rPr>
        <w:t>Notes to the Financial Statements (continued)</w:t>
      </w:r>
    </w:p>
    <w:p w14:paraId="12F44493" w14:textId="77777777" w:rsidR="00FC03FB" w:rsidRPr="00631312" w:rsidRDefault="00FC03FB" w:rsidP="00FC03FB">
      <w:pPr>
        <w:jc w:val="center"/>
        <w:rPr>
          <w:b/>
        </w:rPr>
      </w:pPr>
    </w:p>
    <w:p w14:paraId="3FF786B5" w14:textId="77777777" w:rsidR="00FC03FB" w:rsidRPr="00631312" w:rsidRDefault="00D90B89" w:rsidP="00FC03FB">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15F7964A" w14:textId="77777777" w:rsidR="00DB21F8" w:rsidRPr="00631312" w:rsidRDefault="00DB21F8" w:rsidP="00994C62">
      <w:pPr>
        <w:jc w:val="both"/>
      </w:pPr>
    </w:p>
    <w:p w14:paraId="564D41C4" w14:textId="77777777" w:rsidR="00DB21F8" w:rsidRPr="00AE607B" w:rsidRDefault="00DB21F8" w:rsidP="00A5227C">
      <w:pPr>
        <w:numPr>
          <w:ilvl w:val="0"/>
          <w:numId w:val="40"/>
        </w:numPr>
        <w:tabs>
          <w:tab w:val="num" w:pos="546"/>
        </w:tabs>
        <w:ind w:left="360"/>
        <w:rPr>
          <w:b/>
        </w:rPr>
      </w:pPr>
      <w:r w:rsidRPr="00AE607B">
        <w:rPr>
          <w:b/>
        </w:rPr>
        <w:t>Related party transactions</w:t>
      </w:r>
    </w:p>
    <w:p w14:paraId="6CE0CE79" w14:textId="77777777" w:rsidR="00DB21F8" w:rsidRPr="00AE607B" w:rsidRDefault="00DB21F8" w:rsidP="00DB21F8">
      <w:pPr>
        <w:jc w:val="both"/>
        <w:rPr>
          <w:b/>
        </w:rPr>
      </w:pPr>
    </w:p>
    <w:p w14:paraId="075DE2BC" w14:textId="77777777" w:rsidR="00DB21F8" w:rsidRPr="009E4F90" w:rsidRDefault="00AE08B2" w:rsidP="00DB21F8">
      <w:pPr>
        <w:jc w:val="both"/>
        <w:rPr>
          <w:b/>
        </w:rPr>
      </w:pPr>
      <w:r w:rsidRPr="009E4F90">
        <w:rPr>
          <w:b/>
        </w:rPr>
        <w:t>Group</w:t>
      </w:r>
    </w:p>
    <w:p w14:paraId="37CFF3A1" w14:textId="77777777" w:rsidR="00D149BC" w:rsidRPr="009E4F90" w:rsidRDefault="00D149BC" w:rsidP="00DB21F8">
      <w:pPr>
        <w:jc w:val="both"/>
      </w:pPr>
      <w:r w:rsidRPr="009E4F90">
        <w:t xml:space="preserve">The </w:t>
      </w:r>
      <w:r w:rsidR="00FC637A" w:rsidRPr="009E4F90">
        <w:t>G</w:t>
      </w:r>
      <w:r w:rsidRPr="009E4F90">
        <w:t xml:space="preserve">roup is controlled by the City of Edinburgh Council (incorporated in the UK), which owns 100% of the </w:t>
      </w:r>
      <w:r w:rsidR="00BE0CAB" w:rsidRPr="009E4F90">
        <w:t>C</w:t>
      </w:r>
      <w:r w:rsidRPr="009E4F90">
        <w:t>ompany’s shares and it is also the ultimate parent. The following transactions were entered into with related parties:</w:t>
      </w:r>
    </w:p>
    <w:p w14:paraId="3FC23D35" w14:textId="77777777" w:rsidR="00DB21F8" w:rsidRPr="009E4F90" w:rsidRDefault="00DB21F8" w:rsidP="00DB21F8">
      <w:pPr>
        <w:jc w:val="both"/>
        <w:rPr>
          <w:i/>
        </w:rPr>
      </w:pPr>
    </w:p>
    <w:tbl>
      <w:tblPr>
        <w:tblW w:w="9606" w:type="dxa"/>
        <w:tblLayout w:type="fixed"/>
        <w:tblLook w:val="01E0" w:firstRow="1" w:lastRow="1" w:firstColumn="1" w:lastColumn="1" w:noHBand="0" w:noVBand="0"/>
      </w:tblPr>
      <w:tblGrid>
        <w:gridCol w:w="6771"/>
        <w:gridCol w:w="1275"/>
        <w:gridCol w:w="284"/>
        <w:gridCol w:w="1276"/>
      </w:tblGrid>
      <w:tr w:rsidR="00D466EE" w:rsidRPr="009E4F90" w14:paraId="394BCE4E" w14:textId="77777777" w:rsidTr="003D3069">
        <w:tc>
          <w:tcPr>
            <w:tcW w:w="6771" w:type="dxa"/>
          </w:tcPr>
          <w:p w14:paraId="19B2EC4E" w14:textId="77777777" w:rsidR="00D466EE" w:rsidRPr="009E4F90" w:rsidRDefault="009531FB" w:rsidP="00D466EE">
            <w:pPr>
              <w:rPr>
                <w:rFonts w:cs="Arial"/>
              </w:rPr>
            </w:pPr>
            <w:r w:rsidRPr="009E4F90">
              <w:rPr>
                <w:i/>
              </w:rPr>
              <w:t>(a) Sale of goods and services</w:t>
            </w:r>
          </w:p>
        </w:tc>
        <w:tc>
          <w:tcPr>
            <w:tcW w:w="1275" w:type="dxa"/>
          </w:tcPr>
          <w:p w14:paraId="00201BD8" w14:textId="77777777" w:rsidR="00D466EE" w:rsidRPr="009E4F90" w:rsidRDefault="000A5878" w:rsidP="003D3069">
            <w:pPr>
              <w:suppressAutoHyphens/>
              <w:ind w:right="27"/>
              <w:jc w:val="right"/>
              <w:rPr>
                <w:rFonts w:cs="Arial"/>
                <w:b/>
                <w:spacing w:val="-2"/>
              </w:rPr>
            </w:pPr>
            <w:r>
              <w:rPr>
                <w:rFonts w:cs="Arial"/>
                <w:b/>
                <w:spacing w:val="-2"/>
              </w:rPr>
              <w:t>28/12/</w:t>
            </w:r>
            <w:r w:rsidR="00D466EE" w:rsidRPr="009E4F90">
              <w:rPr>
                <w:rFonts w:cs="Arial"/>
                <w:b/>
                <w:spacing w:val="-2"/>
              </w:rPr>
              <w:t>20</w:t>
            </w:r>
            <w:r w:rsidR="003E094E" w:rsidRPr="009E4F90">
              <w:rPr>
                <w:rFonts w:cs="Arial"/>
                <w:b/>
                <w:spacing w:val="-2"/>
              </w:rPr>
              <w:t>2</w:t>
            </w:r>
            <w:r w:rsidR="009E4F90">
              <w:rPr>
                <w:rFonts w:cs="Arial"/>
                <w:b/>
                <w:spacing w:val="-2"/>
              </w:rPr>
              <w:t>4</w:t>
            </w:r>
          </w:p>
        </w:tc>
        <w:tc>
          <w:tcPr>
            <w:tcW w:w="284" w:type="dxa"/>
          </w:tcPr>
          <w:p w14:paraId="6AD8E716" w14:textId="77777777" w:rsidR="00D466EE" w:rsidRPr="009E4F90" w:rsidRDefault="00D466EE" w:rsidP="00D466EE">
            <w:pPr>
              <w:jc w:val="right"/>
              <w:rPr>
                <w:rFonts w:cs="Arial"/>
                <w:b/>
              </w:rPr>
            </w:pPr>
          </w:p>
        </w:tc>
        <w:tc>
          <w:tcPr>
            <w:tcW w:w="1276" w:type="dxa"/>
          </w:tcPr>
          <w:p w14:paraId="1E262AFC" w14:textId="77777777" w:rsidR="00D466EE" w:rsidRPr="009E4F90" w:rsidRDefault="000A5878" w:rsidP="003D3069">
            <w:pPr>
              <w:suppressAutoHyphens/>
              <w:ind w:right="34"/>
              <w:jc w:val="right"/>
              <w:rPr>
                <w:rFonts w:cs="Arial"/>
                <w:b/>
                <w:spacing w:val="-2"/>
              </w:rPr>
            </w:pPr>
            <w:r>
              <w:rPr>
                <w:rFonts w:cs="Arial"/>
                <w:b/>
                <w:spacing w:val="-2"/>
              </w:rPr>
              <w:t>30/12/</w:t>
            </w:r>
            <w:r w:rsidR="00D466EE" w:rsidRPr="009E4F90">
              <w:rPr>
                <w:rFonts w:cs="Arial"/>
                <w:b/>
                <w:spacing w:val="-2"/>
              </w:rPr>
              <w:t>20</w:t>
            </w:r>
            <w:r w:rsidR="0033231B" w:rsidRPr="009E4F90">
              <w:rPr>
                <w:rFonts w:cs="Arial"/>
                <w:b/>
                <w:spacing w:val="-2"/>
              </w:rPr>
              <w:t>2</w:t>
            </w:r>
            <w:r w:rsidR="009E4F90">
              <w:rPr>
                <w:rFonts w:cs="Arial"/>
                <w:b/>
                <w:spacing w:val="-2"/>
              </w:rPr>
              <w:t>3</w:t>
            </w:r>
          </w:p>
        </w:tc>
      </w:tr>
      <w:tr w:rsidR="00D466EE" w:rsidRPr="009E4F90" w14:paraId="1DDCE0FE" w14:textId="77777777" w:rsidTr="003D3069">
        <w:tc>
          <w:tcPr>
            <w:tcW w:w="6771" w:type="dxa"/>
          </w:tcPr>
          <w:p w14:paraId="2C364820" w14:textId="77777777" w:rsidR="00D466EE" w:rsidRPr="009E4F90" w:rsidRDefault="00D466EE" w:rsidP="00D466EE">
            <w:pPr>
              <w:ind w:left="546"/>
              <w:rPr>
                <w:rFonts w:cs="Arial"/>
              </w:rPr>
            </w:pPr>
          </w:p>
        </w:tc>
        <w:tc>
          <w:tcPr>
            <w:tcW w:w="1275" w:type="dxa"/>
          </w:tcPr>
          <w:p w14:paraId="3979B989" w14:textId="77777777" w:rsidR="00D466EE" w:rsidRPr="009E4F90" w:rsidRDefault="00D466EE" w:rsidP="003D3069">
            <w:pPr>
              <w:suppressAutoHyphens/>
              <w:ind w:right="27"/>
              <w:jc w:val="right"/>
              <w:rPr>
                <w:rFonts w:cs="Arial"/>
                <w:b/>
                <w:spacing w:val="-2"/>
              </w:rPr>
            </w:pPr>
            <w:r w:rsidRPr="009E4F90">
              <w:rPr>
                <w:rFonts w:cs="Arial"/>
                <w:b/>
                <w:spacing w:val="-2"/>
              </w:rPr>
              <w:t>£’000</w:t>
            </w:r>
          </w:p>
        </w:tc>
        <w:tc>
          <w:tcPr>
            <w:tcW w:w="284" w:type="dxa"/>
          </w:tcPr>
          <w:p w14:paraId="0DCF824E" w14:textId="77777777" w:rsidR="00D466EE" w:rsidRPr="009E4F90" w:rsidRDefault="00D466EE" w:rsidP="00D466EE">
            <w:pPr>
              <w:jc w:val="right"/>
              <w:rPr>
                <w:rFonts w:cs="Arial"/>
                <w:b/>
              </w:rPr>
            </w:pPr>
          </w:p>
        </w:tc>
        <w:tc>
          <w:tcPr>
            <w:tcW w:w="1276" w:type="dxa"/>
          </w:tcPr>
          <w:p w14:paraId="6CC6B363" w14:textId="77777777" w:rsidR="00D466EE" w:rsidRPr="009E4F90" w:rsidRDefault="00D466EE" w:rsidP="003D3069">
            <w:pPr>
              <w:suppressAutoHyphens/>
              <w:ind w:right="34"/>
              <w:jc w:val="right"/>
              <w:rPr>
                <w:rFonts w:cs="Arial"/>
                <w:b/>
                <w:spacing w:val="-2"/>
              </w:rPr>
            </w:pPr>
            <w:r w:rsidRPr="009E4F90">
              <w:rPr>
                <w:rFonts w:cs="Arial"/>
                <w:b/>
                <w:spacing w:val="-2"/>
              </w:rPr>
              <w:t>£’000</w:t>
            </w:r>
          </w:p>
        </w:tc>
      </w:tr>
      <w:tr w:rsidR="00D466EE" w:rsidRPr="009E4F90" w14:paraId="6D1B4CC7" w14:textId="77777777" w:rsidTr="003D3069">
        <w:tc>
          <w:tcPr>
            <w:tcW w:w="6771" w:type="dxa"/>
          </w:tcPr>
          <w:p w14:paraId="3DB025D9" w14:textId="77777777" w:rsidR="00D466EE" w:rsidRPr="009E4F90" w:rsidRDefault="00D466EE" w:rsidP="00D466EE">
            <w:pPr>
              <w:ind w:left="546"/>
              <w:rPr>
                <w:rFonts w:cs="Arial"/>
              </w:rPr>
            </w:pPr>
          </w:p>
        </w:tc>
        <w:tc>
          <w:tcPr>
            <w:tcW w:w="1275" w:type="dxa"/>
          </w:tcPr>
          <w:p w14:paraId="29A8CACD" w14:textId="77777777" w:rsidR="00D466EE" w:rsidRPr="009E4F90" w:rsidRDefault="00D466EE" w:rsidP="00D466EE">
            <w:pPr>
              <w:rPr>
                <w:rFonts w:cs="Arial"/>
              </w:rPr>
            </w:pPr>
          </w:p>
        </w:tc>
        <w:tc>
          <w:tcPr>
            <w:tcW w:w="284" w:type="dxa"/>
          </w:tcPr>
          <w:p w14:paraId="4B78F390" w14:textId="77777777" w:rsidR="00D466EE" w:rsidRPr="009E4F90" w:rsidRDefault="00D466EE" w:rsidP="00D466EE">
            <w:pPr>
              <w:rPr>
                <w:rFonts w:cs="Arial"/>
              </w:rPr>
            </w:pPr>
          </w:p>
        </w:tc>
        <w:tc>
          <w:tcPr>
            <w:tcW w:w="1276" w:type="dxa"/>
          </w:tcPr>
          <w:p w14:paraId="7A24B406" w14:textId="77777777" w:rsidR="00D466EE" w:rsidRPr="009E4F90" w:rsidRDefault="00D466EE" w:rsidP="00D466EE">
            <w:pPr>
              <w:rPr>
                <w:rFonts w:cs="Arial"/>
              </w:rPr>
            </w:pPr>
          </w:p>
        </w:tc>
      </w:tr>
      <w:tr w:rsidR="009E4F90" w:rsidRPr="00C328EF" w14:paraId="71914E4E" w14:textId="77777777" w:rsidTr="003D3069">
        <w:tc>
          <w:tcPr>
            <w:tcW w:w="6771" w:type="dxa"/>
          </w:tcPr>
          <w:p w14:paraId="4B5D5F36" w14:textId="77777777" w:rsidR="009E4F90" w:rsidRPr="009E4F90" w:rsidRDefault="009E4F90" w:rsidP="009E4F90">
            <w:pPr>
              <w:ind w:left="546"/>
              <w:rPr>
                <w:rFonts w:cs="Arial"/>
              </w:rPr>
            </w:pPr>
            <w:r w:rsidRPr="009E4F90">
              <w:rPr>
                <w:rFonts w:cs="Arial"/>
              </w:rPr>
              <w:t>City of Edinburgh Council (Ultimate Parent)</w:t>
            </w:r>
          </w:p>
        </w:tc>
        <w:tc>
          <w:tcPr>
            <w:tcW w:w="1275" w:type="dxa"/>
          </w:tcPr>
          <w:p w14:paraId="581A6A44" w14:textId="77777777" w:rsidR="009E4F90" w:rsidRPr="00B071A8" w:rsidRDefault="00B071A8" w:rsidP="009E4F90">
            <w:pPr>
              <w:suppressAutoHyphens/>
              <w:ind w:right="78"/>
              <w:jc w:val="right"/>
              <w:rPr>
                <w:rFonts w:cs="Arial"/>
                <w:spacing w:val="-2"/>
              </w:rPr>
            </w:pPr>
            <w:r w:rsidRPr="00B071A8">
              <w:rPr>
                <w:rFonts w:cs="Arial"/>
                <w:spacing w:val="-2"/>
              </w:rPr>
              <w:t>1,024</w:t>
            </w:r>
          </w:p>
        </w:tc>
        <w:tc>
          <w:tcPr>
            <w:tcW w:w="284" w:type="dxa"/>
          </w:tcPr>
          <w:p w14:paraId="086B8FC5" w14:textId="77777777" w:rsidR="009E4F90" w:rsidRPr="00C328EF" w:rsidRDefault="009E4F90" w:rsidP="009E4F90">
            <w:pPr>
              <w:jc w:val="right"/>
              <w:rPr>
                <w:rFonts w:cs="Arial"/>
                <w:highlight w:val="yellow"/>
              </w:rPr>
            </w:pPr>
          </w:p>
        </w:tc>
        <w:tc>
          <w:tcPr>
            <w:tcW w:w="1276" w:type="dxa"/>
          </w:tcPr>
          <w:p w14:paraId="21771C9C" w14:textId="77777777" w:rsidR="009E4F90" w:rsidRPr="009E4F90" w:rsidRDefault="009E4F90" w:rsidP="009E4F90">
            <w:pPr>
              <w:suppressAutoHyphens/>
              <w:ind w:right="78"/>
              <w:jc w:val="right"/>
              <w:rPr>
                <w:rFonts w:cs="Arial"/>
                <w:spacing w:val="-2"/>
              </w:rPr>
            </w:pPr>
            <w:r w:rsidRPr="009E4F90">
              <w:rPr>
                <w:rFonts w:cs="Arial"/>
                <w:spacing w:val="-2"/>
              </w:rPr>
              <w:t>543</w:t>
            </w:r>
          </w:p>
        </w:tc>
      </w:tr>
      <w:tr w:rsidR="009E4F90" w:rsidRPr="00C328EF" w14:paraId="50D65F98" w14:textId="77777777" w:rsidTr="003D3069">
        <w:tc>
          <w:tcPr>
            <w:tcW w:w="6771" w:type="dxa"/>
          </w:tcPr>
          <w:p w14:paraId="6E760B08" w14:textId="77777777" w:rsidR="009E4F90" w:rsidRPr="009E4F90" w:rsidRDefault="009E4F90" w:rsidP="009E4F90">
            <w:pPr>
              <w:ind w:left="546"/>
              <w:rPr>
                <w:rFonts w:cs="Arial"/>
              </w:rPr>
            </w:pPr>
            <w:r w:rsidRPr="009E4F90">
              <w:rPr>
                <w:rFonts w:cs="Arial"/>
              </w:rPr>
              <w:t>East Lothian Council (Shareholder)</w:t>
            </w:r>
          </w:p>
        </w:tc>
        <w:tc>
          <w:tcPr>
            <w:tcW w:w="1275" w:type="dxa"/>
          </w:tcPr>
          <w:p w14:paraId="4192261F" w14:textId="77777777" w:rsidR="009E4F90" w:rsidRPr="00B071A8" w:rsidRDefault="00B071A8" w:rsidP="009E4F90">
            <w:pPr>
              <w:suppressAutoHyphens/>
              <w:ind w:right="78"/>
              <w:jc w:val="right"/>
              <w:rPr>
                <w:rFonts w:cs="Arial"/>
                <w:spacing w:val="-2"/>
              </w:rPr>
            </w:pPr>
            <w:r w:rsidRPr="00B071A8">
              <w:rPr>
                <w:rFonts w:cs="Arial"/>
                <w:spacing w:val="-2"/>
              </w:rPr>
              <w:t>593</w:t>
            </w:r>
          </w:p>
        </w:tc>
        <w:tc>
          <w:tcPr>
            <w:tcW w:w="284" w:type="dxa"/>
          </w:tcPr>
          <w:p w14:paraId="1ECD429D" w14:textId="77777777" w:rsidR="009E4F90" w:rsidRPr="00C328EF" w:rsidRDefault="009E4F90" w:rsidP="009E4F90">
            <w:pPr>
              <w:jc w:val="right"/>
              <w:rPr>
                <w:rFonts w:cs="Arial"/>
                <w:highlight w:val="yellow"/>
              </w:rPr>
            </w:pPr>
          </w:p>
        </w:tc>
        <w:tc>
          <w:tcPr>
            <w:tcW w:w="1276" w:type="dxa"/>
          </w:tcPr>
          <w:p w14:paraId="43814239" w14:textId="77777777" w:rsidR="009E4F90" w:rsidRPr="009E4F90" w:rsidRDefault="009E4F90" w:rsidP="009E4F90">
            <w:pPr>
              <w:suppressAutoHyphens/>
              <w:ind w:right="78"/>
              <w:jc w:val="right"/>
              <w:rPr>
                <w:rFonts w:cs="Arial"/>
                <w:spacing w:val="-2"/>
              </w:rPr>
            </w:pPr>
            <w:r w:rsidRPr="009E4F90">
              <w:rPr>
                <w:rFonts w:cs="Arial"/>
                <w:spacing w:val="-2"/>
              </w:rPr>
              <w:t>750</w:t>
            </w:r>
          </w:p>
        </w:tc>
      </w:tr>
      <w:tr w:rsidR="009E4F90" w:rsidRPr="00C328EF" w14:paraId="65FFF54D" w14:textId="77777777" w:rsidTr="003D3069">
        <w:tc>
          <w:tcPr>
            <w:tcW w:w="6771" w:type="dxa"/>
          </w:tcPr>
          <w:p w14:paraId="4B1E30B8" w14:textId="77777777" w:rsidR="009E4F90" w:rsidRPr="009E4F90" w:rsidRDefault="009E4F90" w:rsidP="009E4F90">
            <w:pPr>
              <w:ind w:left="546"/>
              <w:rPr>
                <w:rFonts w:cs="Arial"/>
              </w:rPr>
            </w:pPr>
            <w:r w:rsidRPr="009E4F90">
              <w:rPr>
                <w:rFonts w:cs="Arial"/>
              </w:rPr>
              <w:t>West Lothian Council (Shareholder)</w:t>
            </w:r>
          </w:p>
        </w:tc>
        <w:tc>
          <w:tcPr>
            <w:tcW w:w="1275" w:type="dxa"/>
          </w:tcPr>
          <w:p w14:paraId="603FEF43" w14:textId="77777777" w:rsidR="009E4F90" w:rsidRPr="00B071A8" w:rsidRDefault="00B071A8" w:rsidP="009E4F90">
            <w:pPr>
              <w:suppressAutoHyphens/>
              <w:ind w:right="78"/>
              <w:jc w:val="right"/>
              <w:rPr>
                <w:rFonts w:cs="Arial"/>
                <w:spacing w:val="-2"/>
              </w:rPr>
            </w:pPr>
            <w:r w:rsidRPr="00B071A8">
              <w:rPr>
                <w:rFonts w:cs="Arial"/>
                <w:spacing w:val="-2"/>
              </w:rPr>
              <w:t>662</w:t>
            </w:r>
          </w:p>
        </w:tc>
        <w:tc>
          <w:tcPr>
            <w:tcW w:w="284" w:type="dxa"/>
          </w:tcPr>
          <w:p w14:paraId="0FCAD72D" w14:textId="77777777" w:rsidR="009E4F90" w:rsidRPr="00C328EF" w:rsidRDefault="009E4F90" w:rsidP="009E4F90">
            <w:pPr>
              <w:jc w:val="right"/>
              <w:rPr>
                <w:rFonts w:cs="Arial"/>
                <w:highlight w:val="yellow"/>
              </w:rPr>
            </w:pPr>
          </w:p>
        </w:tc>
        <w:tc>
          <w:tcPr>
            <w:tcW w:w="1276" w:type="dxa"/>
          </w:tcPr>
          <w:p w14:paraId="73AD9A28" w14:textId="77777777" w:rsidR="009E4F90" w:rsidRPr="009E4F90" w:rsidRDefault="009E4F90" w:rsidP="009E4F90">
            <w:pPr>
              <w:suppressAutoHyphens/>
              <w:ind w:right="78"/>
              <w:jc w:val="right"/>
              <w:rPr>
                <w:rFonts w:cs="Arial"/>
                <w:spacing w:val="-2"/>
              </w:rPr>
            </w:pPr>
            <w:r w:rsidRPr="009E4F90">
              <w:rPr>
                <w:rFonts w:cs="Arial"/>
                <w:spacing w:val="-2"/>
              </w:rPr>
              <w:t>145</w:t>
            </w:r>
          </w:p>
        </w:tc>
      </w:tr>
      <w:tr w:rsidR="009E4F90" w:rsidRPr="00C328EF" w14:paraId="5C40B437" w14:textId="77777777" w:rsidTr="003D3069">
        <w:tc>
          <w:tcPr>
            <w:tcW w:w="6771" w:type="dxa"/>
          </w:tcPr>
          <w:p w14:paraId="27728615" w14:textId="77777777" w:rsidR="009E4F90" w:rsidRPr="00C328EF" w:rsidRDefault="009E4F90" w:rsidP="009E4F90">
            <w:pPr>
              <w:ind w:left="546"/>
              <w:rPr>
                <w:rFonts w:cs="Arial"/>
                <w:highlight w:val="yellow"/>
              </w:rPr>
            </w:pPr>
          </w:p>
        </w:tc>
        <w:tc>
          <w:tcPr>
            <w:tcW w:w="1275" w:type="dxa"/>
          </w:tcPr>
          <w:p w14:paraId="6F8E97D0" w14:textId="77777777" w:rsidR="009E4F90" w:rsidRPr="00B071A8" w:rsidRDefault="009E4F90" w:rsidP="009E4F90">
            <w:pPr>
              <w:ind w:right="78"/>
              <w:jc w:val="right"/>
            </w:pPr>
            <w:r w:rsidRPr="00B071A8">
              <w:rPr>
                <w:rFonts w:cs="Arial"/>
                <w:spacing w:val="-2"/>
              </w:rPr>
              <w:t>──────</w:t>
            </w:r>
          </w:p>
        </w:tc>
        <w:tc>
          <w:tcPr>
            <w:tcW w:w="284" w:type="dxa"/>
          </w:tcPr>
          <w:p w14:paraId="4C62EBA4" w14:textId="77777777" w:rsidR="009E4F90" w:rsidRPr="00C328EF" w:rsidRDefault="009E4F90" w:rsidP="009E4F90">
            <w:pPr>
              <w:jc w:val="right"/>
              <w:rPr>
                <w:rFonts w:cs="Arial"/>
                <w:highlight w:val="yellow"/>
              </w:rPr>
            </w:pPr>
          </w:p>
        </w:tc>
        <w:tc>
          <w:tcPr>
            <w:tcW w:w="1276" w:type="dxa"/>
          </w:tcPr>
          <w:p w14:paraId="09F6CDC5" w14:textId="77777777" w:rsidR="009E4F90" w:rsidRPr="009E4F90" w:rsidRDefault="009E4F90" w:rsidP="009E4F90">
            <w:pPr>
              <w:ind w:right="78"/>
              <w:jc w:val="right"/>
            </w:pPr>
            <w:r w:rsidRPr="009E4F90">
              <w:rPr>
                <w:rFonts w:cs="Arial"/>
                <w:spacing w:val="-2"/>
              </w:rPr>
              <w:t>──────</w:t>
            </w:r>
          </w:p>
        </w:tc>
      </w:tr>
      <w:tr w:rsidR="009E4F90" w:rsidRPr="00C328EF" w14:paraId="4A10717A" w14:textId="77777777" w:rsidTr="003D3069">
        <w:tc>
          <w:tcPr>
            <w:tcW w:w="6771" w:type="dxa"/>
          </w:tcPr>
          <w:p w14:paraId="394E7DEB" w14:textId="77777777" w:rsidR="009E4F90" w:rsidRPr="00C328EF" w:rsidRDefault="009E4F90" w:rsidP="009E4F90">
            <w:pPr>
              <w:ind w:left="546"/>
              <w:rPr>
                <w:rFonts w:cs="Arial"/>
                <w:highlight w:val="yellow"/>
              </w:rPr>
            </w:pPr>
          </w:p>
        </w:tc>
        <w:tc>
          <w:tcPr>
            <w:tcW w:w="1275" w:type="dxa"/>
          </w:tcPr>
          <w:p w14:paraId="13417558" w14:textId="77777777" w:rsidR="009E4F90" w:rsidRPr="00B071A8" w:rsidRDefault="00B071A8" w:rsidP="009E4F90">
            <w:pPr>
              <w:suppressAutoHyphens/>
              <w:ind w:right="78"/>
              <w:jc w:val="right"/>
              <w:rPr>
                <w:rFonts w:cs="Arial"/>
                <w:spacing w:val="-2"/>
              </w:rPr>
            </w:pPr>
            <w:r w:rsidRPr="00B071A8">
              <w:rPr>
                <w:rFonts w:cs="Arial"/>
                <w:spacing w:val="-2"/>
              </w:rPr>
              <w:t>2,279</w:t>
            </w:r>
          </w:p>
        </w:tc>
        <w:tc>
          <w:tcPr>
            <w:tcW w:w="284" w:type="dxa"/>
          </w:tcPr>
          <w:p w14:paraId="513F63B2" w14:textId="77777777" w:rsidR="009E4F90" w:rsidRPr="00C328EF" w:rsidRDefault="009E4F90" w:rsidP="009E4F90">
            <w:pPr>
              <w:jc w:val="right"/>
              <w:rPr>
                <w:rFonts w:cs="Arial"/>
                <w:highlight w:val="yellow"/>
              </w:rPr>
            </w:pPr>
          </w:p>
        </w:tc>
        <w:tc>
          <w:tcPr>
            <w:tcW w:w="1276" w:type="dxa"/>
          </w:tcPr>
          <w:p w14:paraId="07E07C62" w14:textId="77777777" w:rsidR="009E4F90" w:rsidRPr="009E4F90" w:rsidRDefault="009E4F90" w:rsidP="009E4F90">
            <w:pPr>
              <w:suppressAutoHyphens/>
              <w:ind w:right="78"/>
              <w:jc w:val="right"/>
              <w:rPr>
                <w:rFonts w:cs="Arial"/>
                <w:spacing w:val="-2"/>
              </w:rPr>
            </w:pPr>
            <w:r w:rsidRPr="009E4F90">
              <w:rPr>
                <w:rFonts w:cs="Arial"/>
                <w:spacing w:val="-2"/>
              </w:rPr>
              <w:t>1,438</w:t>
            </w:r>
          </w:p>
        </w:tc>
      </w:tr>
      <w:tr w:rsidR="009E4F90" w:rsidRPr="00C328EF" w14:paraId="0ECC416C" w14:textId="77777777" w:rsidTr="003D3069">
        <w:tc>
          <w:tcPr>
            <w:tcW w:w="6771" w:type="dxa"/>
          </w:tcPr>
          <w:p w14:paraId="73DE1FCC" w14:textId="77777777" w:rsidR="009E4F90" w:rsidRPr="00C328EF" w:rsidRDefault="009E4F90" w:rsidP="009E4F90">
            <w:pPr>
              <w:ind w:left="546"/>
              <w:rPr>
                <w:rFonts w:cs="Arial"/>
                <w:highlight w:val="yellow"/>
              </w:rPr>
            </w:pPr>
          </w:p>
        </w:tc>
        <w:tc>
          <w:tcPr>
            <w:tcW w:w="1275" w:type="dxa"/>
          </w:tcPr>
          <w:p w14:paraId="2B76C414" w14:textId="77777777" w:rsidR="009E4F90" w:rsidRPr="00B071A8" w:rsidRDefault="009E4F90" w:rsidP="009E4F90">
            <w:pPr>
              <w:ind w:right="78"/>
              <w:jc w:val="right"/>
            </w:pPr>
            <w:r w:rsidRPr="00B071A8">
              <w:rPr>
                <w:rFonts w:cs="Arial"/>
                <w:spacing w:val="-2"/>
              </w:rPr>
              <w:t>══════</w:t>
            </w:r>
          </w:p>
        </w:tc>
        <w:tc>
          <w:tcPr>
            <w:tcW w:w="284" w:type="dxa"/>
          </w:tcPr>
          <w:p w14:paraId="064D0D8F" w14:textId="77777777" w:rsidR="009E4F90" w:rsidRPr="00C328EF" w:rsidRDefault="009E4F90" w:rsidP="009E4F90">
            <w:pPr>
              <w:jc w:val="right"/>
              <w:rPr>
                <w:rFonts w:cs="Arial"/>
                <w:highlight w:val="yellow"/>
              </w:rPr>
            </w:pPr>
          </w:p>
        </w:tc>
        <w:tc>
          <w:tcPr>
            <w:tcW w:w="1276" w:type="dxa"/>
          </w:tcPr>
          <w:p w14:paraId="550DD5B4" w14:textId="77777777" w:rsidR="009E4F90" w:rsidRPr="009E4F90" w:rsidRDefault="009E4F90" w:rsidP="009E4F90">
            <w:pPr>
              <w:ind w:right="78"/>
              <w:jc w:val="right"/>
            </w:pPr>
            <w:r w:rsidRPr="009E4F90">
              <w:rPr>
                <w:rFonts w:cs="Arial"/>
                <w:spacing w:val="-2"/>
              </w:rPr>
              <w:t>══════</w:t>
            </w:r>
          </w:p>
        </w:tc>
      </w:tr>
    </w:tbl>
    <w:p w14:paraId="4CF67658" w14:textId="77777777" w:rsidR="00DB21F8" w:rsidRPr="009E4F90" w:rsidRDefault="00DB21F8" w:rsidP="00DB21F8">
      <w:pPr>
        <w:jc w:val="both"/>
        <w:rPr>
          <w:i/>
        </w:rPr>
      </w:pPr>
    </w:p>
    <w:tbl>
      <w:tblPr>
        <w:tblW w:w="9606" w:type="dxa"/>
        <w:tblLayout w:type="fixed"/>
        <w:tblLook w:val="01E0" w:firstRow="1" w:lastRow="1" w:firstColumn="1" w:lastColumn="1" w:noHBand="0" w:noVBand="0"/>
      </w:tblPr>
      <w:tblGrid>
        <w:gridCol w:w="6771"/>
        <w:gridCol w:w="1275"/>
        <w:gridCol w:w="284"/>
        <w:gridCol w:w="1276"/>
      </w:tblGrid>
      <w:tr w:rsidR="00D466EE" w:rsidRPr="009E4F90" w14:paraId="4D1F2D31" w14:textId="77777777" w:rsidTr="003D3069">
        <w:tc>
          <w:tcPr>
            <w:tcW w:w="6771" w:type="dxa"/>
          </w:tcPr>
          <w:p w14:paraId="2626EAF5" w14:textId="77777777" w:rsidR="00D466EE" w:rsidRPr="009E4F90" w:rsidRDefault="009531FB" w:rsidP="00D466EE">
            <w:pPr>
              <w:rPr>
                <w:rFonts w:cs="Arial"/>
              </w:rPr>
            </w:pPr>
            <w:r w:rsidRPr="009E4F90">
              <w:rPr>
                <w:i/>
              </w:rPr>
              <w:t>(b) Purchase of goods and services</w:t>
            </w:r>
          </w:p>
        </w:tc>
        <w:tc>
          <w:tcPr>
            <w:tcW w:w="1275" w:type="dxa"/>
          </w:tcPr>
          <w:p w14:paraId="3E107C71" w14:textId="77777777" w:rsidR="00D466EE" w:rsidRPr="009E4F90" w:rsidRDefault="000A5878" w:rsidP="003D3069">
            <w:pPr>
              <w:suppressAutoHyphens/>
              <w:ind w:right="33"/>
              <w:jc w:val="right"/>
              <w:rPr>
                <w:rFonts w:cs="Arial"/>
                <w:b/>
                <w:spacing w:val="-2"/>
              </w:rPr>
            </w:pPr>
            <w:r>
              <w:rPr>
                <w:rFonts w:cs="Arial"/>
                <w:b/>
                <w:spacing w:val="-2"/>
              </w:rPr>
              <w:t>28/12/</w:t>
            </w:r>
            <w:r w:rsidR="00D466EE" w:rsidRPr="009E4F90">
              <w:rPr>
                <w:rFonts w:cs="Arial"/>
                <w:b/>
                <w:spacing w:val="-2"/>
              </w:rPr>
              <w:t>20</w:t>
            </w:r>
            <w:r w:rsidR="003E094E" w:rsidRPr="009E4F90">
              <w:rPr>
                <w:rFonts w:cs="Arial"/>
                <w:b/>
                <w:spacing w:val="-2"/>
              </w:rPr>
              <w:t>2</w:t>
            </w:r>
            <w:r w:rsidR="009E4F90">
              <w:rPr>
                <w:rFonts w:cs="Arial"/>
                <w:b/>
                <w:spacing w:val="-2"/>
              </w:rPr>
              <w:t>4</w:t>
            </w:r>
          </w:p>
        </w:tc>
        <w:tc>
          <w:tcPr>
            <w:tcW w:w="284" w:type="dxa"/>
          </w:tcPr>
          <w:p w14:paraId="1982C0D0" w14:textId="77777777" w:rsidR="00D466EE" w:rsidRPr="009E4F90" w:rsidRDefault="00D466EE" w:rsidP="00D466EE">
            <w:pPr>
              <w:suppressAutoHyphens/>
              <w:ind w:right="126"/>
              <w:jc w:val="right"/>
              <w:rPr>
                <w:rFonts w:cs="Arial"/>
                <w:b/>
                <w:spacing w:val="-2"/>
              </w:rPr>
            </w:pPr>
          </w:p>
        </w:tc>
        <w:tc>
          <w:tcPr>
            <w:tcW w:w="1276" w:type="dxa"/>
          </w:tcPr>
          <w:p w14:paraId="482BA329" w14:textId="77777777" w:rsidR="00D466EE" w:rsidRPr="009E4F90" w:rsidRDefault="000A5878" w:rsidP="003D3069">
            <w:pPr>
              <w:suppressAutoHyphens/>
              <w:ind w:right="34"/>
              <w:jc w:val="right"/>
              <w:rPr>
                <w:rFonts w:cs="Arial"/>
                <w:b/>
                <w:spacing w:val="-2"/>
              </w:rPr>
            </w:pPr>
            <w:r>
              <w:rPr>
                <w:rFonts w:cs="Arial"/>
                <w:b/>
                <w:spacing w:val="-2"/>
              </w:rPr>
              <w:t>30/12/</w:t>
            </w:r>
            <w:r w:rsidR="00D466EE" w:rsidRPr="009E4F90">
              <w:rPr>
                <w:rFonts w:cs="Arial"/>
                <w:b/>
                <w:spacing w:val="-2"/>
              </w:rPr>
              <w:t>20</w:t>
            </w:r>
            <w:r w:rsidR="0033231B" w:rsidRPr="009E4F90">
              <w:rPr>
                <w:rFonts w:cs="Arial"/>
                <w:b/>
                <w:spacing w:val="-2"/>
              </w:rPr>
              <w:t>2</w:t>
            </w:r>
            <w:r w:rsidR="009E4F90">
              <w:rPr>
                <w:rFonts w:cs="Arial"/>
                <w:b/>
                <w:spacing w:val="-2"/>
              </w:rPr>
              <w:t>3</w:t>
            </w:r>
          </w:p>
        </w:tc>
      </w:tr>
      <w:tr w:rsidR="00D466EE" w:rsidRPr="009E4F90" w14:paraId="32F4F8B8" w14:textId="77777777" w:rsidTr="003D3069">
        <w:tc>
          <w:tcPr>
            <w:tcW w:w="6771" w:type="dxa"/>
          </w:tcPr>
          <w:p w14:paraId="40158DB6" w14:textId="77777777" w:rsidR="00D466EE" w:rsidRPr="009E4F90" w:rsidRDefault="00D466EE" w:rsidP="00D466EE">
            <w:pPr>
              <w:ind w:left="546"/>
              <w:rPr>
                <w:rFonts w:cs="Arial"/>
              </w:rPr>
            </w:pPr>
          </w:p>
        </w:tc>
        <w:tc>
          <w:tcPr>
            <w:tcW w:w="1275" w:type="dxa"/>
          </w:tcPr>
          <w:p w14:paraId="15EA61F3" w14:textId="77777777" w:rsidR="00D466EE" w:rsidRPr="009E4F90" w:rsidRDefault="00D466EE" w:rsidP="003D3069">
            <w:pPr>
              <w:suppressAutoHyphens/>
              <w:ind w:right="33"/>
              <w:jc w:val="right"/>
              <w:rPr>
                <w:rFonts w:cs="Arial"/>
                <w:b/>
                <w:spacing w:val="-2"/>
              </w:rPr>
            </w:pPr>
            <w:r w:rsidRPr="009E4F90">
              <w:rPr>
                <w:rFonts w:cs="Arial"/>
                <w:b/>
                <w:spacing w:val="-2"/>
              </w:rPr>
              <w:t>£’000</w:t>
            </w:r>
          </w:p>
        </w:tc>
        <w:tc>
          <w:tcPr>
            <w:tcW w:w="284" w:type="dxa"/>
          </w:tcPr>
          <w:p w14:paraId="5BBC7128" w14:textId="77777777" w:rsidR="00D466EE" w:rsidRPr="009E4F90" w:rsidRDefault="00D466EE" w:rsidP="00D466EE">
            <w:pPr>
              <w:suppressAutoHyphens/>
              <w:ind w:right="126"/>
              <w:jc w:val="right"/>
              <w:rPr>
                <w:rFonts w:cs="Arial"/>
                <w:b/>
                <w:spacing w:val="-2"/>
              </w:rPr>
            </w:pPr>
          </w:p>
        </w:tc>
        <w:tc>
          <w:tcPr>
            <w:tcW w:w="1276" w:type="dxa"/>
          </w:tcPr>
          <w:p w14:paraId="674DE91D" w14:textId="77777777" w:rsidR="00D466EE" w:rsidRPr="009E4F90" w:rsidRDefault="00D466EE" w:rsidP="003D3069">
            <w:pPr>
              <w:suppressAutoHyphens/>
              <w:ind w:right="34"/>
              <w:jc w:val="right"/>
              <w:rPr>
                <w:rFonts w:cs="Arial"/>
                <w:b/>
                <w:spacing w:val="-2"/>
              </w:rPr>
            </w:pPr>
            <w:r w:rsidRPr="009E4F90">
              <w:rPr>
                <w:rFonts w:cs="Arial"/>
                <w:b/>
                <w:spacing w:val="-2"/>
              </w:rPr>
              <w:t>£’000</w:t>
            </w:r>
          </w:p>
        </w:tc>
      </w:tr>
      <w:tr w:rsidR="00D466EE" w:rsidRPr="009E4F90" w14:paraId="51C0FA07" w14:textId="77777777" w:rsidTr="003D3069">
        <w:tc>
          <w:tcPr>
            <w:tcW w:w="6771" w:type="dxa"/>
          </w:tcPr>
          <w:p w14:paraId="7AF675FE" w14:textId="77777777" w:rsidR="00D466EE" w:rsidRPr="009E4F90" w:rsidRDefault="00D466EE" w:rsidP="00D466EE">
            <w:pPr>
              <w:ind w:left="546"/>
              <w:rPr>
                <w:rFonts w:cs="Arial"/>
              </w:rPr>
            </w:pPr>
          </w:p>
        </w:tc>
        <w:tc>
          <w:tcPr>
            <w:tcW w:w="1275" w:type="dxa"/>
          </w:tcPr>
          <w:p w14:paraId="5C199898" w14:textId="77777777" w:rsidR="00D466EE" w:rsidRPr="009E4F90" w:rsidRDefault="00D466EE" w:rsidP="00D466EE">
            <w:pPr>
              <w:rPr>
                <w:rFonts w:cs="Arial"/>
              </w:rPr>
            </w:pPr>
          </w:p>
        </w:tc>
        <w:tc>
          <w:tcPr>
            <w:tcW w:w="284" w:type="dxa"/>
          </w:tcPr>
          <w:p w14:paraId="5CFFDADB" w14:textId="77777777" w:rsidR="00D466EE" w:rsidRPr="009E4F90" w:rsidRDefault="00D466EE" w:rsidP="00D466EE">
            <w:pPr>
              <w:rPr>
                <w:rFonts w:cs="Arial"/>
              </w:rPr>
            </w:pPr>
          </w:p>
        </w:tc>
        <w:tc>
          <w:tcPr>
            <w:tcW w:w="1276" w:type="dxa"/>
          </w:tcPr>
          <w:p w14:paraId="5E7BE304" w14:textId="77777777" w:rsidR="00D466EE" w:rsidRPr="009E4F90" w:rsidRDefault="00D466EE" w:rsidP="00D466EE">
            <w:pPr>
              <w:rPr>
                <w:rFonts w:cs="Arial"/>
              </w:rPr>
            </w:pPr>
          </w:p>
        </w:tc>
      </w:tr>
      <w:tr w:rsidR="009E4F90" w:rsidRPr="00C328EF" w14:paraId="55273CD5" w14:textId="77777777" w:rsidTr="003D3069">
        <w:tc>
          <w:tcPr>
            <w:tcW w:w="6771" w:type="dxa"/>
          </w:tcPr>
          <w:p w14:paraId="7344B5C2" w14:textId="77777777" w:rsidR="009E4F90" w:rsidRPr="009E4F90" w:rsidRDefault="009E4F90" w:rsidP="009E4F90">
            <w:pPr>
              <w:ind w:left="546"/>
              <w:rPr>
                <w:rFonts w:cs="Arial"/>
              </w:rPr>
            </w:pPr>
            <w:r w:rsidRPr="009E4F90">
              <w:rPr>
                <w:rFonts w:cs="Arial"/>
              </w:rPr>
              <w:t>City of Edinburgh Council (Ultimate Parent)</w:t>
            </w:r>
          </w:p>
        </w:tc>
        <w:tc>
          <w:tcPr>
            <w:tcW w:w="1275" w:type="dxa"/>
          </w:tcPr>
          <w:p w14:paraId="2DFDBDCD" w14:textId="77777777" w:rsidR="009E4F90" w:rsidRPr="00B071A8" w:rsidRDefault="009E4F90" w:rsidP="009E4F90">
            <w:pPr>
              <w:suppressAutoHyphens/>
              <w:ind w:right="78"/>
              <w:jc w:val="right"/>
              <w:rPr>
                <w:rFonts w:cs="Arial"/>
                <w:spacing w:val="-2"/>
              </w:rPr>
            </w:pPr>
            <w:r w:rsidRPr="00B071A8">
              <w:rPr>
                <w:rFonts w:cs="Arial"/>
                <w:spacing w:val="-2"/>
              </w:rPr>
              <w:t>1</w:t>
            </w:r>
            <w:r w:rsidR="00B071A8" w:rsidRPr="00B071A8">
              <w:rPr>
                <w:rFonts w:cs="Arial"/>
                <w:spacing w:val="-2"/>
              </w:rPr>
              <w:t>8</w:t>
            </w:r>
            <w:r w:rsidRPr="00B071A8">
              <w:rPr>
                <w:rFonts w:cs="Arial"/>
                <w:spacing w:val="-2"/>
              </w:rPr>
              <w:t>,4</w:t>
            </w:r>
            <w:r w:rsidR="00B071A8" w:rsidRPr="00B071A8">
              <w:rPr>
                <w:rFonts w:cs="Arial"/>
                <w:spacing w:val="-2"/>
              </w:rPr>
              <w:t>52</w:t>
            </w:r>
          </w:p>
        </w:tc>
        <w:tc>
          <w:tcPr>
            <w:tcW w:w="284" w:type="dxa"/>
          </w:tcPr>
          <w:p w14:paraId="7A6731B8" w14:textId="77777777" w:rsidR="009E4F90" w:rsidRPr="00C328EF" w:rsidRDefault="009E4F90" w:rsidP="009E4F90">
            <w:pPr>
              <w:ind w:right="126"/>
              <w:jc w:val="right"/>
              <w:rPr>
                <w:rFonts w:cs="Arial"/>
                <w:highlight w:val="yellow"/>
              </w:rPr>
            </w:pPr>
          </w:p>
        </w:tc>
        <w:tc>
          <w:tcPr>
            <w:tcW w:w="1276" w:type="dxa"/>
          </w:tcPr>
          <w:p w14:paraId="63EB4E49" w14:textId="77777777" w:rsidR="009E4F90" w:rsidRPr="009E4F90" w:rsidRDefault="009E4F90" w:rsidP="009E4F90">
            <w:pPr>
              <w:suppressAutoHyphens/>
              <w:ind w:right="78"/>
              <w:jc w:val="right"/>
              <w:rPr>
                <w:rFonts w:cs="Arial"/>
                <w:spacing w:val="-2"/>
              </w:rPr>
            </w:pPr>
            <w:r w:rsidRPr="009E4F90">
              <w:rPr>
                <w:rFonts w:cs="Arial"/>
                <w:spacing w:val="-2"/>
              </w:rPr>
              <w:t>15,384</w:t>
            </w:r>
          </w:p>
        </w:tc>
      </w:tr>
      <w:tr w:rsidR="009E4F90" w:rsidRPr="00C328EF" w14:paraId="40ABCAB3" w14:textId="77777777" w:rsidTr="003D3069">
        <w:tc>
          <w:tcPr>
            <w:tcW w:w="6771" w:type="dxa"/>
          </w:tcPr>
          <w:p w14:paraId="5D5589F3" w14:textId="77777777" w:rsidR="009E4F90" w:rsidRPr="009E4F90" w:rsidRDefault="009E4F90" w:rsidP="009E4F90">
            <w:pPr>
              <w:ind w:left="546"/>
              <w:rPr>
                <w:rFonts w:cs="Arial"/>
              </w:rPr>
            </w:pPr>
            <w:r w:rsidRPr="009E4F90">
              <w:rPr>
                <w:rFonts w:cs="Arial"/>
              </w:rPr>
              <w:t>East Lothian Council (Shareholder)</w:t>
            </w:r>
          </w:p>
        </w:tc>
        <w:tc>
          <w:tcPr>
            <w:tcW w:w="1275" w:type="dxa"/>
          </w:tcPr>
          <w:p w14:paraId="359A0F90" w14:textId="77777777" w:rsidR="009E4F90" w:rsidRPr="00B071A8" w:rsidRDefault="00B071A8" w:rsidP="009E4F90">
            <w:pPr>
              <w:suppressAutoHyphens/>
              <w:ind w:right="78"/>
              <w:jc w:val="right"/>
              <w:rPr>
                <w:rFonts w:cs="Arial"/>
                <w:spacing w:val="-2"/>
              </w:rPr>
            </w:pPr>
            <w:r w:rsidRPr="00B071A8">
              <w:rPr>
                <w:rFonts w:cs="Arial"/>
                <w:spacing w:val="-2"/>
              </w:rPr>
              <w:t>41</w:t>
            </w:r>
          </w:p>
        </w:tc>
        <w:tc>
          <w:tcPr>
            <w:tcW w:w="284" w:type="dxa"/>
          </w:tcPr>
          <w:p w14:paraId="7253CA72" w14:textId="77777777" w:rsidR="009E4F90" w:rsidRPr="00C328EF" w:rsidRDefault="009E4F90" w:rsidP="009E4F90">
            <w:pPr>
              <w:ind w:right="126"/>
              <w:jc w:val="right"/>
              <w:rPr>
                <w:rFonts w:cs="Arial"/>
                <w:highlight w:val="yellow"/>
              </w:rPr>
            </w:pPr>
          </w:p>
        </w:tc>
        <w:tc>
          <w:tcPr>
            <w:tcW w:w="1276" w:type="dxa"/>
          </w:tcPr>
          <w:p w14:paraId="138A6E07" w14:textId="77777777" w:rsidR="009E4F90" w:rsidRPr="009E4F90" w:rsidRDefault="009E4F90" w:rsidP="009E4F90">
            <w:pPr>
              <w:suppressAutoHyphens/>
              <w:ind w:right="78"/>
              <w:jc w:val="right"/>
              <w:rPr>
                <w:rFonts w:cs="Arial"/>
                <w:spacing w:val="-2"/>
              </w:rPr>
            </w:pPr>
            <w:r w:rsidRPr="009E4F90">
              <w:rPr>
                <w:rFonts w:cs="Arial"/>
                <w:spacing w:val="-2"/>
              </w:rPr>
              <w:t>39</w:t>
            </w:r>
          </w:p>
        </w:tc>
      </w:tr>
      <w:tr w:rsidR="009E4F90" w:rsidRPr="00C328EF" w14:paraId="60A545CF" w14:textId="77777777" w:rsidTr="003D3069">
        <w:tc>
          <w:tcPr>
            <w:tcW w:w="6771" w:type="dxa"/>
          </w:tcPr>
          <w:p w14:paraId="198C0BCC" w14:textId="77777777" w:rsidR="009E4F90" w:rsidRPr="009E4F90" w:rsidRDefault="009E4F90" w:rsidP="009E4F90">
            <w:pPr>
              <w:ind w:left="546"/>
              <w:rPr>
                <w:rFonts w:cs="Arial"/>
              </w:rPr>
            </w:pPr>
            <w:r w:rsidRPr="009E4F90">
              <w:rPr>
                <w:rFonts w:cs="Arial"/>
              </w:rPr>
              <w:t>West Lothian Council (Shareholder)</w:t>
            </w:r>
          </w:p>
        </w:tc>
        <w:tc>
          <w:tcPr>
            <w:tcW w:w="1275" w:type="dxa"/>
          </w:tcPr>
          <w:p w14:paraId="2CAD51A0" w14:textId="77777777" w:rsidR="009E4F90" w:rsidRPr="00B071A8" w:rsidRDefault="009E4F90" w:rsidP="009E4F90">
            <w:pPr>
              <w:suppressAutoHyphens/>
              <w:ind w:right="78"/>
              <w:jc w:val="right"/>
              <w:rPr>
                <w:rFonts w:cs="Arial"/>
                <w:spacing w:val="-2"/>
              </w:rPr>
            </w:pPr>
            <w:r w:rsidRPr="00B071A8">
              <w:rPr>
                <w:rFonts w:cs="Arial"/>
                <w:spacing w:val="-2"/>
              </w:rPr>
              <w:t>8</w:t>
            </w:r>
            <w:r w:rsidR="00B071A8" w:rsidRPr="00B071A8">
              <w:rPr>
                <w:rFonts w:cs="Arial"/>
                <w:spacing w:val="-2"/>
              </w:rPr>
              <w:t>7</w:t>
            </w:r>
          </w:p>
        </w:tc>
        <w:tc>
          <w:tcPr>
            <w:tcW w:w="284" w:type="dxa"/>
          </w:tcPr>
          <w:p w14:paraId="102129AA" w14:textId="77777777" w:rsidR="009E4F90" w:rsidRPr="00C328EF" w:rsidRDefault="009E4F90" w:rsidP="009E4F90">
            <w:pPr>
              <w:ind w:right="126"/>
              <w:jc w:val="right"/>
              <w:rPr>
                <w:rFonts w:cs="Arial"/>
                <w:highlight w:val="yellow"/>
              </w:rPr>
            </w:pPr>
          </w:p>
        </w:tc>
        <w:tc>
          <w:tcPr>
            <w:tcW w:w="1276" w:type="dxa"/>
          </w:tcPr>
          <w:p w14:paraId="63481D9F" w14:textId="77777777" w:rsidR="009E4F90" w:rsidRPr="009E4F90" w:rsidRDefault="009E4F90" w:rsidP="009E4F90">
            <w:pPr>
              <w:suppressAutoHyphens/>
              <w:ind w:right="78"/>
              <w:jc w:val="right"/>
              <w:rPr>
                <w:rFonts w:cs="Arial"/>
                <w:spacing w:val="-2"/>
              </w:rPr>
            </w:pPr>
            <w:r w:rsidRPr="009E4F90">
              <w:rPr>
                <w:rFonts w:cs="Arial"/>
                <w:spacing w:val="-2"/>
              </w:rPr>
              <w:t>78</w:t>
            </w:r>
          </w:p>
        </w:tc>
      </w:tr>
      <w:tr w:rsidR="009E4F90" w:rsidRPr="00C328EF" w14:paraId="4A2BA795" w14:textId="77777777" w:rsidTr="003D3069">
        <w:tc>
          <w:tcPr>
            <w:tcW w:w="6771" w:type="dxa"/>
          </w:tcPr>
          <w:p w14:paraId="3F74095D" w14:textId="77777777" w:rsidR="009E4F90" w:rsidRPr="009E4F90" w:rsidRDefault="009E4F90" w:rsidP="009E4F90">
            <w:pPr>
              <w:ind w:left="546"/>
              <w:rPr>
                <w:rFonts w:cs="Arial"/>
              </w:rPr>
            </w:pPr>
            <w:r w:rsidRPr="009E4F90">
              <w:rPr>
                <w:rFonts w:cs="Arial"/>
              </w:rPr>
              <w:t>UK Tram Limited (Director in Common)</w:t>
            </w:r>
          </w:p>
        </w:tc>
        <w:tc>
          <w:tcPr>
            <w:tcW w:w="1275" w:type="dxa"/>
          </w:tcPr>
          <w:p w14:paraId="61981597" w14:textId="77777777" w:rsidR="009E4F90" w:rsidRPr="00B071A8" w:rsidRDefault="009E4F90" w:rsidP="009E4F90">
            <w:pPr>
              <w:suppressAutoHyphens/>
              <w:ind w:right="78"/>
              <w:jc w:val="right"/>
              <w:rPr>
                <w:rFonts w:cs="Arial"/>
                <w:spacing w:val="-2"/>
              </w:rPr>
            </w:pPr>
            <w:r w:rsidRPr="00B071A8">
              <w:rPr>
                <w:rFonts w:cs="Arial"/>
                <w:spacing w:val="-2"/>
              </w:rPr>
              <w:t>34</w:t>
            </w:r>
          </w:p>
        </w:tc>
        <w:tc>
          <w:tcPr>
            <w:tcW w:w="284" w:type="dxa"/>
          </w:tcPr>
          <w:p w14:paraId="228135C6" w14:textId="77777777" w:rsidR="009E4F90" w:rsidRPr="00C328EF" w:rsidRDefault="009E4F90" w:rsidP="009E4F90">
            <w:pPr>
              <w:jc w:val="right"/>
              <w:rPr>
                <w:rFonts w:cs="Arial"/>
                <w:highlight w:val="yellow"/>
              </w:rPr>
            </w:pPr>
          </w:p>
        </w:tc>
        <w:tc>
          <w:tcPr>
            <w:tcW w:w="1276" w:type="dxa"/>
          </w:tcPr>
          <w:p w14:paraId="51F8A054" w14:textId="77777777" w:rsidR="009E4F90" w:rsidRPr="009E4F90" w:rsidRDefault="009E4F90" w:rsidP="009E4F90">
            <w:pPr>
              <w:suppressAutoHyphens/>
              <w:ind w:right="78"/>
              <w:jc w:val="right"/>
              <w:rPr>
                <w:rFonts w:cs="Arial"/>
                <w:spacing w:val="-2"/>
              </w:rPr>
            </w:pPr>
            <w:r w:rsidRPr="009E4F90">
              <w:rPr>
                <w:rFonts w:cs="Arial"/>
                <w:spacing w:val="-2"/>
              </w:rPr>
              <w:t>34</w:t>
            </w:r>
          </w:p>
        </w:tc>
      </w:tr>
      <w:tr w:rsidR="009E4F90" w:rsidRPr="00C328EF" w14:paraId="6A62723F" w14:textId="77777777" w:rsidTr="003D3069">
        <w:tc>
          <w:tcPr>
            <w:tcW w:w="6771" w:type="dxa"/>
          </w:tcPr>
          <w:p w14:paraId="07C8DCA5" w14:textId="77777777" w:rsidR="009E4F90" w:rsidRPr="00C328EF" w:rsidRDefault="009E4F90" w:rsidP="009E4F90">
            <w:pPr>
              <w:ind w:left="546"/>
              <w:rPr>
                <w:rFonts w:cs="Arial"/>
                <w:highlight w:val="yellow"/>
              </w:rPr>
            </w:pPr>
          </w:p>
        </w:tc>
        <w:tc>
          <w:tcPr>
            <w:tcW w:w="1275" w:type="dxa"/>
          </w:tcPr>
          <w:p w14:paraId="3FC54D6E" w14:textId="77777777" w:rsidR="009E4F90" w:rsidRPr="00B071A8" w:rsidRDefault="009E4F90" w:rsidP="009E4F90">
            <w:pPr>
              <w:ind w:right="78"/>
              <w:jc w:val="right"/>
            </w:pPr>
            <w:r w:rsidRPr="00B071A8">
              <w:rPr>
                <w:rFonts w:cs="Arial"/>
                <w:spacing w:val="-2"/>
              </w:rPr>
              <w:t>──────</w:t>
            </w:r>
          </w:p>
        </w:tc>
        <w:tc>
          <w:tcPr>
            <w:tcW w:w="284" w:type="dxa"/>
          </w:tcPr>
          <w:p w14:paraId="0F38443D" w14:textId="77777777" w:rsidR="009E4F90" w:rsidRPr="00C328EF" w:rsidRDefault="009E4F90" w:rsidP="009E4F90">
            <w:pPr>
              <w:jc w:val="right"/>
              <w:rPr>
                <w:rFonts w:cs="Arial"/>
                <w:highlight w:val="yellow"/>
              </w:rPr>
            </w:pPr>
          </w:p>
        </w:tc>
        <w:tc>
          <w:tcPr>
            <w:tcW w:w="1276" w:type="dxa"/>
          </w:tcPr>
          <w:p w14:paraId="7C9E9260" w14:textId="77777777" w:rsidR="009E4F90" w:rsidRPr="009E4F90" w:rsidRDefault="009E4F90" w:rsidP="009E4F90">
            <w:pPr>
              <w:ind w:right="78"/>
              <w:jc w:val="right"/>
            </w:pPr>
            <w:r w:rsidRPr="009E4F90">
              <w:rPr>
                <w:rFonts w:cs="Arial"/>
                <w:spacing w:val="-2"/>
              </w:rPr>
              <w:t>──────</w:t>
            </w:r>
          </w:p>
        </w:tc>
      </w:tr>
      <w:tr w:rsidR="009E4F90" w:rsidRPr="00C328EF" w14:paraId="5DBDA910" w14:textId="77777777" w:rsidTr="003D3069">
        <w:tc>
          <w:tcPr>
            <w:tcW w:w="6771" w:type="dxa"/>
          </w:tcPr>
          <w:p w14:paraId="5DC5C103" w14:textId="77777777" w:rsidR="009E4F90" w:rsidRPr="00C328EF" w:rsidRDefault="009E4F90" w:rsidP="009E4F90">
            <w:pPr>
              <w:ind w:left="546"/>
              <w:rPr>
                <w:rFonts w:cs="Arial"/>
                <w:highlight w:val="yellow"/>
              </w:rPr>
            </w:pPr>
          </w:p>
        </w:tc>
        <w:tc>
          <w:tcPr>
            <w:tcW w:w="1275" w:type="dxa"/>
          </w:tcPr>
          <w:p w14:paraId="068A8009" w14:textId="77777777" w:rsidR="009E4F90" w:rsidRPr="00B071A8" w:rsidRDefault="009E4F90" w:rsidP="009E4F90">
            <w:pPr>
              <w:suppressAutoHyphens/>
              <w:ind w:right="78"/>
              <w:jc w:val="right"/>
              <w:rPr>
                <w:rFonts w:cs="Arial"/>
                <w:spacing w:val="-2"/>
              </w:rPr>
            </w:pPr>
            <w:r w:rsidRPr="00B071A8">
              <w:rPr>
                <w:rFonts w:cs="Arial"/>
                <w:spacing w:val="-2"/>
              </w:rPr>
              <w:t>1</w:t>
            </w:r>
            <w:r w:rsidR="00B071A8" w:rsidRPr="00B071A8">
              <w:rPr>
                <w:rFonts w:cs="Arial"/>
                <w:spacing w:val="-2"/>
              </w:rPr>
              <w:t>8</w:t>
            </w:r>
            <w:r w:rsidRPr="00B071A8">
              <w:rPr>
                <w:rFonts w:cs="Arial"/>
                <w:spacing w:val="-2"/>
              </w:rPr>
              <w:t>,</w:t>
            </w:r>
            <w:r w:rsidR="00B071A8" w:rsidRPr="00B071A8">
              <w:rPr>
                <w:rFonts w:cs="Arial"/>
                <w:spacing w:val="-2"/>
              </w:rPr>
              <w:t>614</w:t>
            </w:r>
          </w:p>
        </w:tc>
        <w:tc>
          <w:tcPr>
            <w:tcW w:w="284" w:type="dxa"/>
          </w:tcPr>
          <w:p w14:paraId="0A5E9AFC" w14:textId="77777777" w:rsidR="009E4F90" w:rsidRPr="00C328EF" w:rsidRDefault="009E4F90" w:rsidP="009E4F90">
            <w:pPr>
              <w:jc w:val="right"/>
              <w:rPr>
                <w:rFonts w:cs="Arial"/>
                <w:highlight w:val="yellow"/>
              </w:rPr>
            </w:pPr>
          </w:p>
        </w:tc>
        <w:tc>
          <w:tcPr>
            <w:tcW w:w="1276" w:type="dxa"/>
          </w:tcPr>
          <w:p w14:paraId="6A6C747C" w14:textId="77777777" w:rsidR="009E4F90" w:rsidRPr="009E4F90" w:rsidRDefault="009E4F90" w:rsidP="009E4F90">
            <w:pPr>
              <w:suppressAutoHyphens/>
              <w:ind w:right="78"/>
              <w:jc w:val="right"/>
              <w:rPr>
                <w:rFonts w:cs="Arial"/>
                <w:spacing w:val="-2"/>
              </w:rPr>
            </w:pPr>
            <w:r w:rsidRPr="009E4F90">
              <w:rPr>
                <w:rFonts w:cs="Arial"/>
                <w:spacing w:val="-2"/>
              </w:rPr>
              <w:t>15,535</w:t>
            </w:r>
          </w:p>
        </w:tc>
      </w:tr>
      <w:tr w:rsidR="009E4F90" w:rsidRPr="00C328EF" w14:paraId="0D430178" w14:textId="77777777" w:rsidTr="003D3069">
        <w:tc>
          <w:tcPr>
            <w:tcW w:w="6771" w:type="dxa"/>
          </w:tcPr>
          <w:p w14:paraId="500BB9DB" w14:textId="77777777" w:rsidR="009E4F90" w:rsidRPr="00C328EF" w:rsidRDefault="009E4F90" w:rsidP="009E4F90">
            <w:pPr>
              <w:ind w:left="546"/>
              <w:rPr>
                <w:rFonts w:cs="Arial"/>
                <w:highlight w:val="yellow"/>
              </w:rPr>
            </w:pPr>
          </w:p>
        </w:tc>
        <w:tc>
          <w:tcPr>
            <w:tcW w:w="1275" w:type="dxa"/>
          </w:tcPr>
          <w:p w14:paraId="6CE5E7BD" w14:textId="77777777" w:rsidR="009E4F90" w:rsidRPr="00B071A8" w:rsidRDefault="009E4F90" w:rsidP="009E4F90">
            <w:pPr>
              <w:ind w:right="78"/>
              <w:jc w:val="right"/>
            </w:pPr>
            <w:r w:rsidRPr="00B071A8">
              <w:rPr>
                <w:rFonts w:cs="Arial"/>
                <w:spacing w:val="-2"/>
              </w:rPr>
              <w:t>══════</w:t>
            </w:r>
          </w:p>
        </w:tc>
        <w:tc>
          <w:tcPr>
            <w:tcW w:w="284" w:type="dxa"/>
          </w:tcPr>
          <w:p w14:paraId="4AF82E0D" w14:textId="77777777" w:rsidR="009E4F90" w:rsidRPr="00C328EF" w:rsidRDefault="009E4F90" w:rsidP="009E4F90">
            <w:pPr>
              <w:jc w:val="right"/>
              <w:rPr>
                <w:rFonts w:cs="Arial"/>
                <w:highlight w:val="yellow"/>
              </w:rPr>
            </w:pPr>
          </w:p>
        </w:tc>
        <w:tc>
          <w:tcPr>
            <w:tcW w:w="1276" w:type="dxa"/>
          </w:tcPr>
          <w:p w14:paraId="2E0B943F" w14:textId="77777777" w:rsidR="009E4F90" w:rsidRPr="009E4F90" w:rsidRDefault="009E4F90" w:rsidP="009E4F90">
            <w:pPr>
              <w:ind w:right="78"/>
              <w:jc w:val="right"/>
            </w:pPr>
            <w:r w:rsidRPr="009E4F90">
              <w:rPr>
                <w:rFonts w:cs="Arial"/>
                <w:spacing w:val="-2"/>
              </w:rPr>
              <w:t>══════</w:t>
            </w:r>
          </w:p>
        </w:tc>
      </w:tr>
    </w:tbl>
    <w:p w14:paraId="5E9BFE22" w14:textId="77777777" w:rsidR="00160F71" w:rsidRPr="0085645E" w:rsidRDefault="00160F71" w:rsidP="00DB21F8">
      <w:pPr>
        <w:jc w:val="both"/>
      </w:pPr>
    </w:p>
    <w:p w14:paraId="21713845" w14:textId="77777777" w:rsidR="008B17D7" w:rsidRPr="009E4F90" w:rsidRDefault="008B17D7" w:rsidP="008B17D7">
      <w:pPr>
        <w:jc w:val="both"/>
      </w:pPr>
      <w:r w:rsidRPr="0085645E">
        <w:t>The</w:t>
      </w:r>
      <w:r w:rsidRPr="009E4F90">
        <w:t xml:space="preserve"> above related party transactions are for the receipt of route support and management services and include payments for rent and rates etc.  All transactions are conducted on an arm’s length basis.</w:t>
      </w:r>
    </w:p>
    <w:p w14:paraId="0F886159" w14:textId="77777777" w:rsidR="008B17D7" w:rsidRPr="009E4F90" w:rsidRDefault="008B17D7" w:rsidP="008B17D7">
      <w:pPr>
        <w:jc w:val="both"/>
      </w:pPr>
    </w:p>
    <w:tbl>
      <w:tblPr>
        <w:tblW w:w="9606" w:type="dxa"/>
        <w:tblLayout w:type="fixed"/>
        <w:tblLook w:val="01E0" w:firstRow="1" w:lastRow="1" w:firstColumn="1" w:lastColumn="1" w:noHBand="0" w:noVBand="0"/>
      </w:tblPr>
      <w:tblGrid>
        <w:gridCol w:w="6771"/>
        <w:gridCol w:w="1275"/>
        <w:gridCol w:w="284"/>
        <w:gridCol w:w="1276"/>
      </w:tblGrid>
      <w:tr w:rsidR="00D466EE" w:rsidRPr="009E4F90" w14:paraId="14597F14" w14:textId="77777777" w:rsidTr="003D3069">
        <w:tc>
          <w:tcPr>
            <w:tcW w:w="6771" w:type="dxa"/>
          </w:tcPr>
          <w:p w14:paraId="7E0B423C" w14:textId="77777777" w:rsidR="00D466EE" w:rsidRPr="009E4F90" w:rsidRDefault="009531FB" w:rsidP="00D466EE">
            <w:pPr>
              <w:rPr>
                <w:rFonts w:cs="Arial"/>
              </w:rPr>
            </w:pPr>
            <w:r w:rsidRPr="009E4F90">
              <w:rPr>
                <w:i/>
              </w:rPr>
              <w:t>(c) Reimbursement of expenses incurred:</w:t>
            </w:r>
          </w:p>
        </w:tc>
        <w:tc>
          <w:tcPr>
            <w:tcW w:w="1275" w:type="dxa"/>
          </w:tcPr>
          <w:p w14:paraId="10F8ECC3" w14:textId="77777777" w:rsidR="00D466EE" w:rsidRPr="009E4F90" w:rsidRDefault="000A5878" w:rsidP="003D3069">
            <w:pPr>
              <w:tabs>
                <w:tab w:val="right" w:pos="1032"/>
              </w:tabs>
              <w:suppressAutoHyphens/>
              <w:ind w:left="-102" w:right="27" w:hanging="2"/>
              <w:jc w:val="right"/>
              <w:rPr>
                <w:rFonts w:cs="Arial"/>
                <w:b/>
                <w:spacing w:val="-2"/>
              </w:rPr>
            </w:pPr>
            <w:r>
              <w:rPr>
                <w:rFonts w:cs="Arial"/>
                <w:b/>
                <w:spacing w:val="-2"/>
              </w:rPr>
              <w:t>28/12/</w:t>
            </w:r>
            <w:r w:rsidR="00D466EE" w:rsidRPr="009E4F90">
              <w:rPr>
                <w:rFonts w:cs="Arial"/>
                <w:b/>
                <w:spacing w:val="-2"/>
              </w:rPr>
              <w:t>20</w:t>
            </w:r>
            <w:r w:rsidR="003E094E" w:rsidRPr="009E4F90">
              <w:rPr>
                <w:rFonts w:cs="Arial"/>
                <w:b/>
                <w:spacing w:val="-2"/>
              </w:rPr>
              <w:t>2</w:t>
            </w:r>
            <w:r w:rsidR="009E4F90">
              <w:rPr>
                <w:rFonts w:cs="Arial"/>
                <w:b/>
                <w:spacing w:val="-2"/>
              </w:rPr>
              <w:t>4</w:t>
            </w:r>
          </w:p>
        </w:tc>
        <w:tc>
          <w:tcPr>
            <w:tcW w:w="284" w:type="dxa"/>
          </w:tcPr>
          <w:p w14:paraId="389FBD25" w14:textId="77777777" w:rsidR="00D466EE" w:rsidRPr="009E4F90" w:rsidRDefault="00D466EE" w:rsidP="00D466EE">
            <w:pPr>
              <w:jc w:val="right"/>
              <w:rPr>
                <w:rFonts w:cs="Arial"/>
                <w:b/>
              </w:rPr>
            </w:pPr>
          </w:p>
        </w:tc>
        <w:tc>
          <w:tcPr>
            <w:tcW w:w="1276" w:type="dxa"/>
          </w:tcPr>
          <w:p w14:paraId="63281925" w14:textId="77777777" w:rsidR="00D466EE" w:rsidRPr="009E4F90" w:rsidRDefault="000A5878" w:rsidP="003D3069">
            <w:pPr>
              <w:suppressAutoHyphens/>
              <w:ind w:left="-103" w:right="95"/>
              <w:jc w:val="right"/>
              <w:rPr>
                <w:rFonts w:cs="Arial"/>
                <w:b/>
                <w:spacing w:val="-2"/>
              </w:rPr>
            </w:pPr>
            <w:r>
              <w:rPr>
                <w:rFonts w:cs="Arial"/>
                <w:b/>
                <w:spacing w:val="-2"/>
              </w:rPr>
              <w:t>30/12/</w:t>
            </w:r>
            <w:r w:rsidR="00D466EE" w:rsidRPr="009E4F90">
              <w:rPr>
                <w:rFonts w:cs="Arial"/>
                <w:b/>
                <w:spacing w:val="-2"/>
              </w:rPr>
              <w:t>20</w:t>
            </w:r>
            <w:r w:rsidR="0033231B" w:rsidRPr="009E4F90">
              <w:rPr>
                <w:rFonts w:cs="Arial"/>
                <w:b/>
                <w:spacing w:val="-2"/>
              </w:rPr>
              <w:t>2</w:t>
            </w:r>
            <w:r w:rsidR="009E4F90">
              <w:rPr>
                <w:rFonts w:cs="Arial"/>
                <w:b/>
                <w:spacing w:val="-2"/>
              </w:rPr>
              <w:t>3</w:t>
            </w:r>
          </w:p>
        </w:tc>
      </w:tr>
      <w:tr w:rsidR="00D466EE" w:rsidRPr="009E4F90" w14:paraId="687FC3AC" w14:textId="77777777" w:rsidTr="003D3069">
        <w:tc>
          <w:tcPr>
            <w:tcW w:w="6771" w:type="dxa"/>
          </w:tcPr>
          <w:p w14:paraId="486CE58D" w14:textId="77777777" w:rsidR="00D466EE" w:rsidRPr="009E4F90" w:rsidRDefault="00D466EE" w:rsidP="00D466EE">
            <w:pPr>
              <w:ind w:left="546"/>
              <w:rPr>
                <w:rFonts w:cs="Arial"/>
              </w:rPr>
            </w:pPr>
          </w:p>
        </w:tc>
        <w:tc>
          <w:tcPr>
            <w:tcW w:w="1275" w:type="dxa"/>
          </w:tcPr>
          <w:p w14:paraId="14AF3069" w14:textId="77777777" w:rsidR="00D466EE" w:rsidRPr="009E4F90" w:rsidRDefault="00D466EE" w:rsidP="003D3069">
            <w:pPr>
              <w:suppressAutoHyphens/>
              <w:ind w:left="-102" w:right="33" w:hanging="2"/>
              <w:jc w:val="right"/>
              <w:rPr>
                <w:rFonts w:cs="Arial"/>
                <w:b/>
                <w:spacing w:val="-2"/>
              </w:rPr>
            </w:pPr>
            <w:r w:rsidRPr="009E4F90">
              <w:rPr>
                <w:rFonts w:cs="Arial"/>
                <w:b/>
                <w:spacing w:val="-2"/>
              </w:rPr>
              <w:t>£’000</w:t>
            </w:r>
          </w:p>
        </w:tc>
        <w:tc>
          <w:tcPr>
            <w:tcW w:w="284" w:type="dxa"/>
          </w:tcPr>
          <w:p w14:paraId="1FE0EBFC" w14:textId="77777777" w:rsidR="00D466EE" w:rsidRPr="009E4F90" w:rsidRDefault="00D466EE" w:rsidP="00D466EE">
            <w:pPr>
              <w:jc w:val="right"/>
              <w:rPr>
                <w:rFonts w:cs="Arial"/>
                <w:b/>
              </w:rPr>
            </w:pPr>
          </w:p>
        </w:tc>
        <w:tc>
          <w:tcPr>
            <w:tcW w:w="1276" w:type="dxa"/>
          </w:tcPr>
          <w:p w14:paraId="12C9F319" w14:textId="77777777" w:rsidR="00D466EE" w:rsidRPr="009E4F90" w:rsidRDefault="00D466EE" w:rsidP="00D466EE">
            <w:pPr>
              <w:suppressAutoHyphens/>
              <w:ind w:right="126"/>
              <w:jc w:val="right"/>
              <w:rPr>
                <w:rFonts w:cs="Arial"/>
                <w:b/>
                <w:spacing w:val="-2"/>
              </w:rPr>
            </w:pPr>
            <w:r w:rsidRPr="009E4F90">
              <w:rPr>
                <w:rFonts w:cs="Arial"/>
                <w:b/>
                <w:spacing w:val="-2"/>
              </w:rPr>
              <w:t>£’000</w:t>
            </w:r>
          </w:p>
        </w:tc>
      </w:tr>
      <w:tr w:rsidR="00D466EE" w:rsidRPr="009E4F90" w14:paraId="03FF0AC4" w14:textId="77777777" w:rsidTr="003D3069">
        <w:tc>
          <w:tcPr>
            <w:tcW w:w="6771" w:type="dxa"/>
          </w:tcPr>
          <w:p w14:paraId="0882832A" w14:textId="77777777" w:rsidR="00D466EE" w:rsidRPr="009E4F90" w:rsidRDefault="00D466EE" w:rsidP="00D466EE">
            <w:pPr>
              <w:ind w:left="546"/>
              <w:rPr>
                <w:rFonts w:cs="Arial"/>
              </w:rPr>
            </w:pPr>
          </w:p>
        </w:tc>
        <w:tc>
          <w:tcPr>
            <w:tcW w:w="1275" w:type="dxa"/>
          </w:tcPr>
          <w:p w14:paraId="11EEA865" w14:textId="77777777" w:rsidR="00D466EE" w:rsidRPr="009E4F90" w:rsidRDefault="00D466EE" w:rsidP="003D3069">
            <w:pPr>
              <w:ind w:left="-102" w:hanging="2"/>
              <w:rPr>
                <w:rFonts w:cs="Arial"/>
              </w:rPr>
            </w:pPr>
          </w:p>
        </w:tc>
        <w:tc>
          <w:tcPr>
            <w:tcW w:w="284" w:type="dxa"/>
          </w:tcPr>
          <w:p w14:paraId="0BBEDEC5" w14:textId="77777777" w:rsidR="00D466EE" w:rsidRPr="009E4F90" w:rsidRDefault="00D466EE" w:rsidP="00D466EE">
            <w:pPr>
              <w:rPr>
                <w:rFonts w:cs="Arial"/>
              </w:rPr>
            </w:pPr>
          </w:p>
        </w:tc>
        <w:tc>
          <w:tcPr>
            <w:tcW w:w="1276" w:type="dxa"/>
          </w:tcPr>
          <w:p w14:paraId="3474E842" w14:textId="77777777" w:rsidR="00D466EE" w:rsidRPr="009E4F90" w:rsidRDefault="00D466EE" w:rsidP="00D466EE">
            <w:pPr>
              <w:rPr>
                <w:rFonts w:cs="Arial"/>
              </w:rPr>
            </w:pPr>
          </w:p>
        </w:tc>
      </w:tr>
      <w:tr w:rsidR="00D466EE" w:rsidRPr="00B071A8" w14:paraId="08251352" w14:textId="77777777" w:rsidTr="003D3069">
        <w:tc>
          <w:tcPr>
            <w:tcW w:w="6771" w:type="dxa"/>
          </w:tcPr>
          <w:p w14:paraId="6A4CAC0F" w14:textId="77777777" w:rsidR="00D466EE" w:rsidRPr="00B071A8" w:rsidRDefault="00D466EE" w:rsidP="00D466EE">
            <w:pPr>
              <w:ind w:left="546"/>
              <w:rPr>
                <w:rFonts w:cs="Arial"/>
              </w:rPr>
            </w:pPr>
            <w:r w:rsidRPr="00B071A8">
              <w:rPr>
                <w:rFonts w:cs="Arial"/>
              </w:rPr>
              <w:t>City of Edinburgh Council (</w:t>
            </w:r>
            <w:r w:rsidR="0083758E" w:rsidRPr="00B071A8">
              <w:rPr>
                <w:rFonts w:cs="Arial"/>
              </w:rPr>
              <w:t>U</w:t>
            </w:r>
            <w:r w:rsidRPr="00B071A8">
              <w:rPr>
                <w:rFonts w:cs="Arial"/>
              </w:rPr>
              <w:t xml:space="preserve">ltimate </w:t>
            </w:r>
            <w:r w:rsidR="0083758E" w:rsidRPr="00B071A8">
              <w:rPr>
                <w:rFonts w:cs="Arial"/>
              </w:rPr>
              <w:t>P</w:t>
            </w:r>
            <w:r w:rsidRPr="00B071A8">
              <w:rPr>
                <w:rFonts w:cs="Arial"/>
              </w:rPr>
              <w:t>arent)</w:t>
            </w:r>
          </w:p>
        </w:tc>
        <w:tc>
          <w:tcPr>
            <w:tcW w:w="1275" w:type="dxa"/>
          </w:tcPr>
          <w:p w14:paraId="1A71B7C2" w14:textId="77777777" w:rsidR="00D466EE" w:rsidRPr="00B071A8" w:rsidRDefault="00B071A8" w:rsidP="003D3069">
            <w:pPr>
              <w:suppressAutoHyphens/>
              <w:ind w:left="-102" w:right="78" w:hanging="2"/>
              <w:jc w:val="right"/>
              <w:rPr>
                <w:rFonts w:cs="Arial"/>
                <w:spacing w:val="-2"/>
              </w:rPr>
            </w:pPr>
            <w:r w:rsidRPr="00B071A8">
              <w:rPr>
                <w:rFonts w:cs="Arial"/>
                <w:spacing w:val="-2"/>
              </w:rPr>
              <w:t>5,729</w:t>
            </w:r>
          </w:p>
        </w:tc>
        <w:tc>
          <w:tcPr>
            <w:tcW w:w="284" w:type="dxa"/>
          </w:tcPr>
          <w:p w14:paraId="17A34E11" w14:textId="77777777" w:rsidR="00D466EE" w:rsidRPr="00B071A8" w:rsidRDefault="00D466EE" w:rsidP="00D466EE">
            <w:pPr>
              <w:jc w:val="right"/>
              <w:rPr>
                <w:rFonts w:cs="Arial"/>
              </w:rPr>
            </w:pPr>
          </w:p>
        </w:tc>
        <w:tc>
          <w:tcPr>
            <w:tcW w:w="1276" w:type="dxa"/>
          </w:tcPr>
          <w:p w14:paraId="6EF6ABAE" w14:textId="77777777" w:rsidR="00D466EE" w:rsidRPr="00B071A8" w:rsidRDefault="009E4F90" w:rsidP="003D3069">
            <w:pPr>
              <w:suppressAutoHyphens/>
              <w:ind w:right="78"/>
              <w:jc w:val="right"/>
              <w:rPr>
                <w:rFonts w:cs="Arial"/>
                <w:spacing w:val="-2"/>
              </w:rPr>
            </w:pPr>
            <w:r w:rsidRPr="00B071A8">
              <w:rPr>
                <w:rFonts w:cs="Arial"/>
                <w:spacing w:val="-2"/>
              </w:rPr>
              <w:t>4,187</w:t>
            </w:r>
          </w:p>
        </w:tc>
      </w:tr>
      <w:tr w:rsidR="00D466EE" w:rsidRPr="00B071A8" w14:paraId="091702F8" w14:textId="77777777" w:rsidTr="003D3069">
        <w:tc>
          <w:tcPr>
            <w:tcW w:w="6771" w:type="dxa"/>
          </w:tcPr>
          <w:p w14:paraId="1162F3DA" w14:textId="77777777" w:rsidR="00D466EE" w:rsidRPr="00B071A8" w:rsidRDefault="00D466EE" w:rsidP="00D466EE">
            <w:pPr>
              <w:ind w:left="546"/>
              <w:rPr>
                <w:rFonts w:cs="Arial"/>
              </w:rPr>
            </w:pPr>
          </w:p>
        </w:tc>
        <w:tc>
          <w:tcPr>
            <w:tcW w:w="1275" w:type="dxa"/>
          </w:tcPr>
          <w:p w14:paraId="1C31BB7A" w14:textId="77777777" w:rsidR="00D466EE" w:rsidRPr="00B071A8" w:rsidRDefault="00D466EE" w:rsidP="003D3069">
            <w:pPr>
              <w:ind w:left="-102" w:right="78" w:hanging="2"/>
              <w:jc w:val="right"/>
            </w:pPr>
            <w:r w:rsidRPr="00B071A8">
              <w:rPr>
                <w:rFonts w:cs="Arial"/>
                <w:spacing w:val="-2"/>
              </w:rPr>
              <w:t>══════</w:t>
            </w:r>
          </w:p>
        </w:tc>
        <w:tc>
          <w:tcPr>
            <w:tcW w:w="284" w:type="dxa"/>
          </w:tcPr>
          <w:p w14:paraId="3AF20386" w14:textId="77777777" w:rsidR="00D466EE" w:rsidRPr="00B071A8" w:rsidRDefault="00D466EE" w:rsidP="00D466EE">
            <w:pPr>
              <w:jc w:val="right"/>
              <w:rPr>
                <w:rFonts w:cs="Arial"/>
              </w:rPr>
            </w:pPr>
          </w:p>
        </w:tc>
        <w:tc>
          <w:tcPr>
            <w:tcW w:w="1276" w:type="dxa"/>
          </w:tcPr>
          <w:p w14:paraId="717DFB1A" w14:textId="77777777" w:rsidR="00D466EE" w:rsidRPr="00B071A8" w:rsidRDefault="00D466EE" w:rsidP="00D466EE">
            <w:pPr>
              <w:ind w:right="78"/>
              <w:jc w:val="right"/>
            </w:pPr>
            <w:r w:rsidRPr="00B071A8">
              <w:rPr>
                <w:rFonts w:cs="Arial"/>
                <w:spacing w:val="-2"/>
              </w:rPr>
              <w:t>══════</w:t>
            </w:r>
          </w:p>
        </w:tc>
      </w:tr>
    </w:tbl>
    <w:p w14:paraId="52D99492" w14:textId="77777777" w:rsidR="008B17D7" w:rsidRPr="009E4F90" w:rsidRDefault="008B17D7" w:rsidP="008B17D7">
      <w:pPr>
        <w:jc w:val="both"/>
        <w:rPr>
          <w:i/>
        </w:rPr>
      </w:pPr>
    </w:p>
    <w:tbl>
      <w:tblPr>
        <w:tblW w:w="9606" w:type="dxa"/>
        <w:tblLayout w:type="fixed"/>
        <w:tblLook w:val="01E0" w:firstRow="1" w:lastRow="1" w:firstColumn="1" w:lastColumn="1" w:noHBand="0" w:noVBand="0"/>
      </w:tblPr>
      <w:tblGrid>
        <w:gridCol w:w="6771"/>
        <w:gridCol w:w="1275"/>
        <w:gridCol w:w="284"/>
        <w:gridCol w:w="1276"/>
      </w:tblGrid>
      <w:tr w:rsidR="00D466EE" w:rsidRPr="009E4F90" w14:paraId="2585F215" w14:textId="77777777" w:rsidTr="00BF72BA">
        <w:tc>
          <w:tcPr>
            <w:tcW w:w="6771" w:type="dxa"/>
          </w:tcPr>
          <w:p w14:paraId="002592E3" w14:textId="77777777" w:rsidR="00D466EE" w:rsidRPr="009E4F90" w:rsidRDefault="009531FB" w:rsidP="00D466EE">
            <w:pPr>
              <w:rPr>
                <w:rFonts w:cs="Arial"/>
              </w:rPr>
            </w:pPr>
            <w:r w:rsidRPr="009E4F90">
              <w:rPr>
                <w:i/>
              </w:rPr>
              <w:t>(d) Year-end balances arising from sales/purchases of goods/services</w:t>
            </w:r>
          </w:p>
        </w:tc>
        <w:tc>
          <w:tcPr>
            <w:tcW w:w="1275" w:type="dxa"/>
          </w:tcPr>
          <w:p w14:paraId="3C80CCE1" w14:textId="77777777" w:rsidR="00D466EE" w:rsidRPr="009E4F90" w:rsidRDefault="000A5878" w:rsidP="00BF72BA">
            <w:pPr>
              <w:suppressAutoHyphens/>
              <w:ind w:right="33"/>
              <w:jc w:val="right"/>
              <w:rPr>
                <w:rFonts w:cs="Arial"/>
                <w:b/>
                <w:spacing w:val="-2"/>
              </w:rPr>
            </w:pPr>
            <w:r>
              <w:rPr>
                <w:rFonts w:cs="Arial"/>
                <w:b/>
                <w:spacing w:val="-2"/>
              </w:rPr>
              <w:t>2</w:t>
            </w:r>
            <w:r w:rsidR="003B7A8B">
              <w:rPr>
                <w:rFonts w:cs="Arial"/>
                <w:b/>
                <w:spacing w:val="-2"/>
              </w:rPr>
              <w:t>8/12/</w:t>
            </w:r>
            <w:r w:rsidR="00D466EE" w:rsidRPr="009E4F90">
              <w:rPr>
                <w:rFonts w:cs="Arial"/>
                <w:b/>
                <w:spacing w:val="-2"/>
              </w:rPr>
              <w:t>20</w:t>
            </w:r>
            <w:r w:rsidR="000E5149" w:rsidRPr="009E4F90">
              <w:rPr>
                <w:rFonts w:cs="Arial"/>
                <w:b/>
                <w:spacing w:val="-2"/>
              </w:rPr>
              <w:t>2</w:t>
            </w:r>
            <w:r w:rsidR="009E4F90">
              <w:rPr>
                <w:rFonts w:cs="Arial"/>
                <w:b/>
                <w:spacing w:val="-2"/>
              </w:rPr>
              <w:t>4</w:t>
            </w:r>
          </w:p>
        </w:tc>
        <w:tc>
          <w:tcPr>
            <w:tcW w:w="284" w:type="dxa"/>
          </w:tcPr>
          <w:p w14:paraId="3440B958" w14:textId="77777777" w:rsidR="00D466EE" w:rsidRPr="009E4F90" w:rsidRDefault="00D466EE" w:rsidP="00D466EE">
            <w:pPr>
              <w:suppressAutoHyphens/>
              <w:ind w:right="126"/>
              <w:jc w:val="right"/>
              <w:rPr>
                <w:rFonts w:cs="Arial"/>
                <w:b/>
                <w:spacing w:val="-2"/>
              </w:rPr>
            </w:pPr>
          </w:p>
        </w:tc>
        <w:tc>
          <w:tcPr>
            <w:tcW w:w="1276" w:type="dxa"/>
          </w:tcPr>
          <w:p w14:paraId="32133285" w14:textId="77777777" w:rsidR="00D466EE" w:rsidRPr="009E4F90" w:rsidRDefault="003B7A8B" w:rsidP="00BF72BA">
            <w:pPr>
              <w:suppressAutoHyphens/>
              <w:ind w:right="34"/>
              <w:jc w:val="right"/>
              <w:rPr>
                <w:rFonts w:cs="Arial"/>
                <w:b/>
                <w:spacing w:val="-2"/>
              </w:rPr>
            </w:pPr>
            <w:r>
              <w:rPr>
                <w:rFonts w:cs="Arial"/>
                <w:b/>
                <w:spacing w:val="-2"/>
              </w:rPr>
              <w:t>30/12/</w:t>
            </w:r>
            <w:r w:rsidR="00D466EE" w:rsidRPr="009E4F90">
              <w:rPr>
                <w:rFonts w:cs="Arial"/>
                <w:b/>
                <w:spacing w:val="-2"/>
              </w:rPr>
              <w:t>2</w:t>
            </w:r>
            <w:r w:rsidR="0033231B" w:rsidRPr="009E4F90">
              <w:rPr>
                <w:rFonts w:cs="Arial"/>
                <w:b/>
                <w:spacing w:val="-2"/>
              </w:rPr>
              <w:t>02</w:t>
            </w:r>
            <w:r w:rsidR="009E4F90">
              <w:rPr>
                <w:rFonts w:cs="Arial"/>
                <w:b/>
                <w:spacing w:val="-2"/>
              </w:rPr>
              <w:t>3</w:t>
            </w:r>
          </w:p>
        </w:tc>
      </w:tr>
      <w:tr w:rsidR="00D466EE" w:rsidRPr="009E4F90" w14:paraId="6EFC4120" w14:textId="77777777" w:rsidTr="00BF72BA">
        <w:tc>
          <w:tcPr>
            <w:tcW w:w="6771" w:type="dxa"/>
          </w:tcPr>
          <w:p w14:paraId="1EA4DA56" w14:textId="77777777" w:rsidR="00D466EE" w:rsidRPr="009E4F90" w:rsidRDefault="00D466EE" w:rsidP="00D466EE">
            <w:pPr>
              <w:ind w:left="546"/>
              <w:rPr>
                <w:rFonts w:cs="Arial"/>
              </w:rPr>
            </w:pPr>
          </w:p>
        </w:tc>
        <w:tc>
          <w:tcPr>
            <w:tcW w:w="1275" w:type="dxa"/>
          </w:tcPr>
          <w:p w14:paraId="3558CC64" w14:textId="77777777" w:rsidR="00D466EE" w:rsidRPr="009E4F90" w:rsidRDefault="00D466EE" w:rsidP="00BF72BA">
            <w:pPr>
              <w:suppressAutoHyphens/>
              <w:ind w:right="33"/>
              <w:jc w:val="right"/>
              <w:rPr>
                <w:rFonts w:cs="Arial"/>
                <w:b/>
                <w:spacing w:val="-2"/>
              </w:rPr>
            </w:pPr>
            <w:r w:rsidRPr="009E4F90">
              <w:rPr>
                <w:rFonts w:cs="Arial"/>
                <w:b/>
                <w:spacing w:val="-2"/>
              </w:rPr>
              <w:t>£’000</w:t>
            </w:r>
          </w:p>
        </w:tc>
        <w:tc>
          <w:tcPr>
            <w:tcW w:w="284" w:type="dxa"/>
          </w:tcPr>
          <w:p w14:paraId="2AA5E62E" w14:textId="77777777" w:rsidR="00D466EE" w:rsidRPr="009E4F90" w:rsidRDefault="00D466EE" w:rsidP="00D466EE">
            <w:pPr>
              <w:suppressAutoHyphens/>
              <w:ind w:right="126"/>
              <w:jc w:val="right"/>
              <w:rPr>
                <w:rFonts w:cs="Arial"/>
                <w:b/>
                <w:spacing w:val="-2"/>
              </w:rPr>
            </w:pPr>
          </w:p>
        </w:tc>
        <w:tc>
          <w:tcPr>
            <w:tcW w:w="1276" w:type="dxa"/>
          </w:tcPr>
          <w:p w14:paraId="397C41FC" w14:textId="77777777" w:rsidR="00D466EE" w:rsidRPr="009E4F90" w:rsidRDefault="00D466EE" w:rsidP="00BF72BA">
            <w:pPr>
              <w:suppressAutoHyphens/>
              <w:ind w:right="34"/>
              <w:jc w:val="right"/>
              <w:rPr>
                <w:rFonts w:cs="Arial"/>
                <w:b/>
                <w:spacing w:val="-2"/>
              </w:rPr>
            </w:pPr>
            <w:r w:rsidRPr="009E4F90">
              <w:rPr>
                <w:rFonts w:cs="Arial"/>
                <w:b/>
                <w:spacing w:val="-2"/>
              </w:rPr>
              <w:t>£’000</w:t>
            </w:r>
          </w:p>
        </w:tc>
      </w:tr>
      <w:tr w:rsidR="00D466EE" w:rsidRPr="009E4F90" w14:paraId="1E01FC0E" w14:textId="77777777" w:rsidTr="00BF72BA">
        <w:tc>
          <w:tcPr>
            <w:tcW w:w="6771" w:type="dxa"/>
          </w:tcPr>
          <w:p w14:paraId="5E5B6DFF" w14:textId="77777777" w:rsidR="00D466EE" w:rsidRPr="009E4F90" w:rsidRDefault="00D466EE" w:rsidP="00D466EE">
            <w:pPr>
              <w:ind w:left="546"/>
              <w:rPr>
                <w:rFonts w:cs="Arial"/>
                <w:u w:val="single"/>
              </w:rPr>
            </w:pPr>
            <w:r w:rsidRPr="009E4F90">
              <w:rPr>
                <w:rFonts w:cs="Arial"/>
                <w:u w:val="single"/>
              </w:rPr>
              <w:t>Receivables from related parties</w:t>
            </w:r>
          </w:p>
        </w:tc>
        <w:tc>
          <w:tcPr>
            <w:tcW w:w="1275" w:type="dxa"/>
          </w:tcPr>
          <w:p w14:paraId="7497B5C3" w14:textId="77777777" w:rsidR="00D466EE" w:rsidRPr="009E4F90" w:rsidRDefault="00D466EE" w:rsidP="00BF72BA">
            <w:pPr>
              <w:ind w:right="33"/>
              <w:jc w:val="right"/>
              <w:rPr>
                <w:rFonts w:cs="Arial"/>
              </w:rPr>
            </w:pPr>
          </w:p>
        </w:tc>
        <w:tc>
          <w:tcPr>
            <w:tcW w:w="284" w:type="dxa"/>
          </w:tcPr>
          <w:p w14:paraId="7B24E9C8" w14:textId="77777777" w:rsidR="00D466EE" w:rsidRPr="009E4F90" w:rsidRDefault="00D466EE" w:rsidP="00D466EE">
            <w:pPr>
              <w:rPr>
                <w:rFonts w:cs="Arial"/>
              </w:rPr>
            </w:pPr>
          </w:p>
        </w:tc>
        <w:tc>
          <w:tcPr>
            <w:tcW w:w="1276" w:type="dxa"/>
          </w:tcPr>
          <w:p w14:paraId="522985E1" w14:textId="77777777" w:rsidR="00D466EE" w:rsidRPr="009E4F90" w:rsidRDefault="00D466EE" w:rsidP="00BF72BA">
            <w:pPr>
              <w:ind w:right="34"/>
              <w:jc w:val="right"/>
              <w:rPr>
                <w:rFonts w:cs="Arial"/>
              </w:rPr>
            </w:pPr>
          </w:p>
        </w:tc>
      </w:tr>
      <w:tr w:rsidR="009E4F90" w:rsidRPr="00C328EF" w14:paraId="43E84449" w14:textId="77777777" w:rsidTr="00BF72BA">
        <w:tc>
          <w:tcPr>
            <w:tcW w:w="6771" w:type="dxa"/>
          </w:tcPr>
          <w:p w14:paraId="4D2F6D77" w14:textId="77777777" w:rsidR="009E4F90" w:rsidRPr="009E4F90" w:rsidRDefault="009E4F90" w:rsidP="009E4F90">
            <w:pPr>
              <w:ind w:left="546"/>
              <w:rPr>
                <w:rFonts w:cs="Arial"/>
              </w:rPr>
            </w:pPr>
            <w:r w:rsidRPr="009E4F90">
              <w:rPr>
                <w:rFonts w:cs="Arial"/>
              </w:rPr>
              <w:t>City of Edinburgh Council (Ultimate Parent)</w:t>
            </w:r>
          </w:p>
        </w:tc>
        <w:tc>
          <w:tcPr>
            <w:tcW w:w="1275" w:type="dxa"/>
          </w:tcPr>
          <w:p w14:paraId="2F8759E7" w14:textId="77777777" w:rsidR="009E4F90" w:rsidRPr="00C328EF" w:rsidRDefault="00B071A8" w:rsidP="00BF72BA">
            <w:pPr>
              <w:ind w:right="33"/>
              <w:jc w:val="right"/>
              <w:rPr>
                <w:rFonts w:cs="Arial"/>
                <w:highlight w:val="yellow"/>
              </w:rPr>
            </w:pPr>
            <w:r w:rsidRPr="00B071A8">
              <w:rPr>
                <w:rFonts w:cs="Arial"/>
              </w:rPr>
              <w:t>4,820</w:t>
            </w:r>
          </w:p>
        </w:tc>
        <w:tc>
          <w:tcPr>
            <w:tcW w:w="284" w:type="dxa"/>
          </w:tcPr>
          <w:p w14:paraId="7690CD6E" w14:textId="77777777" w:rsidR="009E4F90" w:rsidRPr="00C328EF" w:rsidRDefault="009E4F90" w:rsidP="009E4F90">
            <w:pPr>
              <w:ind w:right="126"/>
              <w:jc w:val="right"/>
              <w:rPr>
                <w:rFonts w:cs="Arial"/>
                <w:highlight w:val="yellow"/>
              </w:rPr>
            </w:pPr>
          </w:p>
        </w:tc>
        <w:tc>
          <w:tcPr>
            <w:tcW w:w="1276" w:type="dxa"/>
          </w:tcPr>
          <w:p w14:paraId="2C25DEFC" w14:textId="77777777" w:rsidR="009E4F90" w:rsidRPr="009E4F90" w:rsidRDefault="009E4F90" w:rsidP="00BF72BA">
            <w:pPr>
              <w:ind w:right="34"/>
              <w:jc w:val="right"/>
              <w:rPr>
                <w:rFonts w:cs="Arial"/>
              </w:rPr>
            </w:pPr>
            <w:r w:rsidRPr="009E4F90">
              <w:rPr>
                <w:rFonts w:cs="Arial"/>
              </w:rPr>
              <w:t>3,415</w:t>
            </w:r>
          </w:p>
        </w:tc>
      </w:tr>
      <w:tr w:rsidR="009E4F90" w:rsidRPr="00C328EF" w14:paraId="21F4458A" w14:textId="77777777" w:rsidTr="00BF72BA">
        <w:tc>
          <w:tcPr>
            <w:tcW w:w="6771" w:type="dxa"/>
          </w:tcPr>
          <w:p w14:paraId="40907D16" w14:textId="77777777" w:rsidR="009E4F90" w:rsidRPr="009E4F90" w:rsidRDefault="009E4F90" w:rsidP="009E4F90">
            <w:pPr>
              <w:ind w:left="546"/>
              <w:rPr>
                <w:rFonts w:cs="Arial"/>
              </w:rPr>
            </w:pPr>
            <w:r w:rsidRPr="009E4F90">
              <w:rPr>
                <w:rFonts w:cs="Arial"/>
              </w:rPr>
              <w:t>East Lothian Council (Shareholder)</w:t>
            </w:r>
          </w:p>
        </w:tc>
        <w:tc>
          <w:tcPr>
            <w:tcW w:w="1275" w:type="dxa"/>
          </w:tcPr>
          <w:p w14:paraId="021B834C" w14:textId="77777777" w:rsidR="009E4F90" w:rsidRPr="00B071A8" w:rsidRDefault="00B071A8" w:rsidP="00BF72BA">
            <w:pPr>
              <w:ind w:right="33"/>
              <w:jc w:val="right"/>
              <w:rPr>
                <w:rFonts w:cs="Arial"/>
              </w:rPr>
            </w:pPr>
            <w:r w:rsidRPr="00B071A8">
              <w:rPr>
                <w:rFonts w:cs="Arial"/>
              </w:rPr>
              <w:t>33</w:t>
            </w:r>
          </w:p>
        </w:tc>
        <w:tc>
          <w:tcPr>
            <w:tcW w:w="284" w:type="dxa"/>
          </w:tcPr>
          <w:p w14:paraId="7488A6F7" w14:textId="77777777" w:rsidR="009E4F90" w:rsidRPr="00C328EF" w:rsidRDefault="009E4F90" w:rsidP="009E4F90">
            <w:pPr>
              <w:ind w:right="126"/>
              <w:jc w:val="right"/>
              <w:rPr>
                <w:rFonts w:cs="Arial"/>
                <w:highlight w:val="yellow"/>
              </w:rPr>
            </w:pPr>
          </w:p>
        </w:tc>
        <w:tc>
          <w:tcPr>
            <w:tcW w:w="1276" w:type="dxa"/>
          </w:tcPr>
          <w:p w14:paraId="397A3FF4" w14:textId="77777777" w:rsidR="009E4F90" w:rsidRPr="009E4F90" w:rsidRDefault="009E4F90" w:rsidP="00BF72BA">
            <w:pPr>
              <w:ind w:right="34"/>
              <w:jc w:val="right"/>
              <w:rPr>
                <w:rFonts w:cs="Arial"/>
              </w:rPr>
            </w:pPr>
            <w:r w:rsidRPr="009E4F90">
              <w:rPr>
                <w:rFonts w:cs="Arial"/>
              </w:rPr>
              <w:t>44</w:t>
            </w:r>
          </w:p>
        </w:tc>
      </w:tr>
      <w:tr w:rsidR="009E4F90" w:rsidRPr="00C328EF" w14:paraId="1FB04FCC" w14:textId="77777777" w:rsidTr="00BF72BA">
        <w:tc>
          <w:tcPr>
            <w:tcW w:w="6771" w:type="dxa"/>
          </w:tcPr>
          <w:p w14:paraId="331C8711" w14:textId="77777777" w:rsidR="009E4F90" w:rsidRPr="009E4F90" w:rsidRDefault="009E4F90" w:rsidP="009E4F90">
            <w:pPr>
              <w:ind w:left="546"/>
              <w:rPr>
                <w:rFonts w:cs="Arial"/>
              </w:rPr>
            </w:pPr>
            <w:r w:rsidRPr="009E4F90">
              <w:rPr>
                <w:rFonts w:cs="Arial"/>
              </w:rPr>
              <w:t>West Lothian Council (Shareholder)</w:t>
            </w:r>
          </w:p>
        </w:tc>
        <w:tc>
          <w:tcPr>
            <w:tcW w:w="1275" w:type="dxa"/>
          </w:tcPr>
          <w:p w14:paraId="68765909" w14:textId="77777777" w:rsidR="009E4F90" w:rsidRPr="00B071A8" w:rsidRDefault="00B071A8" w:rsidP="00BF72BA">
            <w:pPr>
              <w:ind w:right="33"/>
              <w:jc w:val="right"/>
              <w:rPr>
                <w:rFonts w:cs="Arial"/>
              </w:rPr>
            </w:pPr>
            <w:r w:rsidRPr="00B071A8">
              <w:rPr>
                <w:rFonts w:cs="Arial"/>
              </w:rPr>
              <w:t>79</w:t>
            </w:r>
          </w:p>
        </w:tc>
        <w:tc>
          <w:tcPr>
            <w:tcW w:w="284" w:type="dxa"/>
          </w:tcPr>
          <w:p w14:paraId="1F42A183" w14:textId="77777777" w:rsidR="009E4F90" w:rsidRPr="00C328EF" w:rsidRDefault="009E4F90" w:rsidP="009E4F90">
            <w:pPr>
              <w:ind w:right="126"/>
              <w:jc w:val="right"/>
              <w:rPr>
                <w:rFonts w:cs="Arial"/>
                <w:highlight w:val="yellow"/>
              </w:rPr>
            </w:pPr>
          </w:p>
        </w:tc>
        <w:tc>
          <w:tcPr>
            <w:tcW w:w="1276" w:type="dxa"/>
          </w:tcPr>
          <w:p w14:paraId="5A3AE000" w14:textId="77777777" w:rsidR="009E4F90" w:rsidRPr="009E4F90" w:rsidRDefault="009E4F90" w:rsidP="00BF72BA">
            <w:pPr>
              <w:ind w:right="34"/>
              <w:jc w:val="right"/>
              <w:rPr>
                <w:rFonts w:cs="Arial"/>
              </w:rPr>
            </w:pPr>
            <w:r w:rsidRPr="009E4F90">
              <w:rPr>
                <w:rFonts w:cs="Arial"/>
              </w:rPr>
              <w:t>64</w:t>
            </w:r>
          </w:p>
        </w:tc>
      </w:tr>
      <w:tr w:rsidR="009E4F90" w:rsidRPr="00C328EF" w14:paraId="6227F8A2" w14:textId="77777777" w:rsidTr="00BF72BA">
        <w:tc>
          <w:tcPr>
            <w:tcW w:w="6771" w:type="dxa"/>
          </w:tcPr>
          <w:p w14:paraId="49F1F8E2" w14:textId="77777777" w:rsidR="009E4F90" w:rsidRPr="009E4F90" w:rsidRDefault="009E4F90" w:rsidP="009E4F90">
            <w:pPr>
              <w:rPr>
                <w:rFonts w:cs="Arial"/>
              </w:rPr>
            </w:pPr>
          </w:p>
        </w:tc>
        <w:tc>
          <w:tcPr>
            <w:tcW w:w="1275" w:type="dxa"/>
          </w:tcPr>
          <w:p w14:paraId="62E5E3A5" w14:textId="77777777" w:rsidR="009E4F90" w:rsidRPr="00B071A8" w:rsidRDefault="009E4F90" w:rsidP="00BF72BA">
            <w:pPr>
              <w:ind w:left="-57" w:right="33"/>
              <w:jc w:val="right"/>
              <w:rPr>
                <w:sz w:val="18"/>
                <w:szCs w:val="18"/>
              </w:rPr>
            </w:pPr>
            <w:r w:rsidRPr="00B071A8">
              <w:rPr>
                <w:rFonts w:cs="Arial"/>
                <w:spacing w:val="-2"/>
              </w:rPr>
              <w:t>══════</w:t>
            </w:r>
          </w:p>
        </w:tc>
        <w:tc>
          <w:tcPr>
            <w:tcW w:w="284" w:type="dxa"/>
          </w:tcPr>
          <w:p w14:paraId="285B2036" w14:textId="77777777" w:rsidR="009E4F90" w:rsidRPr="00C328EF" w:rsidRDefault="009E4F90" w:rsidP="009E4F90">
            <w:pPr>
              <w:jc w:val="right"/>
              <w:rPr>
                <w:sz w:val="18"/>
                <w:szCs w:val="18"/>
                <w:highlight w:val="yellow"/>
              </w:rPr>
            </w:pPr>
          </w:p>
        </w:tc>
        <w:tc>
          <w:tcPr>
            <w:tcW w:w="1276" w:type="dxa"/>
          </w:tcPr>
          <w:p w14:paraId="4AEF8757" w14:textId="77777777" w:rsidR="009E4F90" w:rsidRPr="009E4F90" w:rsidRDefault="009E4F90" w:rsidP="00BF72BA">
            <w:pPr>
              <w:ind w:left="-57" w:right="34"/>
              <w:jc w:val="right"/>
              <w:rPr>
                <w:sz w:val="18"/>
                <w:szCs w:val="18"/>
              </w:rPr>
            </w:pPr>
            <w:r w:rsidRPr="009E4F90">
              <w:rPr>
                <w:rFonts w:cs="Arial"/>
                <w:spacing w:val="-2"/>
              </w:rPr>
              <w:t>══════</w:t>
            </w:r>
          </w:p>
        </w:tc>
      </w:tr>
      <w:tr w:rsidR="009E4F90" w:rsidRPr="00C328EF" w14:paraId="093EF7D3" w14:textId="77777777" w:rsidTr="00BF72BA">
        <w:tc>
          <w:tcPr>
            <w:tcW w:w="6771" w:type="dxa"/>
          </w:tcPr>
          <w:p w14:paraId="327A4B80" w14:textId="77777777" w:rsidR="009E4F90" w:rsidRPr="009E4F90" w:rsidRDefault="009E4F90" w:rsidP="009E4F90">
            <w:pPr>
              <w:ind w:left="546"/>
              <w:rPr>
                <w:rFonts w:cs="Arial"/>
                <w:u w:val="single"/>
              </w:rPr>
            </w:pPr>
            <w:r w:rsidRPr="009E4F90">
              <w:rPr>
                <w:rFonts w:cs="Arial"/>
                <w:u w:val="single"/>
              </w:rPr>
              <w:t>Payables to related parties</w:t>
            </w:r>
          </w:p>
        </w:tc>
        <w:tc>
          <w:tcPr>
            <w:tcW w:w="1275" w:type="dxa"/>
          </w:tcPr>
          <w:p w14:paraId="18AF2F84" w14:textId="77777777" w:rsidR="009E4F90" w:rsidRPr="00C328EF" w:rsidRDefault="009E4F90" w:rsidP="00BF72BA">
            <w:pPr>
              <w:ind w:right="33"/>
              <w:jc w:val="right"/>
              <w:rPr>
                <w:rFonts w:cs="Arial"/>
                <w:highlight w:val="yellow"/>
              </w:rPr>
            </w:pPr>
          </w:p>
        </w:tc>
        <w:tc>
          <w:tcPr>
            <w:tcW w:w="284" w:type="dxa"/>
          </w:tcPr>
          <w:p w14:paraId="13BE8F68" w14:textId="77777777" w:rsidR="009E4F90" w:rsidRPr="00C328EF" w:rsidRDefault="009E4F90" w:rsidP="009E4F90">
            <w:pPr>
              <w:ind w:right="126"/>
              <w:jc w:val="right"/>
              <w:rPr>
                <w:rFonts w:cs="Arial"/>
                <w:highlight w:val="yellow"/>
              </w:rPr>
            </w:pPr>
          </w:p>
        </w:tc>
        <w:tc>
          <w:tcPr>
            <w:tcW w:w="1276" w:type="dxa"/>
          </w:tcPr>
          <w:p w14:paraId="109041F4" w14:textId="77777777" w:rsidR="009E4F90" w:rsidRPr="009E4F90" w:rsidRDefault="009E4F90" w:rsidP="00BF72BA">
            <w:pPr>
              <w:ind w:right="34"/>
              <w:jc w:val="right"/>
              <w:rPr>
                <w:rFonts w:cs="Arial"/>
              </w:rPr>
            </w:pPr>
          </w:p>
        </w:tc>
      </w:tr>
      <w:tr w:rsidR="009E4F90" w:rsidRPr="00C328EF" w14:paraId="6B519694" w14:textId="77777777" w:rsidTr="00BF72BA">
        <w:tc>
          <w:tcPr>
            <w:tcW w:w="6771" w:type="dxa"/>
          </w:tcPr>
          <w:p w14:paraId="4FB60662" w14:textId="77777777" w:rsidR="009E4F90" w:rsidRPr="009E4F90" w:rsidRDefault="009E4F90" w:rsidP="009E4F90">
            <w:pPr>
              <w:ind w:left="546"/>
              <w:rPr>
                <w:rFonts w:cs="Arial"/>
              </w:rPr>
            </w:pPr>
            <w:r w:rsidRPr="009E4F90">
              <w:rPr>
                <w:rFonts w:cs="Arial"/>
              </w:rPr>
              <w:t>City of Edinburgh Council (Ultimate Parent)</w:t>
            </w:r>
          </w:p>
        </w:tc>
        <w:tc>
          <w:tcPr>
            <w:tcW w:w="1275" w:type="dxa"/>
          </w:tcPr>
          <w:p w14:paraId="151FC84D" w14:textId="77777777" w:rsidR="009E4F90" w:rsidRPr="00B071A8" w:rsidRDefault="009E4F90" w:rsidP="00BF72BA">
            <w:pPr>
              <w:ind w:right="33"/>
              <w:jc w:val="right"/>
              <w:rPr>
                <w:rFonts w:cs="Arial"/>
              </w:rPr>
            </w:pPr>
            <w:r w:rsidRPr="00B071A8">
              <w:rPr>
                <w:rFonts w:cs="Arial"/>
              </w:rPr>
              <w:t>(1</w:t>
            </w:r>
            <w:r w:rsidR="00B071A8" w:rsidRPr="00B071A8">
              <w:rPr>
                <w:rFonts w:cs="Arial"/>
              </w:rPr>
              <w:t>4</w:t>
            </w:r>
            <w:r w:rsidRPr="00B071A8">
              <w:rPr>
                <w:rFonts w:cs="Arial"/>
              </w:rPr>
              <w:t>,</w:t>
            </w:r>
            <w:r w:rsidR="00B071A8" w:rsidRPr="00B071A8">
              <w:rPr>
                <w:rFonts w:cs="Arial"/>
              </w:rPr>
              <w:t>873</w:t>
            </w:r>
            <w:r w:rsidRPr="00B071A8">
              <w:rPr>
                <w:rFonts w:cs="Arial"/>
              </w:rPr>
              <w:t>)</w:t>
            </w:r>
          </w:p>
        </w:tc>
        <w:tc>
          <w:tcPr>
            <w:tcW w:w="284" w:type="dxa"/>
          </w:tcPr>
          <w:p w14:paraId="7F53FE9F" w14:textId="77777777" w:rsidR="009E4F90" w:rsidRPr="00C328EF" w:rsidRDefault="009E4F90" w:rsidP="009E4F90">
            <w:pPr>
              <w:ind w:right="126"/>
              <w:jc w:val="right"/>
              <w:rPr>
                <w:rFonts w:cs="Arial"/>
                <w:highlight w:val="yellow"/>
              </w:rPr>
            </w:pPr>
          </w:p>
        </w:tc>
        <w:tc>
          <w:tcPr>
            <w:tcW w:w="1276" w:type="dxa"/>
          </w:tcPr>
          <w:p w14:paraId="545C12FF" w14:textId="77777777" w:rsidR="009E4F90" w:rsidRPr="009E4F90" w:rsidRDefault="009E4F90" w:rsidP="00BF72BA">
            <w:pPr>
              <w:ind w:right="34"/>
              <w:jc w:val="right"/>
              <w:rPr>
                <w:rFonts w:cs="Arial"/>
              </w:rPr>
            </w:pPr>
            <w:r w:rsidRPr="009E4F90">
              <w:rPr>
                <w:rFonts w:cs="Arial"/>
              </w:rPr>
              <w:t>(13,721)</w:t>
            </w:r>
          </w:p>
        </w:tc>
      </w:tr>
      <w:tr w:rsidR="009E4F90" w:rsidRPr="00C328EF" w14:paraId="70189938" w14:textId="77777777" w:rsidTr="00BF72BA">
        <w:tc>
          <w:tcPr>
            <w:tcW w:w="6771" w:type="dxa"/>
          </w:tcPr>
          <w:p w14:paraId="340A92B8" w14:textId="77777777" w:rsidR="009E4F90" w:rsidRPr="00C328EF" w:rsidRDefault="009E4F90" w:rsidP="009E4F90">
            <w:pPr>
              <w:rPr>
                <w:sz w:val="18"/>
                <w:szCs w:val="18"/>
                <w:highlight w:val="yellow"/>
              </w:rPr>
            </w:pPr>
          </w:p>
        </w:tc>
        <w:tc>
          <w:tcPr>
            <w:tcW w:w="1275" w:type="dxa"/>
          </w:tcPr>
          <w:p w14:paraId="14AB6680" w14:textId="77777777" w:rsidR="009E4F90" w:rsidRPr="00B071A8" w:rsidRDefault="009E4F90" w:rsidP="00BF72BA">
            <w:pPr>
              <w:ind w:left="-57" w:right="33"/>
              <w:jc w:val="right"/>
              <w:rPr>
                <w:sz w:val="18"/>
                <w:szCs w:val="18"/>
              </w:rPr>
            </w:pPr>
            <w:r w:rsidRPr="00B071A8">
              <w:rPr>
                <w:rFonts w:cs="Arial"/>
                <w:spacing w:val="-2"/>
              </w:rPr>
              <w:t>══════</w:t>
            </w:r>
          </w:p>
        </w:tc>
        <w:tc>
          <w:tcPr>
            <w:tcW w:w="284" w:type="dxa"/>
          </w:tcPr>
          <w:p w14:paraId="0E88052F" w14:textId="77777777" w:rsidR="009E4F90" w:rsidRPr="00C328EF" w:rsidRDefault="009E4F90" w:rsidP="009E4F90">
            <w:pPr>
              <w:jc w:val="right"/>
              <w:rPr>
                <w:sz w:val="18"/>
                <w:szCs w:val="18"/>
                <w:highlight w:val="yellow"/>
              </w:rPr>
            </w:pPr>
          </w:p>
        </w:tc>
        <w:tc>
          <w:tcPr>
            <w:tcW w:w="1276" w:type="dxa"/>
          </w:tcPr>
          <w:p w14:paraId="133B96E5" w14:textId="77777777" w:rsidR="009E4F90" w:rsidRPr="009E4F90" w:rsidRDefault="009E4F90" w:rsidP="00BF72BA">
            <w:pPr>
              <w:ind w:left="-57" w:right="34"/>
              <w:jc w:val="right"/>
              <w:rPr>
                <w:sz w:val="18"/>
                <w:szCs w:val="18"/>
              </w:rPr>
            </w:pPr>
            <w:r w:rsidRPr="009E4F90">
              <w:rPr>
                <w:rFonts w:cs="Arial"/>
                <w:spacing w:val="-2"/>
              </w:rPr>
              <w:t>══════</w:t>
            </w:r>
          </w:p>
        </w:tc>
      </w:tr>
    </w:tbl>
    <w:p w14:paraId="7ABAE4DD" w14:textId="77777777" w:rsidR="006E41B3" w:rsidRPr="00C328EF" w:rsidRDefault="006E41B3" w:rsidP="006E41B3">
      <w:pPr>
        <w:jc w:val="both"/>
        <w:rPr>
          <w:rFonts w:cs="Arial"/>
          <w:highlight w:val="yellow"/>
        </w:rPr>
      </w:pPr>
    </w:p>
    <w:p w14:paraId="6EEAE54C" w14:textId="77777777" w:rsidR="006E41B3" w:rsidRDefault="006E41B3" w:rsidP="006E41B3">
      <w:pPr>
        <w:jc w:val="both"/>
        <w:rPr>
          <w:rFonts w:cs="Arial"/>
        </w:rPr>
      </w:pPr>
      <w:r w:rsidRPr="009E4F90">
        <w:rPr>
          <w:rFonts w:cs="Arial"/>
        </w:rPr>
        <w:t>Lothian Buses Limited (a subsidiary company), provides an unlimited guarantee to the Royal Bank of Scotland (RBS), that it will pay any outstanding amounts due to RBS should its fellow subsidiary company (Edinburgh Bus Tours Limited</w:t>
      </w:r>
      <w:r w:rsidR="004D21A9" w:rsidRPr="009E4F90">
        <w:rPr>
          <w:rFonts w:cs="Arial"/>
        </w:rPr>
        <w:t xml:space="preserve"> and East Coast Buses Limited</w:t>
      </w:r>
      <w:r w:rsidRPr="009E4F90">
        <w:rPr>
          <w:rFonts w:cs="Arial"/>
        </w:rPr>
        <w:t>) be unable to make a payment on its outstanding loans or borrowings.</w:t>
      </w:r>
    </w:p>
    <w:p w14:paraId="446B8DEB" w14:textId="77777777" w:rsidR="00A53F12" w:rsidRDefault="00A53F12" w:rsidP="006E41B3">
      <w:pPr>
        <w:jc w:val="both"/>
        <w:rPr>
          <w:rFonts w:cs="Arial"/>
        </w:rPr>
      </w:pPr>
    </w:p>
    <w:p w14:paraId="6D304D34" w14:textId="77777777" w:rsidR="00894675" w:rsidRDefault="00A53F12" w:rsidP="00894675">
      <w:pPr>
        <w:ind w:left="284" w:hanging="284"/>
        <w:jc w:val="both"/>
        <w:rPr>
          <w:bCs/>
          <w:i/>
          <w:iCs/>
        </w:rPr>
      </w:pPr>
      <w:r w:rsidRPr="004C0D7C">
        <w:rPr>
          <w:bCs/>
          <w:i/>
          <w:iCs/>
        </w:rPr>
        <w:t>(e)</w:t>
      </w:r>
      <w:r w:rsidRPr="004C0D7C">
        <w:rPr>
          <w:bCs/>
          <w:i/>
          <w:iCs/>
        </w:rPr>
        <w:tab/>
        <w:t>Dividend</w:t>
      </w:r>
      <w:r w:rsidR="004546B3">
        <w:rPr>
          <w:bCs/>
          <w:i/>
          <w:iCs/>
        </w:rPr>
        <w:t>s</w:t>
      </w:r>
      <w:r w:rsidRPr="004C0D7C">
        <w:rPr>
          <w:bCs/>
          <w:i/>
          <w:iCs/>
        </w:rPr>
        <w:t xml:space="preserve"> paid</w:t>
      </w:r>
    </w:p>
    <w:p w14:paraId="710EC61D" w14:textId="77777777" w:rsidR="00A53F12" w:rsidRPr="004C0D7C" w:rsidRDefault="00A53F12" w:rsidP="004C0D7C">
      <w:pPr>
        <w:ind w:left="284" w:hanging="284"/>
        <w:jc w:val="both"/>
        <w:rPr>
          <w:bCs/>
          <w:i/>
          <w:iCs/>
        </w:rPr>
      </w:pPr>
      <w:r>
        <w:rPr>
          <w:bCs/>
          <w:i/>
          <w:iCs/>
        </w:rPr>
        <w:br/>
      </w:r>
      <w:r w:rsidRPr="004C0D7C">
        <w:rPr>
          <w:bCs/>
        </w:rPr>
        <w:t>During the year Transport for</w:t>
      </w:r>
      <w:r w:rsidR="00894675">
        <w:rPr>
          <w:bCs/>
        </w:rPr>
        <w:t xml:space="preserve"> Edinburgh Limited paid dividends totalling £2,912,000 (2023: £nil) to City of Edinburgh Council (Ultimate Parent).</w:t>
      </w:r>
      <w:r>
        <w:rPr>
          <w:bCs/>
          <w:i/>
          <w:iCs/>
        </w:rPr>
        <w:t xml:space="preserve"> </w:t>
      </w:r>
    </w:p>
    <w:p w14:paraId="5ED33B0C" w14:textId="77777777" w:rsidR="00FC03FB" w:rsidRPr="00631312" w:rsidRDefault="00540895" w:rsidP="00FC03FB">
      <w:pPr>
        <w:jc w:val="center"/>
        <w:rPr>
          <w:b/>
        </w:rPr>
      </w:pPr>
      <w:r w:rsidRPr="00C328EF">
        <w:rPr>
          <w:b/>
          <w:highlight w:val="yellow"/>
        </w:rPr>
        <w:br w:type="page"/>
      </w:r>
      <w:r w:rsidR="00FC03FB" w:rsidRPr="00631312">
        <w:rPr>
          <w:b/>
        </w:rPr>
        <w:lastRenderedPageBreak/>
        <w:t>TRANSPORT FOR EDINBURGH LIMITED</w:t>
      </w:r>
    </w:p>
    <w:p w14:paraId="688D2694" w14:textId="77777777" w:rsidR="00FC03FB" w:rsidRPr="00631312" w:rsidRDefault="00FC03FB" w:rsidP="00FC03FB">
      <w:pPr>
        <w:jc w:val="center"/>
        <w:rPr>
          <w:b/>
        </w:rPr>
      </w:pPr>
    </w:p>
    <w:p w14:paraId="0A0DF933" w14:textId="77777777" w:rsidR="00FC03FB" w:rsidRPr="00631312" w:rsidRDefault="00FC03FB" w:rsidP="00FC03FB">
      <w:pPr>
        <w:jc w:val="center"/>
        <w:rPr>
          <w:b/>
        </w:rPr>
      </w:pPr>
      <w:r w:rsidRPr="00631312">
        <w:rPr>
          <w:b/>
        </w:rPr>
        <w:t>Notes to the Financial Statements (continued)</w:t>
      </w:r>
    </w:p>
    <w:p w14:paraId="551DCF8D" w14:textId="77777777" w:rsidR="00FC03FB" w:rsidRPr="00631312" w:rsidRDefault="00FC03FB" w:rsidP="00FC03FB">
      <w:pPr>
        <w:jc w:val="center"/>
        <w:rPr>
          <w:b/>
        </w:rPr>
      </w:pPr>
    </w:p>
    <w:p w14:paraId="73B02CA3" w14:textId="77777777" w:rsidR="00FC03FB" w:rsidRPr="00AE607B" w:rsidRDefault="00D90B89" w:rsidP="00FC03FB">
      <w:pPr>
        <w:jc w:val="center"/>
        <w:rPr>
          <w:b/>
        </w:rPr>
      </w:pPr>
      <w:r w:rsidRPr="00AE607B">
        <w:rPr>
          <w:b/>
        </w:rPr>
        <w:t>For the period ended 28 December 2024</w:t>
      </w:r>
    </w:p>
    <w:p w14:paraId="48AD4FF1" w14:textId="77777777" w:rsidR="00AE607B" w:rsidRPr="00AE607B" w:rsidRDefault="00AE607B" w:rsidP="00FC03FB">
      <w:pPr>
        <w:jc w:val="center"/>
      </w:pPr>
    </w:p>
    <w:p w14:paraId="3BE0AB97" w14:textId="77777777" w:rsidR="004740F6" w:rsidRPr="00AE607B" w:rsidRDefault="004740F6" w:rsidP="00A5227C">
      <w:pPr>
        <w:numPr>
          <w:ilvl w:val="0"/>
          <w:numId w:val="40"/>
        </w:numPr>
        <w:tabs>
          <w:tab w:val="num" w:pos="546"/>
        </w:tabs>
        <w:ind w:left="360"/>
        <w:rPr>
          <w:b/>
        </w:rPr>
      </w:pPr>
      <w:r w:rsidRPr="00AE607B">
        <w:rPr>
          <w:b/>
        </w:rPr>
        <w:t>Retirement benefits obligation</w:t>
      </w:r>
    </w:p>
    <w:p w14:paraId="35238DEF" w14:textId="77777777" w:rsidR="004740F6" w:rsidRPr="00AE607B" w:rsidRDefault="004740F6" w:rsidP="004740F6">
      <w:pPr>
        <w:jc w:val="both"/>
      </w:pPr>
    </w:p>
    <w:p w14:paraId="3008C7A4" w14:textId="77777777" w:rsidR="004740F6" w:rsidRPr="009E4F90" w:rsidRDefault="000D0ABF" w:rsidP="00AE607B">
      <w:pPr>
        <w:ind w:left="567"/>
        <w:jc w:val="both"/>
      </w:pPr>
      <w:r w:rsidRPr="009E4F90">
        <w:t xml:space="preserve">Some employees of the </w:t>
      </w:r>
      <w:r w:rsidR="00FC637A" w:rsidRPr="009E4F90">
        <w:t>G</w:t>
      </w:r>
      <w:r w:rsidRPr="009E4F90">
        <w:t xml:space="preserve">roup are members of the Lothian Buses Pension Fund, part of the Local Government Pension Scheme, administered by the City of Edinburgh Council. This is a pension scheme providing benefits based on final pensionable pay, contributions being charged to the profit and loss so as to spread the cost of pensions over employees’ working lives with the </w:t>
      </w:r>
      <w:r w:rsidR="00FC637A" w:rsidRPr="009E4F90">
        <w:t>G</w:t>
      </w:r>
      <w:r w:rsidRPr="009E4F90">
        <w:t xml:space="preserve">roup. </w:t>
      </w:r>
      <w:r w:rsidR="004740F6" w:rsidRPr="009E4F90">
        <w:t xml:space="preserve">The contributions are determined by a qualified actuary. </w:t>
      </w:r>
      <w:r w:rsidR="004F7D32" w:rsidRPr="009E4F90">
        <w:t>The Lothian Buses Pension Fund was merged into the main Lothian Pension Fund on 31 January 2019 with the members benefits being unaffected.</w:t>
      </w:r>
    </w:p>
    <w:p w14:paraId="5BDFB2CC" w14:textId="77777777" w:rsidR="004740F6" w:rsidRPr="009E4F90" w:rsidRDefault="004740F6" w:rsidP="00AE607B">
      <w:pPr>
        <w:ind w:left="567"/>
        <w:jc w:val="both"/>
      </w:pPr>
    </w:p>
    <w:p w14:paraId="2FDB1C3E" w14:textId="77777777" w:rsidR="004740F6" w:rsidRPr="009E4F90" w:rsidRDefault="004740F6" w:rsidP="00AE607B">
      <w:pPr>
        <w:ind w:left="567"/>
        <w:jc w:val="both"/>
      </w:pPr>
      <w:r w:rsidRPr="009E4F90">
        <w:t>The valuation of the pension fund is carried out triennially.</w:t>
      </w:r>
      <w:r w:rsidR="00EB2840" w:rsidRPr="009E4F90">
        <w:t xml:space="preserve"> </w:t>
      </w:r>
      <w:r w:rsidR="000D0ABF" w:rsidRPr="009E4F90">
        <w:t xml:space="preserve">The most recent </w:t>
      </w:r>
      <w:r w:rsidR="00270D25" w:rsidRPr="009E4F90">
        <w:t xml:space="preserve">triennial </w:t>
      </w:r>
      <w:r w:rsidR="000D0ABF" w:rsidRPr="009E4F90">
        <w:t>actuarial valuations of plan assets and the present value of the defined benefit obligation were carried out at 31 December 20</w:t>
      </w:r>
      <w:r w:rsidR="00BB4144" w:rsidRPr="009E4F90">
        <w:t>2</w:t>
      </w:r>
      <w:r w:rsidR="00270D25" w:rsidRPr="009E4F90">
        <w:t>3</w:t>
      </w:r>
      <w:r w:rsidR="000D0ABF" w:rsidRPr="009E4F90">
        <w:t xml:space="preserve"> by Hymans Robertson LLP. </w:t>
      </w:r>
      <w:r w:rsidR="00EB2840" w:rsidRPr="009E4F90">
        <w:t>The present value of the defined benefit obligation, and related current service cost and past service cost, were measured using the Projected Unit Credit Method.</w:t>
      </w:r>
    </w:p>
    <w:p w14:paraId="03D75217" w14:textId="77777777" w:rsidR="00995C3B" w:rsidRPr="00631312" w:rsidRDefault="00995C3B" w:rsidP="00AC6293">
      <w:pPr>
        <w:pageBreakBefore/>
        <w:ind w:left="79"/>
        <w:jc w:val="center"/>
        <w:rPr>
          <w:b/>
        </w:rPr>
      </w:pPr>
      <w:r w:rsidRPr="00631312">
        <w:rPr>
          <w:b/>
        </w:rPr>
        <w:lastRenderedPageBreak/>
        <w:t>TRANSPORT FOR EDINBURGH LIMITED</w:t>
      </w:r>
    </w:p>
    <w:p w14:paraId="7674EE7B" w14:textId="77777777" w:rsidR="00995C3B" w:rsidRPr="00631312" w:rsidRDefault="00995C3B" w:rsidP="00995C3B">
      <w:pPr>
        <w:jc w:val="center"/>
        <w:rPr>
          <w:b/>
        </w:rPr>
      </w:pPr>
    </w:p>
    <w:p w14:paraId="7EEDD260" w14:textId="77777777" w:rsidR="00995C3B" w:rsidRPr="00631312" w:rsidRDefault="00995C3B" w:rsidP="00995C3B">
      <w:pPr>
        <w:jc w:val="center"/>
        <w:rPr>
          <w:b/>
        </w:rPr>
      </w:pPr>
      <w:r w:rsidRPr="00631312">
        <w:rPr>
          <w:b/>
        </w:rPr>
        <w:t>Notes to the Financial Statements (continued)</w:t>
      </w:r>
    </w:p>
    <w:p w14:paraId="04ACAA16" w14:textId="77777777" w:rsidR="00995C3B" w:rsidRPr="00631312" w:rsidRDefault="00995C3B" w:rsidP="00995C3B">
      <w:pPr>
        <w:jc w:val="center"/>
        <w:rPr>
          <w:b/>
        </w:rPr>
      </w:pPr>
    </w:p>
    <w:p w14:paraId="6F05AF2F" w14:textId="77777777" w:rsidR="00995C3B" w:rsidRPr="00AE607B" w:rsidRDefault="00D90B89" w:rsidP="00995C3B">
      <w:pPr>
        <w:jc w:val="center"/>
      </w:pPr>
      <w:r w:rsidRPr="00AE607B">
        <w:rPr>
          <w:b/>
        </w:rPr>
        <w:t>For the period ended 28 December 2024</w:t>
      </w:r>
    </w:p>
    <w:p w14:paraId="481E89D2" w14:textId="77777777" w:rsidR="00995C3B" w:rsidRPr="00AE607B" w:rsidRDefault="00995C3B" w:rsidP="00A3004A">
      <w:pPr>
        <w:tabs>
          <w:tab w:val="num" w:pos="546"/>
        </w:tabs>
        <w:rPr>
          <w:b/>
        </w:rPr>
      </w:pPr>
    </w:p>
    <w:p w14:paraId="569A1EEB" w14:textId="77777777" w:rsidR="00995C3B" w:rsidRPr="00AE607B" w:rsidRDefault="00995C3B" w:rsidP="00A5227C">
      <w:pPr>
        <w:numPr>
          <w:ilvl w:val="0"/>
          <w:numId w:val="41"/>
        </w:numPr>
        <w:ind w:left="360"/>
        <w:rPr>
          <w:b/>
        </w:rPr>
      </w:pPr>
      <w:r w:rsidRPr="00AE607B">
        <w:rPr>
          <w:b/>
        </w:rPr>
        <w:t>Retirement benefits obligation</w:t>
      </w:r>
      <w:r w:rsidR="0017198E" w:rsidRPr="00AE607B">
        <w:rPr>
          <w:b/>
        </w:rPr>
        <w:t xml:space="preserve"> (continued)</w:t>
      </w:r>
    </w:p>
    <w:p w14:paraId="71A11135" w14:textId="77777777" w:rsidR="00D851AF" w:rsidRPr="00AE607B" w:rsidRDefault="00D851AF" w:rsidP="00994C62">
      <w:pPr>
        <w:jc w:val="both"/>
      </w:pPr>
    </w:p>
    <w:p w14:paraId="4B1E176A" w14:textId="77777777" w:rsidR="00994C62" w:rsidRPr="004C6938" w:rsidRDefault="00994C62" w:rsidP="00994C62">
      <w:pPr>
        <w:jc w:val="both"/>
        <w:rPr>
          <w:b/>
        </w:rPr>
      </w:pPr>
      <w:r w:rsidRPr="004C6938">
        <w:rPr>
          <w:b/>
        </w:rPr>
        <w:t>Scheme assets</w:t>
      </w:r>
    </w:p>
    <w:p w14:paraId="5C750C68" w14:textId="77777777" w:rsidR="00994C62" w:rsidRPr="004C6938" w:rsidRDefault="00994C62" w:rsidP="00994C62">
      <w:pPr>
        <w:jc w:val="both"/>
      </w:pPr>
    </w:p>
    <w:p w14:paraId="1169D5E3" w14:textId="77777777" w:rsidR="00994C62" w:rsidRPr="004C6938" w:rsidRDefault="00994C62" w:rsidP="00994C62">
      <w:pPr>
        <w:jc w:val="both"/>
      </w:pPr>
      <w:r w:rsidRPr="004C6938">
        <w:t xml:space="preserve">The </w:t>
      </w:r>
      <w:r w:rsidR="00FC637A" w:rsidRPr="004C6938">
        <w:t>G</w:t>
      </w:r>
      <w:r w:rsidR="00AE08B2" w:rsidRPr="004C6938">
        <w:t>roup</w:t>
      </w:r>
      <w:r w:rsidRPr="004C6938">
        <w:t>’s share of the fair value of the scheme’s assets which are not intended to be realised in the short term and may be subject to significant change bef</w:t>
      </w:r>
      <w:r w:rsidR="006A634B" w:rsidRPr="004C6938">
        <w:t>ore they are realised, were comprised as follows:</w:t>
      </w:r>
    </w:p>
    <w:p w14:paraId="243F32B8" w14:textId="77777777" w:rsidR="00A3004A" w:rsidRPr="004C6938" w:rsidRDefault="00A3004A" w:rsidP="00994C62">
      <w:pPr>
        <w:jc w:val="both"/>
      </w:pPr>
    </w:p>
    <w:tbl>
      <w:tblPr>
        <w:tblW w:w="10194" w:type="dxa"/>
        <w:tblLayout w:type="fixed"/>
        <w:tblLook w:val="01E0" w:firstRow="1" w:lastRow="1" w:firstColumn="1" w:lastColumn="1" w:noHBand="0" w:noVBand="0"/>
      </w:tblPr>
      <w:tblGrid>
        <w:gridCol w:w="4914"/>
        <w:gridCol w:w="14"/>
        <w:gridCol w:w="992"/>
        <w:gridCol w:w="1634"/>
        <w:gridCol w:w="67"/>
        <w:gridCol w:w="992"/>
        <w:gridCol w:w="1560"/>
        <w:gridCol w:w="21"/>
      </w:tblGrid>
      <w:tr w:rsidR="00A3004A" w:rsidRPr="004C6938" w14:paraId="5F577CEA" w14:textId="77777777" w:rsidTr="00E114B7">
        <w:tc>
          <w:tcPr>
            <w:tcW w:w="4914" w:type="dxa"/>
          </w:tcPr>
          <w:p w14:paraId="27897ABD" w14:textId="77777777" w:rsidR="00A3004A" w:rsidRPr="004C6938" w:rsidRDefault="00A3004A" w:rsidP="005D329C">
            <w:pPr>
              <w:jc w:val="both"/>
              <w:rPr>
                <w:b/>
              </w:rPr>
            </w:pPr>
          </w:p>
        </w:tc>
        <w:tc>
          <w:tcPr>
            <w:tcW w:w="1006" w:type="dxa"/>
            <w:gridSpan w:val="2"/>
          </w:tcPr>
          <w:p w14:paraId="6036597C" w14:textId="77777777" w:rsidR="00A3004A" w:rsidRPr="004C6938" w:rsidRDefault="00A3004A" w:rsidP="005D329C">
            <w:pPr>
              <w:suppressAutoHyphens/>
              <w:ind w:right="78"/>
              <w:jc w:val="right"/>
              <w:rPr>
                <w:rFonts w:cs="Arial"/>
                <w:spacing w:val="-2"/>
              </w:rPr>
            </w:pPr>
          </w:p>
        </w:tc>
        <w:tc>
          <w:tcPr>
            <w:tcW w:w="1634" w:type="dxa"/>
          </w:tcPr>
          <w:p w14:paraId="2013C610" w14:textId="77777777" w:rsidR="00A3004A" w:rsidRPr="004C6938" w:rsidRDefault="00A3004A" w:rsidP="00FB5058">
            <w:pPr>
              <w:tabs>
                <w:tab w:val="right" w:pos="1305"/>
              </w:tabs>
              <w:suppressAutoHyphens/>
              <w:ind w:right="78"/>
              <w:jc w:val="right"/>
              <w:rPr>
                <w:rFonts w:cs="Arial"/>
                <w:spacing w:val="-2"/>
              </w:rPr>
            </w:pPr>
            <w:r w:rsidRPr="004C6938">
              <w:rPr>
                <w:rFonts w:cs="Arial"/>
                <w:b/>
                <w:spacing w:val="-2"/>
              </w:rPr>
              <w:t>Value at</w:t>
            </w:r>
          </w:p>
        </w:tc>
        <w:tc>
          <w:tcPr>
            <w:tcW w:w="1059" w:type="dxa"/>
            <w:gridSpan w:val="2"/>
          </w:tcPr>
          <w:p w14:paraId="31A20963" w14:textId="77777777" w:rsidR="00A3004A" w:rsidRPr="004C6938" w:rsidRDefault="00A3004A" w:rsidP="005D329C">
            <w:pPr>
              <w:suppressAutoHyphens/>
              <w:ind w:right="78"/>
              <w:jc w:val="right"/>
              <w:rPr>
                <w:rFonts w:cs="Arial"/>
                <w:spacing w:val="-2"/>
              </w:rPr>
            </w:pPr>
          </w:p>
        </w:tc>
        <w:tc>
          <w:tcPr>
            <w:tcW w:w="1581" w:type="dxa"/>
            <w:gridSpan w:val="2"/>
          </w:tcPr>
          <w:p w14:paraId="304EEFEF" w14:textId="77777777" w:rsidR="00A3004A" w:rsidRPr="004C6938" w:rsidRDefault="00A3004A" w:rsidP="00A3004A">
            <w:pPr>
              <w:suppressAutoHyphens/>
              <w:ind w:right="113"/>
              <w:jc w:val="right"/>
              <w:rPr>
                <w:rFonts w:cs="Arial"/>
                <w:spacing w:val="-2"/>
              </w:rPr>
            </w:pPr>
            <w:r w:rsidRPr="004C6938">
              <w:rPr>
                <w:rFonts w:cs="Arial"/>
                <w:b/>
                <w:spacing w:val="-2"/>
              </w:rPr>
              <w:t>Value at</w:t>
            </w:r>
          </w:p>
        </w:tc>
      </w:tr>
      <w:tr w:rsidR="00551794" w:rsidRPr="004C6938" w14:paraId="6722FC68" w14:textId="77777777" w:rsidTr="00E114B7">
        <w:trPr>
          <w:gridAfter w:val="1"/>
          <w:wAfter w:w="21" w:type="dxa"/>
        </w:trPr>
        <w:tc>
          <w:tcPr>
            <w:tcW w:w="4928" w:type="dxa"/>
            <w:gridSpan w:val="2"/>
          </w:tcPr>
          <w:p w14:paraId="3A5FF5B9" w14:textId="77777777" w:rsidR="00551794" w:rsidRPr="004C6938" w:rsidRDefault="00551794" w:rsidP="00303CB0">
            <w:pPr>
              <w:suppressAutoHyphens/>
              <w:rPr>
                <w:rFonts w:cs="Arial"/>
                <w:spacing w:val="-2"/>
              </w:rPr>
            </w:pPr>
          </w:p>
        </w:tc>
        <w:tc>
          <w:tcPr>
            <w:tcW w:w="992" w:type="dxa"/>
            <w:vAlign w:val="center"/>
          </w:tcPr>
          <w:p w14:paraId="0E629672" w14:textId="77777777" w:rsidR="00551794" w:rsidRPr="004C6938" w:rsidRDefault="00551794" w:rsidP="00C55B6E">
            <w:pPr>
              <w:suppressAutoHyphens/>
              <w:ind w:right="78"/>
              <w:jc w:val="right"/>
              <w:rPr>
                <w:rFonts w:cs="Arial"/>
                <w:b/>
                <w:spacing w:val="-2"/>
              </w:rPr>
            </w:pPr>
          </w:p>
          <w:p w14:paraId="77325DE4" w14:textId="77777777" w:rsidR="00551794" w:rsidRPr="004C6938" w:rsidRDefault="00551794" w:rsidP="00BF72BA">
            <w:pPr>
              <w:suppressAutoHyphens/>
              <w:ind w:right="30"/>
              <w:jc w:val="center"/>
              <w:rPr>
                <w:rFonts w:cs="Arial"/>
                <w:b/>
                <w:spacing w:val="-2"/>
              </w:rPr>
            </w:pPr>
            <w:r w:rsidRPr="004C6938">
              <w:rPr>
                <w:rFonts w:cs="Arial"/>
                <w:b/>
                <w:spacing w:val="-2"/>
              </w:rPr>
              <w:t>%</w:t>
            </w:r>
          </w:p>
        </w:tc>
        <w:tc>
          <w:tcPr>
            <w:tcW w:w="1701" w:type="dxa"/>
            <w:gridSpan w:val="2"/>
            <w:vAlign w:val="center"/>
          </w:tcPr>
          <w:p w14:paraId="6248E2CC" w14:textId="77777777" w:rsidR="00551794" w:rsidRPr="004C6938" w:rsidRDefault="003B7A8B" w:rsidP="00FB5058">
            <w:pPr>
              <w:suppressAutoHyphens/>
              <w:ind w:left="29" w:right="180"/>
              <w:jc w:val="right"/>
              <w:rPr>
                <w:rFonts w:cs="Arial"/>
                <w:b/>
                <w:spacing w:val="-2"/>
              </w:rPr>
            </w:pPr>
            <w:r>
              <w:rPr>
                <w:rFonts w:cs="Arial"/>
                <w:b/>
                <w:spacing w:val="-2"/>
              </w:rPr>
              <w:t>28/12/</w:t>
            </w:r>
            <w:r w:rsidR="007B3A0C" w:rsidRPr="004C6938">
              <w:rPr>
                <w:rFonts w:cs="Arial"/>
                <w:b/>
                <w:spacing w:val="-2"/>
              </w:rPr>
              <w:t>20</w:t>
            </w:r>
            <w:r w:rsidR="00FF19EA" w:rsidRPr="004C6938">
              <w:rPr>
                <w:rFonts w:cs="Arial"/>
                <w:b/>
                <w:spacing w:val="-2"/>
              </w:rPr>
              <w:t>2</w:t>
            </w:r>
            <w:r w:rsidR="004C6938">
              <w:rPr>
                <w:rFonts w:cs="Arial"/>
                <w:b/>
                <w:spacing w:val="-2"/>
              </w:rPr>
              <w:t>4</w:t>
            </w:r>
          </w:p>
          <w:p w14:paraId="21318666" w14:textId="77777777" w:rsidR="00551794" w:rsidRPr="004C6938" w:rsidRDefault="00551794" w:rsidP="00FB5058">
            <w:pPr>
              <w:suppressAutoHyphens/>
              <w:ind w:right="180"/>
              <w:jc w:val="right"/>
              <w:rPr>
                <w:rFonts w:cs="Arial"/>
                <w:b/>
                <w:spacing w:val="-2"/>
              </w:rPr>
            </w:pPr>
            <w:r w:rsidRPr="004C6938">
              <w:rPr>
                <w:rFonts w:cs="Arial"/>
                <w:b/>
                <w:spacing w:val="-2"/>
              </w:rPr>
              <w:t>£’000</w:t>
            </w:r>
          </w:p>
        </w:tc>
        <w:tc>
          <w:tcPr>
            <w:tcW w:w="992" w:type="dxa"/>
            <w:vAlign w:val="center"/>
          </w:tcPr>
          <w:p w14:paraId="03FDCC2D" w14:textId="77777777" w:rsidR="00551794" w:rsidRPr="004C6938" w:rsidRDefault="00551794" w:rsidP="006A634B">
            <w:pPr>
              <w:suppressAutoHyphens/>
              <w:ind w:right="78"/>
              <w:jc w:val="right"/>
              <w:rPr>
                <w:rFonts w:cs="Arial"/>
                <w:b/>
                <w:spacing w:val="-2"/>
              </w:rPr>
            </w:pPr>
          </w:p>
          <w:p w14:paraId="3A8E9B03" w14:textId="77777777" w:rsidR="00551794" w:rsidRPr="004C6938" w:rsidRDefault="00551794" w:rsidP="00302237">
            <w:pPr>
              <w:suppressAutoHyphens/>
              <w:jc w:val="center"/>
              <w:rPr>
                <w:rFonts w:cs="Arial"/>
                <w:b/>
                <w:spacing w:val="-2"/>
              </w:rPr>
            </w:pPr>
            <w:r w:rsidRPr="004C6938">
              <w:rPr>
                <w:rFonts w:cs="Arial"/>
                <w:b/>
                <w:spacing w:val="-2"/>
              </w:rPr>
              <w:t>%</w:t>
            </w:r>
          </w:p>
        </w:tc>
        <w:tc>
          <w:tcPr>
            <w:tcW w:w="1560" w:type="dxa"/>
            <w:vAlign w:val="center"/>
          </w:tcPr>
          <w:p w14:paraId="0BDD9291" w14:textId="77777777" w:rsidR="00551794" w:rsidRPr="004C6938" w:rsidRDefault="003B7A8B" w:rsidP="00E114B7">
            <w:pPr>
              <w:suppressAutoHyphens/>
              <w:jc w:val="right"/>
              <w:rPr>
                <w:rFonts w:cs="Arial"/>
                <w:b/>
                <w:spacing w:val="-2"/>
              </w:rPr>
            </w:pPr>
            <w:r>
              <w:rPr>
                <w:rFonts w:cs="Arial"/>
                <w:b/>
                <w:spacing w:val="-2"/>
              </w:rPr>
              <w:t>30/12/</w:t>
            </w:r>
            <w:r w:rsidR="007B3A0C" w:rsidRPr="004C6938">
              <w:rPr>
                <w:rFonts w:cs="Arial"/>
                <w:b/>
                <w:spacing w:val="-2"/>
              </w:rPr>
              <w:t>20</w:t>
            </w:r>
            <w:r w:rsidR="004F7207" w:rsidRPr="004C6938">
              <w:rPr>
                <w:rFonts w:cs="Arial"/>
                <w:b/>
                <w:spacing w:val="-2"/>
              </w:rPr>
              <w:t>2</w:t>
            </w:r>
            <w:r w:rsidR="004C6938">
              <w:rPr>
                <w:rFonts w:cs="Arial"/>
                <w:b/>
                <w:spacing w:val="-2"/>
              </w:rPr>
              <w:t>3</w:t>
            </w:r>
          </w:p>
          <w:p w14:paraId="4E4C7B4C" w14:textId="77777777" w:rsidR="00551794" w:rsidRPr="004C6938" w:rsidRDefault="00551794" w:rsidP="00E114B7">
            <w:pPr>
              <w:suppressAutoHyphens/>
              <w:ind w:right="78"/>
              <w:jc w:val="right"/>
              <w:rPr>
                <w:rFonts w:cs="Arial"/>
                <w:b/>
                <w:spacing w:val="-2"/>
              </w:rPr>
            </w:pPr>
            <w:r w:rsidRPr="004C6938">
              <w:rPr>
                <w:rFonts w:cs="Arial"/>
                <w:b/>
                <w:spacing w:val="-2"/>
              </w:rPr>
              <w:t>£’000</w:t>
            </w:r>
          </w:p>
        </w:tc>
      </w:tr>
      <w:tr w:rsidR="00F3718E" w:rsidRPr="00C328EF" w14:paraId="05CEE8D3" w14:textId="77777777" w:rsidTr="00E114B7">
        <w:tc>
          <w:tcPr>
            <w:tcW w:w="4914" w:type="dxa"/>
          </w:tcPr>
          <w:p w14:paraId="443A0DE7" w14:textId="77777777" w:rsidR="00F3718E" w:rsidRPr="00C328EF" w:rsidRDefault="00F3718E" w:rsidP="00F3718E">
            <w:pPr>
              <w:jc w:val="both"/>
              <w:rPr>
                <w:b/>
                <w:highlight w:val="yellow"/>
              </w:rPr>
            </w:pPr>
            <w:bookmarkStart w:id="44" w:name="_Hlk32996173"/>
            <w:r w:rsidRPr="00445120">
              <w:rPr>
                <w:b/>
              </w:rPr>
              <w:t>Equity Securities:</w:t>
            </w:r>
          </w:p>
        </w:tc>
        <w:tc>
          <w:tcPr>
            <w:tcW w:w="1006" w:type="dxa"/>
            <w:gridSpan w:val="2"/>
          </w:tcPr>
          <w:p w14:paraId="023434E2" w14:textId="77777777" w:rsidR="00F3718E" w:rsidRPr="00C328EF" w:rsidRDefault="00F3718E" w:rsidP="00F3718E">
            <w:pPr>
              <w:suppressAutoHyphens/>
              <w:ind w:right="78"/>
              <w:jc w:val="right"/>
              <w:rPr>
                <w:rFonts w:cs="Arial"/>
                <w:spacing w:val="-2"/>
                <w:highlight w:val="yellow"/>
              </w:rPr>
            </w:pPr>
          </w:p>
        </w:tc>
        <w:tc>
          <w:tcPr>
            <w:tcW w:w="1634" w:type="dxa"/>
          </w:tcPr>
          <w:p w14:paraId="27DD6D0A" w14:textId="77777777" w:rsidR="00F3718E" w:rsidRPr="00C328EF" w:rsidRDefault="00F3718E" w:rsidP="00F3718E">
            <w:pPr>
              <w:suppressAutoHyphens/>
              <w:ind w:right="78"/>
              <w:jc w:val="right"/>
              <w:rPr>
                <w:rFonts w:cs="Arial"/>
                <w:spacing w:val="-2"/>
                <w:highlight w:val="yellow"/>
              </w:rPr>
            </w:pPr>
          </w:p>
        </w:tc>
        <w:tc>
          <w:tcPr>
            <w:tcW w:w="1059" w:type="dxa"/>
            <w:gridSpan w:val="2"/>
          </w:tcPr>
          <w:p w14:paraId="74ACCF2E"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2495118C" w14:textId="77777777" w:rsidR="00F3718E" w:rsidRPr="00C328EF" w:rsidRDefault="00F3718E" w:rsidP="00F3718E">
            <w:pPr>
              <w:suppressAutoHyphens/>
              <w:ind w:right="78"/>
              <w:jc w:val="right"/>
              <w:rPr>
                <w:rFonts w:cs="Arial"/>
                <w:spacing w:val="-2"/>
                <w:highlight w:val="yellow"/>
              </w:rPr>
            </w:pPr>
          </w:p>
        </w:tc>
      </w:tr>
      <w:bookmarkEnd w:id="44"/>
      <w:tr w:rsidR="00F3718E" w:rsidRPr="00C328EF" w14:paraId="4714298A" w14:textId="77777777" w:rsidTr="00E114B7">
        <w:tc>
          <w:tcPr>
            <w:tcW w:w="4914" w:type="dxa"/>
          </w:tcPr>
          <w:p w14:paraId="6DC6ACA2" w14:textId="77777777" w:rsidR="00F3718E" w:rsidRPr="00C328EF" w:rsidRDefault="00F3718E" w:rsidP="00F3718E">
            <w:pPr>
              <w:jc w:val="both"/>
              <w:rPr>
                <w:highlight w:val="yellow"/>
              </w:rPr>
            </w:pPr>
            <w:r w:rsidRPr="00445120">
              <w:t>Consumer</w:t>
            </w:r>
          </w:p>
        </w:tc>
        <w:tc>
          <w:tcPr>
            <w:tcW w:w="1006" w:type="dxa"/>
            <w:gridSpan w:val="2"/>
          </w:tcPr>
          <w:p w14:paraId="79D9B5B7" w14:textId="77777777" w:rsidR="00F3718E" w:rsidRPr="00C328EF" w:rsidRDefault="00F3718E" w:rsidP="00F3718E">
            <w:pPr>
              <w:suppressAutoHyphens/>
              <w:ind w:right="78"/>
              <w:jc w:val="right"/>
              <w:rPr>
                <w:rFonts w:cs="Arial"/>
                <w:spacing w:val="-2"/>
                <w:highlight w:val="yellow"/>
              </w:rPr>
            </w:pPr>
            <w:r w:rsidRPr="00CE64EC">
              <w:rPr>
                <w:rFonts w:cs="Arial"/>
                <w:spacing w:val="-2"/>
              </w:rPr>
              <w:t>5%</w:t>
            </w:r>
          </w:p>
        </w:tc>
        <w:tc>
          <w:tcPr>
            <w:tcW w:w="1634" w:type="dxa"/>
          </w:tcPr>
          <w:p w14:paraId="301D18DB" w14:textId="77777777" w:rsidR="00F3718E" w:rsidRPr="00C328EF" w:rsidRDefault="00F3718E" w:rsidP="00F3718E">
            <w:pPr>
              <w:suppressAutoHyphens/>
              <w:ind w:right="78"/>
              <w:jc w:val="right"/>
              <w:rPr>
                <w:rFonts w:cs="Arial"/>
                <w:spacing w:val="-2"/>
                <w:highlight w:val="yellow"/>
              </w:rPr>
            </w:pPr>
            <w:r w:rsidRPr="00CE64EC">
              <w:rPr>
                <w:rFonts w:cs="Arial"/>
                <w:spacing w:val="-2"/>
              </w:rPr>
              <w:t>2</w:t>
            </w:r>
            <w:r>
              <w:rPr>
                <w:rFonts w:cs="Arial"/>
                <w:spacing w:val="-2"/>
              </w:rPr>
              <w:t>2</w:t>
            </w:r>
            <w:r w:rsidRPr="00CE64EC">
              <w:rPr>
                <w:rFonts w:cs="Arial"/>
                <w:spacing w:val="-2"/>
              </w:rPr>
              <w:t>,</w:t>
            </w:r>
            <w:r>
              <w:rPr>
                <w:rFonts w:cs="Arial"/>
                <w:spacing w:val="-2"/>
              </w:rPr>
              <w:t>305</w:t>
            </w:r>
          </w:p>
        </w:tc>
        <w:tc>
          <w:tcPr>
            <w:tcW w:w="1059" w:type="dxa"/>
            <w:gridSpan w:val="2"/>
          </w:tcPr>
          <w:p w14:paraId="674F4846" w14:textId="77777777" w:rsidR="00F3718E" w:rsidRPr="00C328EF" w:rsidRDefault="00F3718E" w:rsidP="00F3718E">
            <w:pPr>
              <w:suppressAutoHyphens/>
              <w:ind w:right="78"/>
              <w:jc w:val="right"/>
              <w:rPr>
                <w:rFonts w:cs="Arial"/>
                <w:spacing w:val="-2"/>
                <w:highlight w:val="yellow"/>
              </w:rPr>
            </w:pPr>
            <w:r w:rsidRPr="00445120">
              <w:rPr>
                <w:rFonts w:cs="Arial"/>
                <w:spacing w:val="-2"/>
              </w:rPr>
              <w:t>5%</w:t>
            </w:r>
          </w:p>
        </w:tc>
        <w:tc>
          <w:tcPr>
            <w:tcW w:w="1581" w:type="dxa"/>
            <w:gridSpan w:val="2"/>
          </w:tcPr>
          <w:p w14:paraId="6794808A" w14:textId="77777777" w:rsidR="00F3718E" w:rsidRPr="00C328EF" w:rsidRDefault="00F3718E" w:rsidP="00F3718E">
            <w:pPr>
              <w:suppressAutoHyphens/>
              <w:ind w:right="78"/>
              <w:jc w:val="right"/>
              <w:rPr>
                <w:rFonts w:cs="Arial"/>
                <w:spacing w:val="-2"/>
                <w:highlight w:val="yellow"/>
              </w:rPr>
            </w:pPr>
            <w:r w:rsidRPr="00445120">
              <w:rPr>
                <w:rFonts w:cs="Arial"/>
                <w:spacing w:val="-2"/>
              </w:rPr>
              <w:t>27,180</w:t>
            </w:r>
          </w:p>
        </w:tc>
      </w:tr>
      <w:tr w:rsidR="00F3718E" w:rsidRPr="00C328EF" w14:paraId="5B3BB4F6" w14:textId="77777777" w:rsidTr="00E114B7">
        <w:tc>
          <w:tcPr>
            <w:tcW w:w="4914" w:type="dxa"/>
          </w:tcPr>
          <w:p w14:paraId="6B8A7330" w14:textId="77777777" w:rsidR="00F3718E" w:rsidRPr="00C328EF" w:rsidRDefault="00F3718E" w:rsidP="00F3718E">
            <w:pPr>
              <w:jc w:val="both"/>
              <w:rPr>
                <w:highlight w:val="yellow"/>
              </w:rPr>
            </w:pPr>
            <w:r w:rsidRPr="00445120">
              <w:t>Manufacturing</w:t>
            </w:r>
          </w:p>
        </w:tc>
        <w:tc>
          <w:tcPr>
            <w:tcW w:w="1006" w:type="dxa"/>
            <w:gridSpan w:val="2"/>
          </w:tcPr>
          <w:p w14:paraId="3971F365" w14:textId="77777777" w:rsidR="00F3718E" w:rsidRPr="00C328EF" w:rsidRDefault="00F3718E" w:rsidP="00F3718E">
            <w:pPr>
              <w:suppressAutoHyphens/>
              <w:ind w:right="78"/>
              <w:jc w:val="right"/>
              <w:rPr>
                <w:rFonts w:cs="Arial"/>
                <w:spacing w:val="-2"/>
                <w:highlight w:val="yellow"/>
              </w:rPr>
            </w:pPr>
            <w:r w:rsidRPr="00CE64EC">
              <w:rPr>
                <w:rFonts w:cs="Arial"/>
                <w:spacing w:val="-2"/>
              </w:rPr>
              <w:t>5%</w:t>
            </w:r>
          </w:p>
        </w:tc>
        <w:tc>
          <w:tcPr>
            <w:tcW w:w="1634" w:type="dxa"/>
          </w:tcPr>
          <w:p w14:paraId="63934660" w14:textId="77777777" w:rsidR="00F3718E" w:rsidRPr="00C328EF" w:rsidRDefault="00F3718E" w:rsidP="00F3718E">
            <w:pPr>
              <w:suppressAutoHyphens/>
              <w:ind w:right="78"/>
              <w:jc w:val="right"/>
              <w:rPr>
                <w:rFonts w:cs="Arial"/>
                <w:spacing w:val="-2"/>
                <w:highlight w:val="yellow"/>
              </w:rPr>
            </w:pPr>
            <w:r w:rsidRPr="00CE64EC">
              <w:rPr>
                <w:rFonts w:cs="Arial"/>
                <w:spacing w:val="-2"/>
              </w:rPr>
              <w:t>2</w:t>
            </w:r>
            <w:r>
              <w:rPr>
                <w:rFonts w:cs="Arial"/>
                <w:spacing w:val="-2"/>
              </w:rPr>
              <w:t>5</w:t>
            </w:r>
            <w:r w:rsidRPr="00CE64EC">
              <w:rPr>
                <w:rFonts w:cs="Arial"/>
                <w:spacing w:val="-2"/>
              </w:rPr>
              <w:t>,</w:t>
            </w:r>
            <w:r>
              <w:rPr>
                <w:rFonts w:cs="Arial"/>
                <w:spacing w:val="-2"/>
              </w:rPr>
              <w:t>043</w:t>
            </w:r>
          </w:p>
        </w:tc>
        <w:tc>
          <w:tcPr>
            <w:tcW w:w="1059" w:type="dxa"/>
            <w:gridSpan w:val="2"/>
          </w:tcPr>
          <w:p w14:paraId="23FFC52A" w14:textId="77777777" w:rsidR="00F3718E" w:rsidRPr="00C328EF" w:rsidRDefault="00F3718E" w:rsidP="00F3718E">
            <w:pPr>
              <w:suppressAutoHyphens/>
              <w:ind w:right="78"/>
              <w:jc w:val="right"/>
              <w:rPr>
                <w:rFonts w:cs="Arial"/>
                <w:spacing w:val="-2"/>
                <w:highlight w:val="yellow"/>
              </w:rPr>
            </w:pPr>
            <w:r w:rsidRPr="00445120">
              <w:rPr>
                <w:rFonts w:cs="Arial"/>
                <w:spacing w:val="-2"/>
              </w:rPr>
              <w:t>6%</w:t>
            </w:r>
          </w:p>
        </w:tc>
        <w:tc>
          <w:tcPr>
            <w:tcW w:w="1581" w:type="dxa"/>
            <w:gridSpan w:val="2"/>
          </w:tcPr>
          <w:p w14:paraId="263BB281" w14:textId="77777777" w:rsidR="00F3718E" w:rsidRPr="00C328EF" w:rsidRDefault="00F3718E" w:rsidP="00F3718E">
            <w:pPr>
              <w:suppressAutoHyphens/>
              <w:ind w:right="78"/>
              <w:jc w:val="right"/>
              <w:rPr>
                <w:rFonts w:cs="Arial"/>
                <w:spacing w:val="-2"/>
                <w:highlight w:val="yellow"/>
              </w:rPr>
            </w:pPr>
            <w:r w:rsidRPr="00445120">
              <w:rPr>
                <w:rFonts w:cs="Arial"/>
                <w:spacing w:val="-2"/>
              </w:rPr>
              <w:t>30,772</w:t>
            </w:r>
          </w:p>
        </w:tc>
      </w:tr>
      <w:tr w:rsidR="00F3718E" w:rsidRPr="00C328EF" w14:paraId="64976825" w14:textId="77777777" w:rsidTr="00E114B7">
        <w:tc>
          <w:tcPr>
            <w:tcW w:w="4914" w:type="dxa"/>
          </w:tcPr>
          <w:p w14:paraId="1C9A20C1" w14:textId="77777777" w:rsidR="00F3718E" w:rsidRPr="00C328EF" w:rsidRDefault="00F3718E" w:rsidP="00F3718E">
            <w:pPr>
              <w:jc w:val="both"/>
              <w:rPr>
                <w:highlight w:val="yellow"/>
              </w:rPr>
            </w:pPr>
            <w:r w:rsidRPr="00445120">
              <w:t>Energy and Utilities</w:t>
            </w:r>
          </w:p>
        </w:tc>
        <w:tc>
          <w:tcPr>
            <w:tcW w:w="1006" w:type="dxa"/>
            <w:gridSpan w:val="2"/>
          </w:tcPr>
          <w:p w14:paraId="5FE7485B" w14:textId="77777777" w:rsidR="00F3718E" w:rsidRPr="00C328EF" w:rsidRDefault="00F3718E" w:rsidP="00F3718E">
            <w:pPr>
              <w:suppressAutoHyphens/>
              <w:ind w:right="78"/>
              <w:jc w:val="right"/>
              <w:rPr>
                <w:rFonts w:cs="Arial"/>
                <w:spacing w:val="-2"/>
                <w:highlight w:val="yellow"/>
              </w:rPr>
            </w:pPr>
            <w:r w:rsidRPr="00CE64EC">
              <w:rPr>
                <w:rFonts w:cs="Arial"/>
                <w:spacing w:val="-2"/>
              </w:rPr>
              <w:t>2%</w:t>
            </w:r>
          </w:p>
        </w:tc>
        <w:tc>
          <w:tcPr>
            <w:tcW w:w="1634" w:type="dxa"/>
          </w:tcPr>
          <w:p w14:paraId="46CFA665" w14:textId="77777777" w:rsidR="00F3718E" w:rsidRPr="00C328EF" w:rsidRDefault="00F3718E" w:rsidP="00F3718E">
            <w:pPr>
              <w:suppressAutoHyphens/>
              <w:ind w:right="78"/>
              <w:jc w:val="right"/>
              <w:rPr>
                <w:rFonts w:cs="Arial"/>
                <w:spacing w:val="-2"/>
                <w:highlight w:val="yellow"/>
              </w:rPr>
            </w:pPr>
            <w:r w:rsidRPr="00CE64EC">
              <w:rPr>
                <w:rFonts w:cs="Arial"/>
                <w:spacing w:val="-2"/>
              </w:rPr>
              <w:t>9,</w:t>
            </w:r>
            <w:r>
              <w:rPr>
                <w:rFonts w:cs="Arial"/>
                <w:spacing w:val="-2"/>
              </w:rPr>
              <w:t>884</w:t>
            </w:r>
          </w:p>
        </w:tc>
        <w:tc>
          <w:tcPr>
            <w:tcW w:w="1059" w:type="dxa"/>
            <w:gridSpan w:val="2"/>
          </w:tcPr>
          <w:p w14:paraId="272F5AA4" w14:textId="77777777" w:rsidR="00F3718E" w:rsidRPr="00C328EF" w:rsidRDefault="00F3718E" w:rsidP="00F3718E">
            <w:pPr>
              <w:suppressAutoHyphens/>
              <w:ind w:right="78"/>
              <w:jc w:val="right"/>
              <w:rPr>
                <w:rFonts w:cs="Arial"/>
                <w:spacing w:val="-2"/>
                <w:highlight w:val="yellow"/>
              </w:rPr>
            </w:pPr>
            <w:r w:rsidRPr="00445120">
              <w:rPr>
                <w:rFonts w:cs="Arial"/>
                <w:spacing w:val="-2"/>
              </w:rPr>
              <w:t>3%</w:t>
            </w:r>
          </w:p>
        </w:tc>
        <w:tc>
          <w:tcPr>
            <w:tcW w:w="1581" w:type="dxa"/>
            <w:gridSpan w:val="2"/>
          </w:tcPr>
          <w:p w14:paraId="5EB51945" w14:textId="77777777" w:rsidR="00F3718E" w:rsidRPr="00C328EF" w:rsidRDefault="00F3718E" w:rsidP="00F3718E">
            <w:pPr>
              <w:suppressAutoHyphens/>
              <w:ind w:right="78"/>
              <w:jc w:val="right"/>
              <w:rPr>
                <w:rFonts w:cs="Arial"/>
                <w:spacing w:val="-2"/>
                <w:highlight w:val="yellow"/>
              </w:rPr>
            </w:pPr>
            <w:r w:rsidRPr="00445120">
              <w:rPr>
                <w:rFonts w:cs="Arial"/>
                <w:spacing w:val="-2"/>
              </w:rPr>
              <w:t>13,200</w:t>
            </w:r>
          </w:p>
        </w:tc>
      </w:tr>
      <w:tr w:rsidR="00F3718E" w:rsidRPr="00C328EF" w14:paraId="50F8627D" w14:textId="77777777" w:rsidTr="00E114B7">
        <w:tc>
          <w:tcPr>
            <w:tcW w:w="4914" w:type="dxa"/>
          </w:tcPr>
          <w:p w14:paraId="1F834BDA" w14:textId="77777777" w:rsidR="00F3718E" w:rsidRPr="00C328EF" w:rsidRDefault="00F3718E" w:rsidP="00F3718E">
            <w:pPr>
              <w:jc w:val="both"/>
              <w:rPr>
                <w:highlight w:val="yellow"/>
              </w:rPr>
            </w:pPr>
            <w:r w:rsidRPr="00445120">
              <w:t>Financial Institutions</w:t>
            </w:r>
          </w:p>
        </w:tc>
        <w:tc>
          <w:tcPr>
            <w:tcW w:w="1006" w:type="dxa"/>
            <w:gridSpan w:val="2"/>
          </w:tcPr>
          <w:p w14:paraId="0B01C011" w14:textId="77777777" w:rsidR="00F3718E" w:rsidRPr="00C328EF" w:rsidRDefault="00F3718E" w:rsidP="00F3718E">
            <w:pPr>
              <w:suppressAutoHyphens/>
              <w:ind w:right="78"/>
              <w:jc w:val="right"/>
              <w:rPr>
                <w:rFonts w:cs="Arial"/>
                <w:spacing w:val="-2"/>
                <w:highlight w:val="yellow"/>
              </w:rPr>
            </w:pPr>
            <w:r w:rsidRPr="00CE64EC">
              <w:rPr>
                <w:rFonts w:cs="Arial"/>
                <w:spacing w:val="-2"/>
              </w:rPr>
              <w:t>2%</w:t>
            </w:r>
          </w:p>
        </w:tc>
        <w:tc>
          <w:tcPr>
            <w:tcW w:w="1634" w:type="dxa"/>
          </w:tcPr>
          <w:p w14:paraId="5D3205CB" w14:textId="77777777" w:rsidR="00F3718E" w:rsidRPr="00C328EF" w:rsidRDefault="00F3718E" w:rsidP="00F3718E">
            <w:pPr>
              <w:suppressAutoHyphens/>
              <w:ind w:right="78"/>
              <w:jc w:val="right"/>
              <w:rPr>
                <w:rFonts w:cs="Arial"/>
                <w:spacing w:val="-2"/>
                <w:highlight w:val="yellow"/>
              </w:rPr>
            </w:pPr>
            <w:r w:rsidRPr="00CE64EC">
              <w:rPr>
                <w:rFonts w:cs="Arial"/>
                <w:spacing w:val="-2"/>
              </w:rPr>
              <w:t>10,</w:t>
            </w:r>
            <w:r>
              <w:rPr>
                <w:rFonts w:cs="Arial"/>
                <w:spacing w:val="-2"/>
              </w:rPr>
              <w:t>300</w:t>
            </w:r>
          </w:p>
        </w:tc>
        <w:tc>
          <w:tcPr>
            <w:tcW w:w="1059" w:type="dxa"/>
            <w:gridSpan w:val="2"/>
          </w:tcPr>
          <w:p w14:paraId="631530BC" w14:textId="77777777" w:rsidR="00F3718E" w:rsidRPr="00C328EF" w:rsidRDefault="00F3718E" w:rsidP="00F3718E">
            <w:pPr>
              <w:suppressAutoHyphens/>
              <w:ind w:right="78"/>
              <w:jc w:val="right"/>
              <w:rPr>
                <w:rFonts w:cs="Arial"/>
                <w:spacing w:val="-2"/>
                <w:highlight w:val="yellow"/>
              </w:rPr>
            </w:pPr>
            <w:r w:rsidRPr="00445120">
              <w:rPr>
                <w:rFonts w:cs="Arial"/>
                <w:spacing w:val="-2"/>
              </w:rPr>
              <w:t>3%</w:t>
            </w:r>
          </w:p>
        </w:tc>
        <w:tc>
          <w:tcPr>
            <w:tcW w:w="1581" w:type="dxa"/>
            <w:gridSpan w:val="2"/>
          </w:tcPr>
          <w:p w14:paraId="3EFB7D08" w14:textId="77777777" w:rsidR="00F3718E" w:rsidRPr="00C328EF" w:rsidRDefault="00F3718E" w:rsidP="00F3718E">
            <w:pPr>
              <w:suppressAutoHyphens/>
              <w:ind w:right="78"/>
              <w:jc w:val="right"/>
              <w:rPr>
                <w:rFonts w:cs="Arial"/>
                <w:spacing w:val="-2"/>
                <w:highlight w:val="yellow"/>
              </w:rPr>
            </w:pPr>
            <w:r w:rsidRPr="00445120">
              <w:rPr>
                <w:rFonts w:cs="Arial"/>
                <w:spacing w:val="-2"/>
              </w:rPr>
              <w:t>13,530</w:t>
            </w:r>
          </w:p>
        </w:tc>
      </w:tr>
      <w:tr w:rsidR="00F3718E" w:rsidRPr="00C328EF" w14:paraId="4427D034" w14:textId="77777777" w:rsidTr="00E114B7">
        <w:tc>
          <w:tcPr>
            <w:tcW w:w="4914" w:type="dxa"/>
          </w:tcPr>
          <w:p w14:paraId="63E7334B" w14:textId="77777777" w:rsidR="00F3718E" w:rsidRPr="00C328EF" w:rsidRDefault="00F3718E" w:rsidP="00F3718E">
            <w:pPr>
              <w:jc w:val="both"/>
              <w:rPr>
                <w:highlight w:val="yellow"/>
              </w:rPr>
            </w:pPr>
            <w:r w:rsidRPr="00445120">
              <w:t>Health and Care</w:t>
            </w:r>
          </w:p>
        </w:tc>
        <w:tc>
          <w:tcPr>
            <w:tcW w:w="1006" w:type="dxa"/>
            <w:gridSpan w:val="2"/>
          </w:tcPr>
          <w:p w14:paraId="37A7B4F0" w14:textId="77777777" w:rsidR="00F3718E" w:rsidRPr="00C328EF" w:rsidRDefault="00F3718E" w:rsidP="00F3718E">
            <w:pPr>
              <w:suppressAutoHyphens/>
              <w:ind w:right="78"/>
              <w:jc w:val="right"/>
              <w:rPr>
                <w:rFonts w:cs="Arial"/>
                <w:spacing w:val="-2"/>
                <w:highlight w:val="yellow"/>
              </w:rPr>
            </w:pPr>
            <w:r w:rsidRPr="00CE64EC">
              <w:rPr>
                <w:rFonts w:cs="Arial"/>
                <w:spacing w:val="-2"/>
              </w:rPr>
              <w:t>2%</w:t>
            </w:r>
          </w:p>
        </w:tc>
        <w:tc>
          <w:tcPr>
            <w:tcW w:w="1634" w:type="dxa"/>
          </w:tcPr>
          <w:p w14:paraId="37D53C38" w14:textId="77777777" w:rsidR="00F3718E" w:rsidRPr="00C328EF" w:rsidRDefault="00F3718E" w:rsidP="00F3718E">
            <w:pPr>
              <w:suppressAutoHyphens/>
              <w:ind w:right="78"/>
              <w:jc w:val="right"/>
              <w:rPr>
                <w:rFonts w:cs="Arial"/>
                <w:spacing w:val="-2"/>
                <w:highlight w:val="yellow"/>
              </w:rPr>
            </w:pPr>
            <w:r w:rsidRPr="00CE64EC">
              <w:rPr>
                <w:rFonts w:cs="Arial"/>
                <w:spacing w:val="-2"/>
              </w:rPr>
              <w:t>1</w:t>
            </w:r>
            <w:r>
              <w:rPr>
                <w:rFonts w:cs="Arial"/>
                <w:spacing w:val="-2"/>
              </w:rPr>
              <w:t>2</w:t>
            </w:r>
            <w:r w:rsidRPr="00CE64EC">
              <w:rPr>
                <w:rFonts w:cs="Arial"/>
                <w:spacing w:val="-2"/>
              </w:rPr>
              <w:t>,</w:t>
            </w:r>
            <w:r>
              <w:rPr>
                <w:rFonts w:cs="Arial"/>
                <w:spacing w:val="-2"/>
              </w:rPr>
              <w:t>155</w:t>
            </w:r>
          </w:p>
        </w:tc>
        <w:tc>
          <w:tcPr>
            <w:tcW w:w="1059" w:type="dxa"/>
            <w:gridSpan w:val="2"/>
          </w:tcPr>
          <w:p w14:paraId="0A7412CE" w14:textId="77777777" w:rsidR="00F3718E" w:rsidRPr="00C328EF" w:rsidRDefault="00F3718E" w:rsidP="00F3718E">
            <w:pPr>
              <w:suppressAutoHyphens/>
              <w:ind w:right="78"/>
              <w:jc w:val="right"/>
              <w:rPr>
                <w:rFonts w:cs="Arial"/>
                <w:spacing w:val="-2"/>
                <w:highlight w:val="yellow"/>
              </w:rPr>
            </w:pPr>
            <w:r w:rsidRPr="00445120">
              <w:rPr>
                <w:rFonts w:cs="Arial"/>
                <w:spacing w:val="-2"/>
              </w:rPr>
              <w:t>3%</w:t>
            </w:r>
          </w:p>
        </w:tc>
        <w:tc>
          <w:tcPr>
            <w:tcW w:w="1581" w:type="dxa"/>
            <w:gridSpan w:val="2"/>
          </w:tcPr>
          <w:p w14:paraId="22020FE0" w14:textId="77777777" w:rsidR="00F3718E" w:rsidRPr="00C328EF" w:rsidRDefault="00F3718E" w:rsidP="00F3718E">
            <w:pPr>
              <w:suppressAutoHyphens/>
              <w:ind w:right="78"/>
              <w:jc w:val="right"/>
              <w:rPr>
                <w:rFonts w:cs="Arial"/>
                <w:spacing w:val="-2"/>
                <w:highlight w:val="yellow"/>
              </w:rPr>
            </w:pPr>
            <w:r w:rsidRPr="00445120">
              <w:rPr>
                <w:rFonts w:cs="Arial"/>
                <w:spacing w:val="-2"/>
              </w:rPr>
              <w:t>15,961</w:t>
            </w:r>
          </w:p>
        </w:tc>
      </w:tr>
      <w:tr w:rsidR="00F3718E" w:rsidRPr="00C328EF" w14:paraId="16AF0EBD" w14:textId="77777777" w:rsidTr="00E114B7">
        <w:tc>
          <w:tcPr>
            <w:tcW w:w="4914" w:type="dxa"/>
          </w:tcPr>
          <w:p w14:paraId="466B2DD6" w14:textId="77777777" w:rsidR="00F3718E" w:rsidRPr="00C328EF" w:rsidRDefault="00F3718E" w:rsidP="00F3718E">
            <w:pPr>
              <w:jc w:val="both"/>
              <w:rPr>
                <w:highlight w:val="yellow"/>
              </w:rPr>
            </w:pPr>
            <w:r w:rsidRPr="00445120">
              <w:t>Information Technology</w:t>
            </w:r>
          </w:p>
        </w:tc>
        <w:tc>
          <w:tcPr>
            <w:tcW w:w="1006" w:type="dxa"/>
            <w:gridSpan w:val="2"/>
          </w:tcPr>
          <w:p w14:paraId="18CA4782" w14:textId="77777777" w:rsidR="00F3718E" w:rsidRPr="00C328EF" w:rsidRDefault="00F3718E" w:rsidP="00F3718E">
            <w:pPr>
              <w:suppressAutoHyphens/>
              <w:ind w:right="78"/>
              <w:jc w:val="right"/>
              <w:rPr>
                <w:rFonts w:cs="Arial"/>
                <w:spacing w:val="-2"/>
                <w:highlight w:val="yellow"/>
              </w:rPr>
            </w:pPr>
            <w:r w:rsidRPr="00CE64EC">
              <w:rPr>
                <w:rFonts w:cs="Arial"/>
                <w:spacing w:val="-2"/>
              </w:rPr>
              <w:t>1%</w:t>
            </w:r>
          </w:p>
        </w:tc>
        <w:tc>
          <w:tcPr>
            <w:tcW w:w="1634" w:type="dxa"/>
          </w:tcPr>
          <w:p w14:paraId="2325F4C2" w14:textId="77777777" w:rsidR="00F3718E" w:rsidRPr="00C328EF" w:rsidRDefault="00F3718E" w:rsidP="00F3718E">
            <w:pPr>
              <w:suppressAutoHyphens/>
              <w:ind w:right="78"/>
              <w:jc w:val="right"/>
              <w:rPr>
                <w:rFonts w:cs="Arial"/>
                <w:spacing w:val="-2"/>
                <w:highlight w:val="yellow"/>
              </w:rPr>
            </w:pPr>
            <w:r w:rsidRPr="00CE64EC">
              <w:rPr>
                <w:rFonts w:cs="Arial"/>
                <w:spacing w:val="-2"/>
              </w:rPr>
              <w:t>6,</w:t>
            </w:r>
            <w:r>
              <w:rPr>
                <w:rFonts w:cs="Arial"/>
                <w:spacing w:val="-2"/>
              </w:rPr>
              <w:t>484</w:t>
            </w:r>
          </w:p>
        </w:tc>
        <w:tc>
          <w:tcPr>
            <w:tcW w:w="1059" w:type="dxa"/>
            <w:gridSpan w:val="2"/>
          </w:tcPr>
          <w:p w14:paraId="022B889A" w14:textId="77777777" w:rsidR="00F3718E" w:rsidRPr="00C328EF" w:rsidRDefault="00F3718E" w:rsidP="00F3718E">
            <w:pPr>
              <w:suppressAutoHyphens/>
              <w:ind w:right="78"/>
              <w:jc w:val="right"/>
              <w:rPr>
                <w:rFonts w:cs="Arial"/>
                <w:spacing w:val="-2"/>
                <w:highlight w:val="yellow"/>
              </w:rPr>
            </w:pPr>
            <w:r w:rsidRPr="00445120">
              <w:rPr>
                <w:rFonts w:cs="Arial"/>
                <w:spacing w:val="-2"/>
              </w:rPr>
              <w:t>2%</w:t>
            </w:r>
          </w:p>
        </w:tc>
        <w:tc>
          <w:tcPr>
            <w:tcW w:w="1581" w:type="dxa"/>
            <w:gridSpan w:val="2"/>
          </w:tcPr>
          <w:p w14:paraId="5B24326B" w14:textId="77777777" w:rsidR="00F3718E" w:rsidRPr="00C328EF" w:rsidRDefault="00F3718E" w:rsidP="00F3718E">
            <w:pPr>
              <w:suppressAutoHyphens/>
              <w:ind w:right="78"/>
              <w:jc w:val="right"/>
              <w:rPr>
                <w:rFonts w:cs="Arial"/>
                <w:spacing w:val="-2"/>
                <w:highlight w:val="yellow"/>
              </w:rPr>
            </w:pPr>
            <w:r w:rsidRPr="00445120">
              <w:rPr>
                <w:rFonts w:cs="Arial"/>
                <w:spacing w:val="-2"/>
              </w:rPr>
              <w:t>10,975</w:t>
            </w:r>
          </w:p>
        </w:tc>
      </w:tr>
      <w:tr w:rsidR="00F3718E" w:rsidRPr="00C328EF" w14:paraId="0D9FA678" w14:textId="77777777" w:rsidTr="00E114B7">
        <w:tc>
          <w:tcPr>
            <w:tcW w:w="4914" w:type="dxa"/>
          </w:tcPr>
          <w:p w14:paraId="54D5274D" w14:textId="77777777" w:rsidR="00F3718E" w:rsidRPr="00C328EF" w:rsidRDefault="00F3718E" w:rsidP="00F3718E">
            <w:pPr>
              <w:jc w:val="both"/>
              <w:rPr>
                <w:highlight w:val="yellow"/>
              </w:rPr>
            </w:pPr>
            <w:r w:rsidRPr="00445120">
              <w:t>Other</w:t>
            </w:r>
          </w:p>
        </w:tc>
        <w:tc>
          <w:tcPr>
            <w:tcW w:w="1006" w:type="dxa"/>
            <w:gridSpan w:val="2"/>
          </w:tcPr>
          <w:p w14:paraId="1051891F" w14:textId="77777777" w:rsidR="00F3718E" w:rsidRPr="00C328EF" w:rsidRDefault="00F3718E" w:rsidP="00F3718E">
            <w:pPr>
              <w:suppressAutoHyphens/>
              <w:ind w:right="78"/>
              <w:jc w:val="right"/>
              <w:rPr>
                <w:rFonts w:cs="Arial"/>
                <w:spacing w:val="-2"/>
                <w:highlight w:val="yellow"/>
              </w:rPr>
            </w:pPr>
            <w:r w:rsidRPr="00CE64EC">
              <w:rPr>
                <w:rFonts w:cs="Arial"/>
                <w:spacing w:val="-2"/>
              </w:rPr>
              <w:t>3%</w:t>
            </w:r>
          </w:p>
        </w:tc>
        <w:tc>
          <w:tcPr>
            <w:tcW w:w="1634" w:type="dxa"/>
          </w:tcPr>
          <w:p w14:paraId="23061D11" w14:textId="77777777" w:rsidR="00F3718E" w:rsidRPr="00C328EF" w:rsidRDefault="00F3718E" w:rsidP="00F3718E">
            <w:pPr>
              <w:suppressAutoHyphens/>
              <w:ind w:right="78"/>
              <w:jc w:val="right"/>
              <w:rPr>
                <w:rFonts w:cs="Arial"/>
                <w:spacing w:val="-2"/>
                <w:highlight w:val="yellow"/>
              </w:rPr>
            </w:pPr>
            <w:r w:rsidRPr="00CE64EC">
              <w:rPr>
                <w:rFonts w:cs="Arial"/>
                <w:spacing w:val="-2"/>
              </w:rPr>
              <w:t>1</w:t>
            </w:r>
            <w:r>
              <w:rPr>
                <w:rFonts w:cs="Arial"/>
                <w:spacing w:val="-2"/>
              </w:rPr>
              <w:t>3</w:t>
            </w:r>
            <w:r w:rsidRPr="00CE64EC">
              <w:rPr>
                <w:rFonts w:cs="Arial"/>
                <w:spacing w:val="-2"/>
              </w:rPr>
              <w:t>,</w:t>
            </w:r>
            <w:r>
              <w:rPr>
                <w:rFonts w:cs="Arial"/>
                <w:spacing w:val="-2"/>
              </w:rPr>
              <w:t>140</w:t>
            </w:r>
          </w:p>
        </w:tc>
        <w:tc>
          <w:tcPr>
            <w:tcW w:w="1059" w:type="dxa"/>
            <w:gridSpan w:val="2"/>
          </w:tcPr>
          <w:p w14:paraId="3C95CE7F" w14:textId="77777777" w:rsidR="00F3718E" w:rsidRPr="00C328EF" w:rsidRDefault="00F3718E" w:rsidP="00F3718E">
            <w:pPr>
              <w:suppressAutoHyphens/>
              <w:ind w:right="78"/>
              <w:jc w:val="right"/>
              <w:rPr>
                <w:rFonts w:cs="Arial"/>
                <w:spacing w:val="-2"/>
                <w:highlight w:val="yellow"/>
              </w:rPr>
            </w:pPr>
            <w:r w:rsidRPr="00445120">
              <w:rPr>
                <w:rFonts w:cs="Arial"/>
                <w:spacing w:val="-2"/>
              </w:rPr>
              <w:t>3%</w:t>
            </w:r>
          </w:p>
        </w:tc>
        <w:tc>
          <w:tcPr>
            <w:tcW w:w="1581" w:type="dxa"/>
            <w:gridSpan w:val="2"/>
          </w:tcPr>
          <w:p w14:paraId="5A1FB640" w14:textId="77777777" w:rsidR="00F3718E" w:rsidRPr="00C328EF" w:rsidRDefault="00F3718E" w:rsidP="00F3718E">
            <w:pPr>
              <w:suppressAutoHyphens/>
              <w:ind w:right="78"/>
              <w:jc w:val="right"/>
              <w:rPr>
                <w:rFonts w:cs="Arial"/>
                <w:spacing w:val="-2"/>
                <w:highlight w:val="yellow"/>
              </w:rPr>
            </w:pPr>
            <w:r w:rsidRPr="00445120">
              <w:rPr>
                <w:rFonts w:cs="Arial"/>
                <w:spacing w:val="-2"/>
              </w:rPr>
              <w:t>16,107</w:t>
            </w:r>
          </w:p>
        </w:tc>
      </w:tr>
      <w:tr w:rsidR="00F3718E" w:rsidRPr="00C328EF" w14:paraId="50E7E1AE" w14:textId="77777777" w:rsidTr="00E114B7">
        <w:tc>
          <w:tcPr>
            <w:tcW w:w="4914" w:type="dxa"/>
          </w:tcPr>
          <w:p w14:paraId="40C20EAE" w14:textId="77777777" w:rsidR="00F3718E" w:rsidRPr="00C328EF" w:rsidRDefault="00F3718E" w:rsidP="00F3718E">
            <w:pPr>
              <w:jc w:val="both"/>
              <w:rPr>
                <w:b/>
                <w:highlight w:val="yellow"/>
              </w:rPr>
            </w:pPr>
          </w:p>
        </w:tc>
        <w:tc>
          <w:tcPr>
            <w:tcW w:w="1006" w:type="dxa"/>
            <w:gridSpan w:val="2"/>
          </w:tcPr>
          <w:p w14:paraId="6FB9EED1" w14:textId="77777777" w:rsidR="00F3718E" w:rsidRPr="00C328EF" w:rsidRDefault="00F3718E" w:rsidP="00F3718E">
            <w:pPr>
              <w:suppressAutoHyphens/>
              <w:ind w:right="78"/>
              <w:jc w:val="right"/>
              <w:rPr>
                <w:rFonts w:cs="Arial"/>
                <w:spacing w:val="-2"/>
                <w:highlight w:val="yellow"/>
              </w:rPr>
            </w:pPr>
          </w:p>
        </w:tc>
        <w:tc>
          <w:tcPr>
            <w:tcW w:w="1634" w:type="dxa"/>
          </w:tcPr>
          <w:p w14:paraId="4B0BBE50" w14:textId="77777777" w:rsidR="00F3718E" w:rsidRPr="00C328EF" w:rsidRDefault="00F3718E" w:rsidP="00F3718E">
            <w:pPr>
              <w:suppressAutoHyphens/>
              <w:ind w:right="78"/>
              <w:jc w:val="right"/>
              <w:rPr>
                <w:rFonts w:cs="Arial"/>
                <w:spacing w:val="-2"/>
                <w:highlight w:val="yellow"/>
              </w:rPr>
            </w:pPr>
          </w:p>
        </w:tc>
        <w:tc>
          <w:tcPr>
            <w:tcW w:w="1059" w:type="dxa"/>
            <w:gridSpan w:val="2"/>
          </w:tcPr>
          <w:p w14:paraId="1C90DC9B"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7C6BDC1B" w14:textId="77777777" w:rsidR="00F3718E" w:rsidRPr="00C328EF" w:rsidRDefault="00F3718E" w:rsidP="00F3718E">
            <w:pPr>
              <w:suppressAutoHyphens/>
              <w:ind w:right="78"/>
              <w:jc w:val="right"/>
              <w:rPr>
                <w:rFonts w:cs="Arial"/>
                <w:spacing w:val="-2"/>
                <w:highlight w:val="yellow"/>
              </w:rPr>
            </w:pPr>
          </w:p>
        </w:tc>
      </w:tr>
      <w:tr w:rsidR="00F3718E" w:rsidRPr="00C328EF" w14:paraId="4BCA456B" w14:textId="77777777" w:rsidTr="00E114B7">
        <w:tc>
          <w:tcPr>
            <w:tcW w:w="4914" w:type="dxa"/>
          </w:tcPr>
          <w:p w14:paraId="6AC9C360" w14:textId="77777777" w:rsidR="00F3718E" w:rsidRPr="00C328EF" w:rsidRDefault="00F3718E" w:rsidP="00F3718E">
            <w:pPr>
              <w:jc w:val="both"/>
              <w:rPr>
                <w:b/>
                <w:highlight w:val="yellow"/>
              </w:rPr>
            </w:pPr>
            <w:r w:rsidRPr="00445120">
              <w:rPr>
                <w:b/>
              </w:rPr>
              <w:t>Debt Securities:</w:t>
            </w:r>
          </w:p>
        </w:tc>
        <w:tc>
          <w:tcPr>
            <w:tcW w:w="1006" w:type="dxa"/>
            <w:gridSpan w:val="2"/>
          </w:tcPr>
          <w:p w14:paraId="59591AAE" w14:textId="77777777" w:rsidR="00F3718E" w:rsidRPr="00C328EF" w:rsidRDefault="00F3718E" w:rsidP="00F3718E">
            <w:pPr>
              <w:suppressAutoHyphens/>
              <w:ind w:right="78"/>
              <w:jc w:val="right"/>
              <w:rPr>
                <w:rFonts w:cs="Arial"/>
                <w:spacing w:val="-2"/>
                <w:highlight w:val="yellow"/>
              </w:rPr>
            </w:pPr>
          </w:p>
        </w:tc>
        <w:tc>
          <w:tcPr>
            <w:tcW w:w="1634" w:type="dxa"/>
          </w:tcPr>
          <w:p w14:paraId="4A617920" w14:textId="77777777" w:rsidR="00F3718E" w:rsidRPr="00C328EF" w:rsidRDefault="00F3718E" w:rsidP="00F3718E">
            <w:pPr>
              <w:suppressAutoHyphens/>
              <w:ind w:right="78"/>
              <w:jc w:val="right"/>
              <w:rPr>
                <w:rFonts w:cs="Arial"/>
                <w:spacing w:val="-2"/>
                <w:highlight w:val="yellow"/>
              </w:rPr>
            </w:pPr>
          </w:p>
        </w:tc>
        <w:tc>
          <w:tcPr>
            <w:tcW w:w="1059" w:type="dxa"/>
            <w:gridSpan w:val="2"/>
          </w:tcPr>
          <w:p w14:paraId="18709A64"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32DFB908" w14:textId="77777777" w:rsidR="00F3718E" w:rsidRPr="00C328EF" w:rsidRDefault="00F3718E" w:rsidP="00F3718E">
            <w:pPr>
              <w:suppressAutoHyphens/>
              <w:ind w:right="78"/>
              <w:jc w:val="right"/>
              <w:rPr>
                <w:rFonts w:cs="Arial"/>
                <w:spacing w:val="-2"/>
                <w:highlight w:val="yellow"/>
              </w:rPr>
            </w:pPr>
          </w:p>
        </w:tc>
      </w:tr>
      <w:tr w:rsidR="00F3718E" w:rsidRPr="00C328EF" w14:paraId="53326B77" w14:textId="77777777" w:rsidTr="00E114B7">
        <w:tc>
          <w:tcPr>
            <w:tcW w:w="4914" w:type="dxa"/>
          </w:tcPr>
          <w:p w14:paraId="29D5E7B9" w14:textId="77777777" w:rsidR="00F3718E" w:rsidRPr="00C328EF" w:rsidRDefault="00F3718E" w:rsidP="00F3718E">
            <w:pPr>
              <w:jc w:val="both"/>
              <w:rPr>
                <w:highlight w:val="yellow"/>
              </w:rPr>
            </w:pPr>
            <w:r w:rsidRPr="00445120">
              <w:t>Corporate Bonds</w:t>
            </w:r>
          </w:p>
        </w:tc>
        <w:tc>
          <w:tcPr>
            <w:tcW w:w="1006" w:type="dxa"/>
            <w:gridSpan w:val="2"/>
          </w:tcPr>
          <w:p w14:paraId="0E27737C" w14:textId="77777777" w:rsidR="00F3718E" w:rsidRPr="00C328EF" w:rsidRDefault="00F3718E" w:rsidP="00F3718E">
            <w:pPr>
              <w:suppressAutoHyphens/>
              <w:ind w:right="78"/>
              <w:jc w:val="right"/>
              <w:rPr>
                <w:rFonts w:cs="Arial"/>
                <w:spacing w:val="-2"/>
                <w:highlight w:val="yellow"/>
              </w:rPr>
            </w:pPr>
            <w:r w:rsidRPr="00CE64EC">
              <w:rPr>
                <w:rFonts w:cs="Arial"/>
                <w:spacing w:val="-2"/>
              </w:rPr>
              <w:t>2%</w:t>
            </w:r>
          </w:p>
        </w:tc>
        <w:tc>
          <w:tcPr>
            <w:tcW w:w="1634" w:type="dxa"/>
          </w:tcPr>
          <w:p w14:paraId="1A861645" w14:textId="77777777" w:rsidR="00F3718E" w:rsidRPr="00C328EF" w:rsidRDefault="00F3718E" w:rsidP="00F3718E">
            <w:pPr>
              <w:suppressAutoHyphens/>
              <w:ind w:right="78"/>
              <w:jc w:val="right"/>
              <w:rPr>
                <w:rFonts w:cs="Arial"/>
                <w:spacing w:val="-2"/>
                <w:highlight w:val="yellow"/>
              </w:rPr>
            </w:pPr>
            <w:r w:rsidRPr="00CE64EC">
              <w:rPr>
                <w:rFonts w:cs="Arial"/>
                <w:spacing w:val="-2"/>
              </w:rPr>
              <w:t>8,</w:t>
            </w:r>
            <w:r>
              <w:rPr>
                <w:rFonts w:cs="Arial"/>
                <w:spacing w:val="-2"/>
              </w:rPr>
              <w:t>993</w:t>
            </w:r>
          </w:p>
        </w:tc>
        <w:tc>
          <w:tcPr>
            <w:tcW w:w="1059" w:type="dxa"/>
            <w:gridSpan w:val="2"/>
          </w:tcPr>
          <w:p w14:paraId="25110DB7" w14:textId="77777777" w:rsidR="00F3718E" w:rsidRPr="00C328EF" w:rsidRDefault="00F3718E" w:rsidP="00F3718E">
            <w:pPr>
              <w:suppressAutoHyphens/>
              <w:ind w:right="78"/>
              <w:jc w:val="right"/>
              <w:rPr>
                <w:rFonts w:cs="Arial"/>
                <w:spacing w:val="-2"/>
                <w:highlight w:val="yellow"/>
              </w:rPr>
            </w:pPr>
            <w:r w:rsidRPr="00445120">
              <w:rPr>
                <w:rFonts w:cs="Arial"/>
                <w:spacing w:val="-2"/>
              </w:rPr>
              <w:t>4%</w:t>
            </w:r>
          </w:p>
        </w:tc>
        <w:tc>
          <w:tcPr>
            <w:tcW w:w="1581" w:type="dxa"/>
            <w:gridSpan w:val="2"/>
          </w:tcPr>
          <w:p w14:paraId="1A47E53F" w14:textId="77777777" w:rsidR="00F3718E" w:rsidRPr="00C328EF" w:rsidRDefault="00F3718E" w:rsidP="00F3718E">
            <w:pPr>
              <w:suppressAutoHyphens/>
              <w:ind w:right="78"/>
              <w:jc w:val="right"/>
              <w:rPr>
                <w:rFonts w:cs="Arial"/>
                <w:spacing w:val="-2"/>
                <w:highlight w:val="yellow"/>
              </w:rPr>
            </w:pPr>
            <w:r w:rsidRPr="00445120">
              <w:rPr>
                <w:rFonts w:cs="Arial"/>
                <w:spacing w:val="-2"/>
              </w:rPr>
              <w:t>18,143</w:t>
            </w:r>
          </w:p>
        </w:tc>
      </w:tr>
      <w:tr w:rsidR="00F3718E" w:rsidRPr="00C328EF" w14:paraId="7B535BE4" w14:textId="77777777" w:rsidTr="00E114B7">
        <w:tc>
          <w:tcPr>
            <w:tcW w:w="4914" w:type="dxa"/>
          </w:tcPr>
          <w:p w14:paraId="50519C4E" w14:textId="77777777" w:rsidR="00F3718E" w:rsidRPr="00C328EF" w:rsidRDefault="00F3718E" w:rsidP="00F3718E">
            <w:pPr>
              <w:jc w:val="both"/>
              <w:rPr>
                <w:highlight w:val="yellow"/>
              </w:rPr>
            </w:pPr>
            <w:r w:rsidRPr="00445120">
              <w:t>UK Government</w:t>
            </w:r>
          </w:p>
        </w:tc>
        <w:tc>
          <w:tcPr>
            <w:tcW w:w="1006" w:type="dxa"/>
            <w:gridSpan w:val="2"/>
          </w:tcPr>
          <w:p w14:paraId="65E641A3" w14:textId="77777777" w:rsidR="00F3718E" w:rsidRPr="00C328EF" w:rsidRDefault="00F3718E" w:rsidP="00F3718E">
            <w:pPr>
              <w:suppressAutoHyphens/>
              <w:ind w:right="78"/>
              <w:jc w:val="right"/>
              <w:rPr>
                <w:rFonts w:cs="Arial"/>
                <w:spacing w:val="-2"/>
                <w:highlight w:val="yellow"/>
              </w:rPr>
            </w:pPr>
            <w:r w:rsidRPr="00CE64EC">
              <w:rPr>
                <w:rFonts w:cs="Arial"/>
                <w:spacing w:val="-2"/>
              </w:rPr>
              <w:t>50%</w:t>
            </w:r>
          </w:p>
        </w:tc>
        <w:tc>
          <w:tcPr>
            <w:tcW w:w="1634" w:type="dxa"/>
          </w:tcPr>
          <w:p w14:paraId="4D70FA3B" w14:textId="77777777" w:rsidR="00F3718E" w:rsidRPr="00C328EF" w:rsidRDefault="00F3718E" w:rsidP="00F3718E">
            <w:pPr>
              <w:suppressAutoHyphens/>
              <w:ind w:right="78"/>
              <w:jc w:val="right"/>
              <w:rPr>
                <w:rFonts w:cs="Arial"/>
                <w:spacing w:val="-2"/>
                <w:highlight w:val="yellow"/>
              </w:rPr>
            </w:pPr>
            <w:r w:rsidRPr="00CE64EC">
              <w:rPr>
                <w:rFonts w:cs="Arial"/>
                <w:spacing w:val="-2"/>
              </w:rPr>
              <w:t>24</w:t>
            </w:r>
            <w:r>
              <w:rPr>
                <w:rFonts w:cs="Arial"/>
                <w:spacing w:val="-2"/>
              </w:rPr>
              <w:t>9</w:t>
            </w:r>
            <w:r w:rsidRPr="00CE64EC">
              <w:rPr>
                <w:rFonts w:cs="Arial"/>
                <w:spacing w:val="-2"/>
              </w:rPr>
              <w:t>,</w:t>
            </w:r>
            <w:r>
              <w:rPr>
                <w:rFonts w:cs="Arial"/>
                <w:spacing w:val="-2"/>
              </w:rPr>
              <w:t>090</w:t>
            </w:r>
          </w:p>
        </w:tc>
        <w:tc>
          <w:tcPr>
            <w:tcW w:w="1059" w:type="dxa"/>
            <w:gridSpan w:val="2"/>
          </w:tcPr>
          <w:p w14:paraId="023C987B" w14:textId="77777777" w:rsidR="00F3718E" w:rsidRPr="00C328EF" w:rsidRDefault="00F3718E" w:rsidP="00F3718E">
            <w:pPr>
              <w:suppressAutoHyphens/>
              <w:ind w:right="78"/>
              <w:jc w:val="right"/>
              <w:rPr>
                <w:rFonts w:cs="Arial"/>
                <w:spacing w:val="-2"/>
                <w:highlight w:val="yellow"/>
              </w:rPr>
            </w:pPr>
            <w:r w:rsidRPr="00445120">
              <w:rPr>
                <w:rFonts w:cs="Arial"/>
                <w:spacing w:val="-2"/>
              </w:rPr>
              <w:t>44%</w:t>
            </w:r>
          </w:p>
        </w:tc>
        <w:tc>
          <w:tcPr>
            <w:tcW w:w="1581" w:type="dxa"/>
            <w:gridSpan w:val="2"/>
          </w:tcPr>
          <w:p w14:paraId="69B26180" w14:textId="77777777" w:rsidR="00F3718E" w:rsidRPr="00C328EF" w:rsidRDefault="00F3718E" w:rsidP="00F3718E">
            <w:pPr>
              <w:suppressAutoHyphens/>
              <w:ind w:right="78"/>
              <w:jc w:val="right"/>
              <w:rPr>
                <w:rFonts w:cs="Arial"/>
                <w:spacing w:val="-2"/>
                <w:highlight w:val="yellow"/>
              </w:rPr>
            </w:pPr>
            <w:r w:rsidRPr="00445120">
              <w:rPr>
                <w:rFonts w:cs="Arial"/>
                <w:spacing w:val="-2"/>
              </w:rPr>
              <w:t>229,636</w:t>
            </w:r>
          </w:p>
        </w:tc>
      </w:tr>
      <w:tr w:rsidR="00F3718E" w:rsidRPr="00C328EF" w14:paraId="50C8573F" w14:textId="77777777" w:rsidTr="00E114B7">
        <w:tc>
          <w:tcPr>
            <w:tcW w:w="4914" w:type="dxa"/>
          </w:tcPr>
          <w:p w14:paraId="47F93C5A" w14:textId="77777777" w:rsidR="00F3718E" w:rsidRPr="00C328EF" w:rsidRDefault="00F3718E" w:rsidP="00F3718E">
            <w:pPr>
              <w:jc w:val="both"/>
              <w:rPr>
                <w:highlight w:val="yellow"/>
              </w:rPr>
            </w:pPr>
            <w:r w:rsidRPr="00445120">
              <w:t>Other</w:t>
            </w:r>
          </w:p>
        </w:tc>
        <w:tc>
          <w:tcPr>
            <w:tcW w:w="1006" w:type="dxa"/>
            <w:gridSpan w:val="2"/>
          </w:tcPr>
          <w:p w14:paraId="3F8D32B8" w14:textId="77777777" w:rsidR="00F3718E" w:rsidRPr="00C328EF" w:rsidRDefault="00F3718E" w:rsidP="00F3718E">
            <w:pPr>
              <w:suppressAutoHyphens/>
              <w:ind w:right="78"/>
              <w:jc w:val="right"/>
              <w:rPr>
                <w:rFonts w:cs="Arial"/>
                <w:spacing w:val="-2"/>
                <w:highlight w:val="yellow"/>
              </w:rPr>
            </w:pPr>
            <w:r w:rsidRPr="00CE64EC">
              <w:rPr>
                <w:rFonts w:cs="Arial"/>
                <w:spacing w:val="-2"/>
              </w:rPr>
              <w:t>4%</w:t>
            </w:r>
          </w:p>
        </w:tc>
        <w:tc>
          <w:tcPr>
            <w:tcW w:w="1634" w:type="dxa"/>
          </w:tcPr>
          <w:p w14:paraId="26DF9782" w14:textId="77777777" w:rsidR="00F3718E" w:rsidRPr="00C328EF" w:rsidRDefault="00F3718E" w:rsidP="00F3718E">
            <w:pPr>
              <w:suppressAutoHyphens/>
              <w:ind w:right="78"/>
              <w:jc w:val="right"/>
              <w:rPr>
                <w:rFonts w:cs="Arial"/>
                <w:spacing w:val="-2"/>
                <w:highlight w:val="yellow"/>
              </w:rPr>
            </w:pPr>
            <w:r w:rsidRPr="00CE64EC">
              <w:rPr>
                <w:rFonts w:cs="Arial"/>
                <w:spacing w:val="-2"/>
              </w:rPr>
              <w:t>18,</w:t>
            </w:r>
            <w:r>
              <w:rPr>
                <w:rFonts w:cs="Arial"/>
                <w:spacing w:val="-2"/>
              </w:rPr>
              <w:t>569</w:t>
            </w:r>
          </w:p>
        </w:tc>
        <w:tc>
          <w:tcPr>
            <w:tcW w:w="1059" w:type="dxa"/>
            <w:gridSpan w:val="2"/>
          </w:tcPr>
          <w:p w14:paraId="6AC427D2" w14:textId="77777777" w:rsidR="00F3718E" w:rsidRPr="00C328EF" w:rsidRDefault="00F3718E" w:rsidP="00F3718E">
            <w:pPr>
              <w:suppressAutoHyphens/>
              <w:ind w:right="78"/>
              <w:jc w:val="right"/>
              <w:rPr>
                <w:rFonts w:cs="Arial"/>
                <w:spacing w:val="-2"/>
                <w:highlight w:val="yellow"/>
              </w:rPr>
            </w:pPr>
            <w:r w:rsidRPr="00445120">
              <w:rPr>
                <w:rFonts w:cs="Arial"/>
                <w:spacing w:val="-2"/>
              </w:rPr>
              <w:t>2%</w:t>
            </w:r>
          </w:p>
        </w:tc>
        <w:tc>
          <w:tcPr>
            <w:tcW w:w="1581" w:type="dxa"/>
            <w:gridSpan w:val="2"/>
          </w:tcPr>
          <w:p w14:paraId="02389C14" w14:textId="77777777" w:rsidR="00F3718E" w:rsidRPr="00C328EF" w:rsidRDefault="00F3718E" w:rsidP="00F3718E">
            <w:pPr>
              <w:suppressAutoHyphens/>
              <w:ind w:right="78"/>
              <w:jc w:val="right"/>
              <w:rPr>
                <w:rFonts w:cs="Arial"/>
                <w:spacing w:val="-2"/>
                <w:highlight w:val="yellow"/>
              </w:rPr>
            </w:pPr>
            <w:r w:rsidRPr="00445120">
              <w:rPr>
                <w:rFonts w:cs="Arial"/>
                <w:spacing w:val="-2"/>
              </w:rPr>
              <w:t>9,963</w:t>
            </w:r>
          </w:p>
        </w:tc>
      </w:tr>
      <w:tr w:rsidR="00F3718E" w:rsidRPr="00C328EF" w14:paraId="5BDBDFA3" w14:textId="77777777" w:rsidTr="00E114B7">
        <w:tc>
          <w:tcPr>
            <w:tcW w:w="4914" w:type="dxa"/>
          </w:tcPr>
          <w:p w14:paraId="30C7FDA2" w14:textId="77777777" w:rsidR="00F3718E" w:rsidRPr="00C328EF" w:rsidRDefault="00F3718E" w:rsidP="00F3718E">
            <w:pPr>
              <w:jc w:val="both"/>
              <w:rPr>
                <w:b/>
                <w:highlight w:val="yellow"/>
              </w:rPr>
            </w:pPr>
          </w:p>
        </w:tc>
        <w:tc>
          <w:tcPr>
            <w:tcW w:w="1006" w:type="dxa"/>
            <w:gridSpan w:val="2"/>
          </w:tcPr>
          <w:p w14:paraId="0359EFFF" w14:textId="77777777" w:rsidR="00F3718E" w:rsidRPr="00C328EF" w:rsidRDefault="00F3718E" w:rsidP="00F3718E">
            <w:pPr>
              <w:suppressAutoHyphens/>
              <w:ind w:right="78"/>
              <w:jc w:val="right"/>
              <w:rPr>
                <w:rFonts w:cs="Arial"/>
                <w:spacing w:val="-2"/>
                <w:highlight w:val="yellow"/>
              </w:rPr>
            </w:pPr>
          </w:p>
        </w:tc>
        <w:tc>
          <w:tcPr>
            <w:tcW w:w="1634" w:type="dxa"/>
          </w:tcPr>
          <w:p w14:paraId="2C58A955" w14:textId="77777777" w:rsidR="00F3718E" w:rsidRPr="00C328EF" w:rsidRDefault="00F3718E" w:rsidP="00F3718E">
            <w:pPr>
              <w:suppressAutoHyphens/>
              <w:ind w:right="78"/>
              <w:jc w:val="right"/>
              <w:rPr>
                <w:rFonts w:cs="Arial"/>
                <w:spacing w:val="-2"/>
                <w:highlight w:val="yellow"/>
              </w:rPr>
            </w:pPr>
          </w:p>
        </w:tc>
        <w:tc>
          <w:tcPr>
            <w:tcW w:w="1059" w:type="dxa"/>
            <w:gridSpan w:val="2"/>
          </w:tcPr>
          <w:p w14:paraId="6064F559"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1C253E83" w14:textId="77777777" w:rsidR="00F3718E" w:rsidRPr="00C328EF" w:rsidRDefault="00F3718E" w:rsidP="00F3718E">
            <w:pPr>
              <w:suppressAutoHyphens/>
              <w:ind w:right="78"/>
              <w:jc w:val="right"/>
              <w:rPr>
                <w:rFonts w:cs="Arial"/>
                <w:spacing w:val="-2"/>
                <w:highlight w:val="yellow"/>
              </w:rPr>
            </w:pPr>
          </w:p>
        </w:tc>
      </w:tr>
      <w:tr w:rsidR="00F3718E" w:rsidRPr="00C328EF" w14:paraId="76100653" w14:textId="77777777" w:rsidTr="00E114B7">
        <w:tc>
          <w:tcPr>
            <w:tcW w:w="4914" w:type="dxa"/>
          </w:tcPr>
          <w:p w14:paraId="1D1F44F6" w14:textId="77777777" w:rsidR="00F3718E" w:rsidRPr="00C328EF" w:rsidRDefault="00F3718E" w:rsidP="00F3718E">
            <w:pPr>
              <w:jc w:val="both"/>
              <w:rPr>
                <w:b/>
                <w:highlight w:val="yellow"/>
              </w:rPr>
            </w:pPr>
            <w:r w:rsidRPr="00445120">
              <w:rPr>
                <w:b/>
              </w:rPr>
              <w:t>Private Equity:</w:t>
            </w:r>
          </w:p>
        </w:tc>
        <w:tc>
          <w:tcPr>
            <w:tcW w:w="1006" w:type="dxa"/>
            <w:gridSpan w:val="2"/>
          </w:tcPr>
          <w:p w14:paraId="53A5558D" w14:textId="77777777" w:rsidR="00F3718E" w:rsidRPr="00C328EF" w:rsidRDefault="00F3718E" w:rsidP="00F3718E">
            <w:pPr>
              <w:suppressAutoHyphens/>
              <w:ind w:right="78"/>
              <w:jc w:val="right"/>
              <w:rPr>
                <w:rFonts w:cs="Arial"/>
                <w:spacing w:val="-2"/>
                <w:highlight w:val="yellow"/>
              </w:rPr>
            </w:pPr>
          </w:p>
        </w:tc>
        <w:tc>
          <w:tcPr>
            <w:tcW w:w="1634" w:type="dxa"/>
          </w:tcPr>
          <w:p w14:paraId="08CFE74E" w14:textId="77777777" w:rsidR="00F3718E" w:rsidRPr="00C328EF" w:rsidRDefault="00F3718E" w:rsidP="00F3718E">
            <w:pPr>
              <w:suppressAutoHyphens/>
              <w:ind w:right="78"/>
              <w:jc w:val="right"/>
              <w:rPr>
                <w:rFonts w:cs="Arial"/>
                <w:spacing w:val="-2"/>
                <w:highlight w:val="yellow"/>
              </w:rPr>
            </w:pPr>
          </w:p>
        </w:tc>
        <w:tc>
          <w:tcPr>
            <w:tcW w:w="1059" w:type="dxa"/>
            <w:gridSpan w:val="2"/>
          </w:tcPr>
          <w:p w14:paraId="2AE95016"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53B23109" w14:textId="77777777" w:rsidR="00F3718E" w:rsidRPr="00C328EF" w:rsidRDefault="00F3718E" w:rsidP="00F3718E">
            <w:pPr>
              <w:suppressAutoHyphens/>
              <w:ind w:right="78"/>
              <w:jc w:val="right"/>
              <w:rPr>
                <w:rFonts w:cs="Arial"/>
                <w:spacing w:val="-2"/>
                <w:highlight w:val="yellow"/>
              </w:rPr>
            </w:pPr>
          </w:p>
        </w:tc>
      </w:tr>
      <w:tr w:rsidR="00F3718E" w:rsidRPr="00C328EF" w14:paraId="0060EF2C" w14:textId="77777777" w:rsidTr="00E114B7">
        <w:tc>
          <w:tcPr>
            <w:tcW w:w="4914" w:type="dxa"/>
          </w:tcPr>
          <w:p w14:paraId="5FCF991C" w14:textId="77777777" w:rsidR="00F3718E" w:rsidRPr="00C328EF" w:rsidRDefault="00F3718E" w:rsidP="00F3718E">
            <w:pPr>
              <w:jc w:val="both"/>
              <w:rPr>
                <w:highlight w:val="yellow"/>
              </w:rPr>
            </w:pPr>
            <w:r w:rsidRPr="00445120">
              <w:t>All</w:t>
            </w:r>
          </w:p>
        </w:tc>
        <w:tc>
          <w:tcPr>
            <w:tcW w:w="1006" w:type="dxa"/>
            <w:gridSpan w:val="2"/>
          </w:tcPr>
          <w:p w14:paraId="3A31A3DC" w14:textId="77777777" w:rsidR="00F3718E" w:rsidRPr="00C328EF" w:rsidRDefault="00F3718E" w:rsidP="00F3718E">
            <w:pPr>
              <w:suppressAutoHyphens/>
              <w:ind w:right="78"/>
              <w:jc w:val="right"/>
              <w:rPr>
                <w:rFonts w:cs="Arial"/>
                <w:spacing w:val="-2"/>
                <w:highlight w:val="yellow"/>
              </w:rPr>
            </w:pPr>
            <w:r w:rsidRPr="00CE64EC">
              <w:rPr>
                <w:rFonts w:cs="Arial"/>
                <w:spacing w:val="-2"/>
              </w:rPr>
              <w:t>7%</w:t>
            </w:r>
          </w:p>
        </w:tc>
        <w:tc>
          <w:tcPr>
            <w:tcW w:w="1634" w:type="dxa"/>
          </w:tcPr>
          <w:p w14:paraId="1D67FCDA" w14:textId="77777777" w:rsidR="00F3718E" w:rsidRPr="00C328EF" w:rsidRDefault="00F3718E" w:rsidP="00F3718E">
            <w:pPr>
              <w:suppressAutoHyphens/>
              <w:ind w:right="78"/>
              <w:jc w:val="right"/>
              <w:rPr>
                <w:rFonts w:cs="Arial"/>
                <w:spacing w:val="-2"/>
                <w:highlight w:val="yellow"/>
              </w:rPr>
            </w:pPr>
            <w:r w:rsidRPr="00CE64EC">
              <w:rPr>
                <w:rFonts w:cs="Arial"/>
                <w:spacing w:val="-2"/>
              </w:rPr>
              <w:t>32,</w:t>
            </w:r>
            <w:r>
              <w:rPr>
                <w:rFonts w:cs="Arial"/>
                <w:spacing w:val="-2"/>
              </w:rPr>
              <w:t>620</w:t>
            </w:r>
          </w:p>
        </w:tc>
        <w:tc>
          <w:tcPr>
            <w:tcW w:w="1059" w:type="dxa"/>
            <w:gridSpan w:val="2"/>
          </w:tcPr>
          <w:p w14:paraId="395BE713" w14:textId="77777777" w:rsidR="00F3718E" w:rsidRPr="00C328EF" w:rsidRDefault="00F3718E" w:rsidP="00F3718E">
            <w:pPr>
              <w:suppressAutoHyphens/>
              <w:ind w:right="78"/>
              <w:jc w:val="right"/>
              <w:rPr>
                <w:rFonts w:cs="Arial"/>
                <w:spacing w:val="-2"/>
                <w:highlight w:val="yellow"/>
              </w:rPr>
            </w:pPr>
            <w:r w:rsidRPr="00445120">
              <w:rPr>
                <w:rFonts w:cs="Arial"/>
                <w:spacing w:val="-2"/>
              </w:rPr>
              <w:t>7%</w:t>
            </w:r>
          </w:p>
        </w:tc>
        <w:tc>
          <w:tcPr>
            <w:tcW w:w="1581" w:type="dxa"/>
            <w:gridSpan w:val="2"/>
          </w:tcPr>
          <w:p w14:paraId="15BCA05E" w14:textId="77777777" w:rsidR="00F3718E" w:rsidRPr="00C328EF" w:rsidRDefault="00F3718E" w:rsidP="00F3718E">
            <w:pPr>
              <w:suppressAutoHyphens/>
              <w:ind w:right="78"/>
              <w:jc w:val="right"/>
              <w:rPr>
                <w:rFonts w:cs="Arial"/>
                <w:spacing w:val="-2"/>
                <w:highlight w:val="yellow"/>
              </w:rPr>
            </w:pPr>
            <w:r w:rsidRPr="00445120">
              <w:rPr>
                <w:rFonts w:cs="Arial"/>
                <w:spacing w:val="-2"/>
              </w:rPr>
              <w:t>38,655</w:t>
            </w:r>
          </w:p>
        </w:tc>
      </w:tr>
      <w:tr w:rsidR="00F3718E" w:rsidRPr="00C328EF" w14:paraId="3D045F03" w14:textId="77777777" w:rsidTr="00E114B7">
        <w:tc>
          <w:tcPr>
            <w:tcW w:w="4914" w:type="dxa"/>
          </w:tcPr>
          <w:p w14:paraId="21C4273B" w14:textId="77777777" w:rsidR="00F3718E" w:rsidRPr="00C328EF" w:rsidRDefault="00F3718E" w:rsidP="00F3718E">
            <w:pPr>
              <w:jc w:val="both"/>
              <w:rPr>
                <w:highlight w:val="yellow"/>
              </w:rPr>
            </w:pPr>
          </w:p>
        </w:tc>
        <w:tc>
          <w:tcPr>
            <w:tcW w:w="1006" w:type="dxa"/>
            <w:gridSpan w:val="2"/>
          </w:tcPr>
          <w:p w14:paraId="7D21B768" w14:textId="77777777" w:rsidR="00F3718E" w:rsidRPr="00C328EF" w:rsidRDefault="00F3718E" w:rsidP="00F3718E">
            <w:pPr>
              <w:suppressAutoHyphens/>
              <w:ind w:right="78"/>
              <w:jc w:val="right"/>
              <w:rPr>
                <w:rFonts w:cs="Arial"/>
                <w:spacing w:val="-2"/>
                <w:highlight w:val="yellow"/>
              </w:rPr>
            </w:pPr>
          </w:p>
        </w:tc>
        <w:tc>
          <w:tcPr>
            <w:tcW w:w="1634" w:type="dxa"/>
          </w:tcPr>
          <w:p w14:paraId="1186091F" w14:textId="77777777" w:rsidR="00F3718E" w:rsidRPr="00C328EF" w:rsidRDefault="00F3718E" w:rsidP="00F3718E">
            <w:pPr>
              <w:suppressAutoHyphens/>
              <w:ind w:right="78"/>
              <w:jc w:val="right"/>
              <w:rPr>
                <w:rFonts w:cs="Arial"/>
                <w:spacing w:val="-2"/>
                <w:highlight w:val="yellow"/>
              </w:rPr>
            </w:pPr>
          </w:p>
        </w:tc>
        <w:tc>
          <w:tcPr>
            <w:tcW w:w="1059" w:type="dxa"/>
            <w:gridSpan w:val="2"/>
          </w:tcPr>
          <w:p w14:paraId="5E1892F2"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6FCA3FF4" w14:textId="77777777" w:rsidR="00F3718E" w:rsidRPr="00C328EF" w:rsidRDefault="00F3718E" w:rsidP="00F3718E">
            <w:pPr>
              <w:suppressAutoHyphens/>
              <w:ind w:right="78"/>
              <w:jc w:val="right"/>
              <w:rPr>
                <w:rFonts w:cs="Arial"/>
                <w:spacing w:val="-2"/>
                <w:highlight w:val="yellow"/>
              </w:rPr>
            </w:pPr>
          </w:p>
        </w:tc>
      </w:tr>
      <w:tr w:rsidR="00F3718E" w:rsidRPr="00C328EF" w14:paraId="1CC0BA12" w14:textId="77777777" w:rsidTr="00E114B7">
        <w:tc>
          <w:tcPr>
            <w:tcW w:w="4914" w:type="dxa"/>
          </w:tcPr>
          <w:p w14:paraId="6BBDDB2A" w14:textId="77777777" w:rsidR="00F3718E" w:rsidRPr="00C328EF" w:rsidRDefault="00F3718E" w:rsidP="00F3718E">
            <w:pPr>
              <w:jc w:val="both"/>
              <w:rPr>
                <w:b/>
                <w:highlight w:val="yellow"/>
              </w:rPr>
            </w:pPr>
            <w:r w:rsidRPr="00445120">
              <w:rPr>
                <w:b/>
              </w:rPr>
              <w:t>Real Estate:</w:t>
            </w:r>
          </w:p>
        </w:tc>
        <w:tc>
          <w:tcPr>
            <w:tcW w:w="1006" w:type="dxa"/>
            <w:gridSpan w:val="2"/>
          </w:tcPr>
          <w:p w14:paraId="6D8DDBBB" w14:textId="77777777" w:rsidR="00F3718E" w:rsidRPr="00C328EF" w:rsidRDefault="00F3718E" w:rsidP="00F3718E">
            <w:pPr>
              <w:suppressAutoHyphens/>
              <w:ind w:right="78"/>
              <w:jc w:val="right"/>
              <w:rPr>
                <w:rFonts w:cs="Arial"/>
                <w:spacing w:val="-2"/>
                <w:highlight w:val="yellow"/>
              </w:rPr>
            </w:pPr>
          </w:p>
        </w:tc>
        <w:tc>
          <w:tcPr>
            <w:tcW w:w="1634" w:type="dxa"/>
          </w:tcPr>
          <w:p w14:paraId="76339056" w14:textId="77777777" w:rsidR="00F3718E" w:rsidRPr="00C328EF" w:rsidRDefault="00F3718E" w:rsidP="00F3718E">
            <w:pPr>
              <w:suppressAutoHyphens/>
              <w:ind w:right="78"/>
              <w:jc w:val="right"/>
              <w:rPr>
                <w:rFonts w:cs="Arial"/>
                <w:spacing w:val="-2"/>
                <w:highlight w:val="yellow"/>
              </w:rPr>
            </w:pPr>
          </w:p>
        </w:tc>
        <w:tc>
          <w:tcPr>
            <w:tcW w:w="1059" w:type="dxa"/>
            <w:gridSpan w:val="2"/>
          </w:tcPr>
          <w:p w14:paraId="333539BD"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1BF4E34D" w14:textId="77777777" w:rsidR="00F3718E" w:rsidRPr="00C328EF" w:rsidRDefault="00F3718E" w:rsidP="00F3718E">
            <w:pPr>
              <w:suppressAutoHyphens/>
              <w:ind w:right="78"/>
              <w:jc w:val="right"/>
              <w:rPr>
                <w:rFonts w:cs="Arial"/>
                <w:spacing w:val="-2"/>
                <w:highlight w:val="yellow"/>
              </w:rPr>
            </w:pPr>
          </w:p>
        </w:tc>
      </w:tr>
      <w:tr w:rsidR="00F3718E" w:rsidRPr="00C328EF" w14:paraId="00156311" w14:textId="77777777" w:rsidTr="00E114B7">
        <w:tc>
          <w:tcPr>
            <w:tcW w:w="4914" w:type="dxa"/>
          </w:tcPr>
          <w:p w14:paraId="28AF07C0" w14:textId="77777777" w:rsidR="00F3718E" w:rsidRPr="00C328EF" w:rsidRDefault="00F3718E" w:rsidP="00F3718E">
            <w:pPr>
              <w:jc w:val="both"/>
              <w:rPr>
                <w:highlight w:val="yellow"/>
              </w:rPr>
            </w:pPr>
            <w:r w:rsidRPr="00445120">
              <w:t>UK Property</w:t>
            </w:r>
          </w:p>
        </w:tc>
        <w:tc>
          <w:tcPr>
            <w:tcW w:w="1006" w:type="dxa"/>
            <w:gridSpan w:val="2"/>
          </w:tcPr>
          <w:p w14:paraId="5DC927F7" w14:textId="77777777" w:rsidR="00F3718E" w:rsidRPr="00C328EF" w:rsidRDefault="00F3718E" w:rsidP="00F3718E">
            <w:pPr>
              <w:suppressAutoHyphens/>
              <w:ind w:right="78"/>
              <w:jc w:val="right"/>
              <w:rPr>
                <w:rFonts w:cs="Arial"/>
                <w:spacing w:val="-2"/>
                <w:highlight w:val="yellow"/>
              </w:rPr>
            </w:pPr>
            <w:r w:rsidRPr="00CE64EC">
              <w:rPr>
                <w:rFonts w:cs="Arial"/>
                <w:spacing w:val="-2"/>
              </w:rPr>
              <w:t>10%</w:t>
            </w:r>
          </w:p>
        </w:tc>
        <w:tc>
          <w:tcPr>
            <w:tcW w:w="1634" w:type="dxa"/>
          </w:tcPr>
          <w:p w14:paraId="090F190F" w14:textId="77777777" w:rsidR="00F3718E" w:rsidRPr="00C328EF" w:rsidRDefault="00F3718E" w:rsidP="00F3718E">
            <w:pPr>
              <w:suppressAutoHyphens/>
              <w:ind w:right="78"/>
              <w:jc w:val="right"/>
              <w:rPr>
                <w:rFonts w:cs="Arial"/>
                <w:spacing w:val="-2"/>
                <w:highlight w:val="yellow"/>
              </w:rPr>
            </w:pPr>
            <w:r w:rsidRPr="00CE64EC">
              <w:rPr>
                <w:rFonts w:cs="Arial"/>
                <w:spacing w:val="-2"/>
              </w:rPr>
              <w:t>4</w:t>
            </w:r>
            <w:r>
              <w:rPr>
                <w:rFonts w:cs="Arial"/>
                <w:spacing w:val="-2"/>
              </w:rPr>
              <w:t>9</w:t>
            </w:r>
            <w:r w:rsidRPr="00CE64EC">
              <w:rPr>
                <w:rFonts w:cs="Arial"/>
                <w:spacing w:val="-2"/>
              </w:rPr>
              <w:t>,</w:t>
            </w:r>
            <w:r>
              <w:rPr>
                <w:rFonts w:cs="Arial"/>
                <w:spacing w:val="-2"/>
              </w:rPr>
              <w:t>394</w:t>
            </w:r>
          </w:p>
        </w:tc>
        <w:tc>
          <w:tcPr>
            <w:tcW w:w="1059" w:type="dxa"/>
            <w:gridSpan w:val="2"/>
          </w:tcPr>
          <w:p w14:paraId="2340FE43" w14:textId="77777777" w:rsidR="00F3718E" w:rsidRPr="00C328EF" w:rsidRDefault="00F3718E" w:rsidP="00F3718E">
            <w:pPr>
              <w:suppressAutoHyphens/>
              <w:ind w:right="78"/>
              <w:jc w:val="right"/>
              <w:rPr>
                <w:rFonts w:cs="Arial"/>
                <w:spacing w:val="-2"/>
                <w:highlight w:val="yellow"/>
              </w:rPr>
            </w:pPr>
            <w:r w:rsidRPr="00445120">
              <w:rPr>
                <w:rFonts w:cs="Arial"/>
                <w:spacing w:val="-2"/>
              </w:rPr>
              <w:t>11%</w:t>
            </w:r>
          </w:p>
        </w:tc>
        <w:tc>
          <w:tcPr>
            <w:tcW w:w="1581" w:type="dxa"/>
            <w:gridSpan w:val="2"/>
          </w:tcPr>
          <w:p w14:paraId="0F671175" w14:textId="77777777" w:rsidR="00F3718E" w:rsidRPr="00C328EF" w:rsidRDefault="00F3718E" w:rsidP="00F3718E">
            <w:pPr>
              <w:suppressAutoHyphens/>
              <w:ind w:right="78"/>
              <w:jc w:val="right"/>
              <w:rPr>
                <w:rFonts w:cs="Arial"/>
                <w:spacing w:val="-2"/>
                <w:highlight w:val="yellow"/>
              </w:rPr>
            </w:pPr>
            <w:r w:rsidRPr="00445120">
              <w:rPr>
                <w:rFonts w:cs="Arial"/>
                <w:spacing w:val="-2"/>
              </w:rPr>
              <w:t>57,621</w:t>
            </w:r>
          </w:p>
        </w:tc>
      </w:tr>
      <w:tr w:rsidR="00F3718E" w:rsidRPr="00C328EF" w14:paraId="7E76F175" w14:textId="77777777" w:rsidTr="00E114B7">
        <w:tc>
          <w:tcPr>
            <w:tcW w:w="4914" w:type="dxa"/>
          </w:tcPr>
          <w:p w14:paraId="4F862112" w14:textId="77777777" w:rsidR="00F3718E" w:rsidRPr="00C328EF" w:rsidRDefault="00F3718E" w:rsidP="00F3718E">
            <w:pPr>
              <w:jc w:val="both"/>
              <w:rPr>
                <w:highlight w:val="yellow"/>
              </w:rPr>
            </w:pPr>
            <w:r w:rsidRPr="00445120">
              <w:t>Overseas Property</w:t>
            </w:r>
          </w:p>
        </w:tc>
        <w:tc>
          <w:tcPr>
            <w:tcW w:w="1006" w:type="dxa"/>
            <w:gridSpan w:val="2"/>
          </w:tcPr>
          <w:p w14:paraId="67AF9B96" w14:textId="77777777" w:rsidR="00F3718E" w:rsidRPr="00C328EF" w:rsidRDefault="00F3718E" w:rsidP="00F3718E">
            <w:pPr>
              <w:suppressAutoHyphens/>
              <w:ind w:right="78"/>
              <w:jc w:val="right"/>
              <w:rPr>
                <w:rFonts w:cs="Arial"/>
                <w:spacing w:val="-2"/>
                <w:highlight w:val="yellow"/>
              </w:rPr>
            </w:pPr>
            <w:r w:rsidRPr="00CE64EC">
              <w:rPr>
                <w:rFonts w:cs="Arial"/>
                <w:spacing w:val="-2"/>
              </w:rPr>
              <w:t>1%</w:t>
            </w:r>
          </w:p>
        </w:tc>
        <w:tc>
          <w:tcPr>
            <w:tcW w:w="1634" w:type="dxa"/>
          </w:tcPr>
          <w:p w14:paraId="56F0AE1F" w14:textId="77777777" w:rsidR="00F3718E" w:rsidRPr="00C328EF" w:rsidRDefault="00F3718E" w:rsidP="00F3718E">
            <w:pPr>
              <w:suppressAutoHyphens/>
              <w:ind w:right="78"/>
              <w:jc w:val="right"/>
              <w:rPr>
                <w:rFonts w:cs="Arial"/>
                <w:spacing w:val="-2"/>
                <w:highlight w:val="yellow"/>
              </w:rPr>
            </w:pPr>
            <w:r w:rsidRPr="00CE64EC">
              <w:rPr>
                <w:rFonts w:cs="Arial"/>
                <w:spacing w:val="-2"/>
              </w:rPr>
              <w:t>6,</w:t>
            </w:r>
            <w:r>
              <w:rPr>
                <w:rFonts w:cs="Arial"/>
                <w:spacing w:val="-2"/>
              </w:rPr>
              <w:t>642</w:t>
            </w:r>
          </w:p>
        </w:tc>
        <w:tc>
          <w:tcPr>
            <w:tcW w:w="1059" w:type="dxa"/>
            <w:gridSpan w:val="2"/>
          </w:tcPr>
          <w:p w14:paraId="6A54B2ED" w14:textId="77777777" w:rsidR="00F3718E" w:rsidRPr="00C328EF" w:rsidRDefault="00F3718E" w:rsidP="00F3718E">
            <w:pPr>
              <w:suppressAutoHyphens/>
              <w:ind w:right="78"/>
              <w:jc w:val="right"/>
              <w:rPr>
                <w:rFonts w:cs="Arial"/>
                <w:spacing w:val="-2"/>
                <w:highlight w:val="yellow"/>
              </w:rPr>
            </w:pPr>
            <w:r w:rsidRPr="00445120">
              <w:rPr>
                <w:rFonts w:cs="Arial"/>
                <w:spacing w:val="-2"/>
              </w:rPr>
              <w:t>2%</w:t>
            </w:r>
          </w:p>
        </w:tc>
        <w:tc>
          <w:tcPr>
            <w:tcW w:w="1581" w:type="dxa"/>
            <w:gridSpan w:val="2"/>
          </w:tcPr>
          <w:p w14:paraId="4E611BDE" w14:textId="77777777" w:rsidR="00F3718E" w:rsidRPr="00C328EF" w:rsidRDefault="00F3718E" w:rsidP="00F3718E">
            <w:pPr>
              <w:suppressAutoHyphens/>
              <w:ind w:right="78"/>
              <w:jc w:val="right"/>
              <w:rPr>
                <w:rFonts w:cs="Arial"/>
                <w:spacing w:val="-2"/>
                <w:highlight w:val="yellow"/>
              </w:rPr>
            </w:pPr>
            <w:r w:rsidRPr="00445120">
              <w:rPr>
                <w:rFonts w:cs="Arial"/>
                <w:spacing w:val="-2"/>
              </w:rPr>
              <w:t>7,693</w:t>
            </w:r>
          </w:p>
        </w:tc>
      </w:tr>
      <w:tr w:rsidR="00F3718E" w:rsidRPr="00C328EF" w14:paraId="26437483" w14:textId="77777777" w:rsidTr="00E114B7">
        <w:tc>
          <w:tcPr>
            <w:tcW w:w="4914" w:type="dxa"/>
          </w:tcPr>
          <w:p w14:paraId="3419FF3B" w14:textId="77777777" w:rsidR="00F3718E" w:rsidRPr="00C328EF" w:rsidRDefault="00F3718E" w:rsidP="00F3718E">
            <w:pPr>
              <w:jc w:val="both"/>
              <w:rPr>
                <w:highlight w:val="yellow"/>
              </w:rPr>
            </w:pPr>
          </w:p>
        </w:tc>
        <w:tc>
          <w:tcPr>
            <w:tcW w:w="1006" w:type="dxa"/>
            <w:gridSpan w:val="2"/>
          </w:tcPr>
          <w:p w14:paraId="6461394C" w14:textId="77777777" w:rsidR="00F3718E" w:rsidRPr="00C328EF" w:rsidRDefault="00F3718E" w:rsidP="00F3718E">
            <w:pPr>
              <w:suppressAutoHyphens/>
              <w:ind w:right="78"/>
              <w:jc w:val="right"/>
              <w:rPr>
                <w:rFonts w:cs="Arial"/>
                <w:spacing w:val="-2"/>
                <w:highlight w:val="yellow"/>
              </w:rPr>
            </w:pPr>
          </w:p>
        </w:tc>
        <w:tc>
          <w:tcPr>
            <w:tcW w:w="1634" w:type="dxa"/>
          </w:tcPr>
          <w:p w14:paraId="00E001AA" w14:textId="77777777" w:rsidR="00F3718E" w:rsidRPr="00C328EF" w:rsidRDefault="00F3718E" w:rsidP="00F3718E">
            <w:pPr>
              <w:suppressAutoHyphens/>
              <w:ind w:right="78"/>
              <w:jc w:val="right"/>
              <w:rPr>
                <w:rFonts w:cs="Arial"/>
                <w:spacing w:val="-2"/>
                <w:highlight w:val="yellow"/>
              </w:rPr>
            </w:pPr>
          </w:p>
        </w:tc>
        <w:tc>
          <w:tcPr>
            <w:tcW w:w="1059" w:type="dxa"/>
            <w:gridSpan w:val="2"/>
          </w:tcPr>
          <w:p w14:paraId="2CAC7D33"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704BC7F8" w14:textId="77777777" w:rsidR="00F3718E" w:rsidRPr="00C328EF" w:rsidRDefault="00F3718E" w:rsidP="00F3718E">
            <w:pPr>
              <w:suppressAutoHyphens/>
              <w:ind w:right="78"/>
              <w:jc w:val="right"/>
              <w:rPr>
                <w:rFonts w:cs="Arial"/>
                <w:spacing w:val="-2"/>
                <w:highlight w:val="yellow"/>
              </w:rPr>
            </w:pPr>
          </w:p>
        </w:tc>
      </w:tr>
      <w:tr w:rsidR="00F3718E" w:rsidRPr="00C328EF" w14:paraId="1872BF7C" w14:textId="77777777" w:rsidTr="00E114B7">
        <w:tc>
          <w:tcPr>
            <w:tcW w:w="4914" w:type="dxa"/>
          </w:tcPr>
          <w:p w14:paraId="04D987C1" w14:textId="77777777" w:rsidR="00F3718E" w:rsidRPr="00C328EF" w:rsidRDefault="00F3718E" w:rsidP="00F3718E">
            <w:pPr>
              <w:jc w:val="both"/>
              <w:rPr>
                <w:b/>
                <w:highlight w:val="yellow"/>
              </w:rPr>
            </w:pPr>
            <w:r w:rsidRPr="00445120">
              <w:rPr>
                <w:b/>
              </w:rPr>
              <w:t>Investment Funds and Unit Trusts:</w:t>
            </w:r>
          </w:p>
        </w:tc>
        <w:tc>
          <w:tcPr>
            <w:tcW w:w="1006" w:type="dxa"/>
            <w:gridSpan w:val="2"/>
          </w:tcPr>
          <w:p w14:paraId="2839B980" w14:textId="77777777" w:rsidR="00F3718E" w:rsidRPr="00C328EF" w:rsidRDefault="00F3718E" w:rsidP="00F3718E">
            <w:pPr>
              <w:suppressAutoHyphens/>
              <w:ind w:right="78"/>
              <w:jc w:val="right"/>
              <w:rPr>
                <w:rFonts w:cs="Arial"/>
                <w:spacing w:val="-2"/>
                <w:highlight w:val="yellow"/>
              </w:rPr>
            </w:pPr>
          </w:p>
        </w:tc>
        <w:tc>
          <w:tcPr>
            <w:tcW w:w="1634" w:type="dxa"/>
          </w:tcPr>
          <w:p w14:paraId="498E3ACB" w14:textId="77777777" w:rsidR="00F3718E" w:rsidRPr="00C328EF" w:rsidRDefault="00F3718E" w:rsidP="00F3718E">
            <w:pPr>
              <w:suppressAutoHyphens/>
              <w:ind w:right="78"/>
              <w:jc w:val="right"/>
              <w:rPr>
                <w:rFonts w:cs="Arial"/>
                <w:spacing w:val="-2"/>
                <w:highlight w:val="yellow"/>
              </w:rPr>
            </w:pPr>
          </w:p>
        </w:tc>
        <w:tc>
          <w:tcPr>
            <w:tcW w:w="1059" w:type="dxa"/>
            <w:gridSpan w:val="2"/>
          </w:tcPr>
          <w:p w14:paraId="707248AC"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6B5AE0E6" w14:textId="77777777" w:rsidR="00F3718E" w:rsidRPr="00C328EF" w:rsidRDefault="00F3718E" w:rsidP="00F3718E">
            <w:pPr>
              <w:suppressAutoHyphens/>
              <w:ind w:right="78"/>
              <w:jc w:val="right"/>
              <w:rPr>
                <w:rFonts w:cs="Arial"/>
                <w:spacing w:val="-2"/>
                <w:highlight w:val="yellow"/>
              </w:rPr>
            </w:pPr>
          </w:p>
        </w:tc>
      </w:tr>
      <w:tr w:rsidR="00F3718E" w:rsidRPr="00C328EF" w14:paraId="1044CB22" w14:textId="77777777" w:rsidTr="00E114B7">
        <w:tc>
          <w:tcPr>
            <w:tcW w:w="4914" w:type="dxa"/>
          </w:tcPr>
          <w:p w14:paraId="0528A921" w14:textId="77777777" w:rsidR="00F3718E" w:rsidRPr="00C328EF" w:rsidRDefault="00F3718E" w:rsidP="00F3718E">
            <w:pPr>
              <w:jc w:val="both"/>
              <w:rPr>
                <w:highlight w:val="yellow"/>
              </w:rPr>
            </w:pPr>
            <w:r w:rsidRPr="00445120">
              <w:t>Equities</w:t>
            </w:r>
          </w:p>
        </w:tc>
        <w:tc>
          <w:tcPr>
            <w:tcW w:w="1006" w:type="dxa"/>
            <w:gridSpan w:val="2"/>
          </w:tcPr>
          <w:p w14:paraId="03ED097E" w14:textId="77777777" w:rsidR="00F3718E" w:rsidRPr="00C328EF" w:rsidRDefault="00F3718E" w:rsidP="00F3718E">
            <w:pPr>
              <w:suppressAutoHyphens/>
              <w:ind w:right="78"/>
              <w:jc w:val="right"/>
              <w:rPr>
                <w:rFonts w:cs="Arial"/>
                <w:spacing w:val="-2"/>
                <w:highlight w:val="yellow"/>
              </w:rPr>
            </w:pPr>
            <w:r w:rsidRPr="00CE64EC">
              <w:rPr>
                <w:rFonts w:cs="Arial"/>
                <w:spacing w:val="-2"/>
              </w:rPr>
              <w:t>-%</w:t>
            </w:r>
          </w:p>
        </w:tc>
        <w:tc>
          <w:tcPr>
            <w:tcW w:w="1634" w:type="dxa"/>
          </w:tcPr>
          <w:p w14:paraId="3791EA96" w14:textId="77777777" w:rsidR="00F3718E" w:rsidRPr="00C328EF" w:rsidRDefault="00F3718E" w:rsidP="00F3718E">
            <w:pPr>
              <w:suppressAutoHyphens/>
              <w:ind w:right="78"/>
              <w:jc w:val="right"/>
              <w:rPr>
                <w:rFonts w:cs="Arial"/>
                <w:spacing w:val="-2"/>
                <w:highlight w:val="yellow"/>
              </w:rPr>
            </w:pPr>
            <w:r w:rsidRPr="00CE64EC">
              <w:rPr>
                <w:rFonts w:cs="Arial"/>
                <w:spacing w:val="-2"/>
              </w:rPr>
              <w:t>-</w:t>
            </w:r>
          </w:p>
        </w:tc>
        <w:tc>
          <w:tcPr>
            <w:tcW w:w="1059" w:type="dxa"/>
            <w:gridSpan w:val="2"/>
          </w:tcPr>
          <w:p w14:paraId="73E13EBA" w14:textId="77777777" w:rsidR="00F3718E" w:rsidRPr="00C328EF" w:rsidRDefault="00F3718E" w:rsidP="00F3718E">
            <w:pPr>
              <w:suppressAutoHyphens/>
              <w:ind w:right="78"/>
              <w:jc w:val="right"/>
              <w:rPr>
                <w:rFonts w:cs="Arial"/>
                <w:spacing w:val="-2"/>
                <w:highlight w:val="yellow"/>
              </w:rPr>
            </w:pPr>
            <w:r w:rsidRPr="00445120">
              <w:rPr>
                <w:rFonts w:cs="Arial"/>
                <w:spacing w:val="-2"/>
              </w:rPr>
              <w:t>0%</w:t>
            </w:r>
          </w:p>
        </w:tc>
        <w:tc>
          <w:tcPr>
            <w:tcW w:w="1581" w:type="dxa"/>
            <w:gridSpan w:val="2"/>
          </w:tcPr>
          <w:p w14:paraId="2330554A" w14:textId="77777777" w:rsidR="00F3718E" w:rsidRPr="00C328EF" w:rsidRDefault="00F3718E" w:rsidP="00F3718E">
            <w:pPr>
              <w:suppressAutoHyphens/>
              <w:ind w:right="78"/>
              <w:jc w:val="right"/>
              <w:rPr>
                <w:rFonts w:cs="Arial"/>
                <w:spacing w:val="-2"/>
                <w:highlight w:val="yellow"/>
              </w:rPr>
            </w:pPr>
            <w:r w:rsidRPr="00445120">
              <w:rPr>
                <w:rFonts w:cs="Arial"/>
                <w:spacing w:val="-2"/>
              </w:rPr>
              <w:t>535</w:t>
            </w:r>
          </w:p>
        </w:tc>
      </w:tr>
      <w:tr w:rsidR="00F3718E" w:rsidRPr="00C328EF" w14:paraId="3EECC5B8" w14:textId="77777777" w:rsidTr="00E114B7">
        <w:tc>
          <w:tcPr>
            <w:tcW w:w="4914" w:type="dxa"/>
          </w:tcPr>
          <w:p w14:paraId="3A318343" w14:textId="77777777" w:rsidR="00F3718E" w:rsidRPr="00C328EF" w:rsidRDefault="00F3718E" w:rsidP="00F3718E">
            <w:pPr>
              <w:jc w:val="both"/>
              <w:rPr>
                <w:highlight w:val="yellow"/>
              </w:rPr>
            </w:pPr>
            <w:r w:rsidRPr="00445120">
              <w:t>Bonds</w:t>
            </w:r>
          </w:p>
        </w:tc>
        <w:tc>
          <w:tcPr>
            <w:tcW w:w="1006" w:type="dxa"/>
            <w:gridSpan w:val="2"/>
          </w:tcPr>
          <w:p w14:paraId="188565C1" w14:textId="77777777" w:rsidR="00F3718E" w:rsidRPr="00C328EF" w:rsidRDefault="00F3718E" w:rsidP="00F3718E">
            <w:pPr>
              <w:suppressAutoHyphens/>
              <w:ind w:right="78"/>
              <w:jc w:val="right"/>
              <w:rPr>
                <w:rFonts w:cs="Arial"/>
                <w:spacing w:val="-2"/>
                <w:highlight w:val="yellow"/>
              </w:rPr>
            </w:pPr>
            <w:r w:rsidRPr="00CE64EC">
              <w:rPr>
                <w:rFonts w:cs="Arial"/>
                <w:spacing w:val="-2"/>
              </w:rPr>
              <w:t>4%</w:t>
            </w:r>
          </w:p>
        </w:tc>
        <w:tc>
          <w:tcPr>
            <w:tcW w:w="1634" w:type="dxa"/>
          </w:tcPr>
          <w:p w14:paraId="509D4A5F" w14:textId="77777777" w:rsidR="00F3718E" w:rsidRPr="00C328EF" w:rsidRDefault="00F3718E" w:rsidP="00F3718E">
            <w:pPr>
              <w:suppressAutoHyphens/>
              <w:ind w:right="78"/>
              <w:jc w:val="right"/>
              <w:rPr>
                <w:rFonts w:cs="Arial"/>
                <w:spacing w:val="-2"/>
                <w:highlight w:val="yellow"/>
              </w:rPr>
            </w:pPr>
            <w:r w:rsidRPr="00CE64EC">
              <w:rPr>
                <w:rFonts w:cs="Arial"/>
                <w:spacing w:val="-2"/>
              </w:rPr>
              <w:t>21,</w:t>
            </w:r>
            <w:r>
              <w:rPr>
                <w:rFonts w:cs="Arial"/>
                <w:spacing w:val="-2"/>
              </w:rPr>
              <w:t>910</w:t>
            </w:r>
          </w:p>
        </w:tc>
        <w:tc>
          <w:tcPr>
            <w:tcW w:w="1059" w:type="dxa"/>
            <w:gridSpan w:val="2"/>
          </w:tcPr>
          <w:p w14:paraId="3D3AED43" w14:textId="77777777" w:rsidR="00F3718E" w:rsidRPr="00C328EF" w:rsidRDefault="00F3718E" w:rsidP="00F3718E">
            <w:pPr>
              <w:suppressAutoHyphens/>
              <w:ind w:right="78"/>
              <w:jc w:val="right"/>
              <w:rPr>
                <w:rFonts w:cs="Arial"/>
                <w:spacing w:val="-2"/>
                <w:highlight w:val="yellow"/>
              </w:rPr>
            </w:pPr>
            <w:r w:rsidRPr="00445120">
              <w:rPr>
                <w:rFonts w:cs="Arial"/>
                <w:spacing w:val="-2"/>
              </w:rPr>
              <w:t>3%</w:t>
            </w:r>
          </w:p>
        </w:tc>
        <w:tc>
          <w:tcPr>
            <w:tcW w:w="1581" w:type="dxa"/>
            <w:gridSpan w:val="2"/>
          </w:tcPr>
          <w:p w14:paraId="18ACF983" w14:textId="77777777" w:rsidR="00F3718E" w:rsidRPr="00C328EF" w:rsidRDefault="00F3718E" w:rsidP="00F3718E">
            <w:pPr>
              <w:suppressAutoHyphens/>
              <w:ind w:right="78"/>
              <w:jc w:val="right"/>
              <w:rPr>
                <w:rFonts w:cs="Arial"/>
                <w:spacing w:val="-2"/>
                <w:highlight w:val="yellow"/>
              </w:rPr>
            </w:pPr>
            <w:r w:rsidRPr="00445120">
              <w:rPr>
                <w:rFonts w:cs="Arial"/>
                <w:spacing w:val="-2"/>
              </w:rPr>
              <w:t>15,955</w:t>
            </w:r>
          </w:p>
        </w:tc>
      </w:tr>
      <w:tr w:rsidR="00F3718E" w:rsidRPr="00C328EF" w14:paraId="59420AF2" w14:textId="77777777" w:rsidTr="00E114B7">
        <w:tc>
          <w:tcPr>
            <w:tcW w:w="4914" w:type="dxa"/>
          </w:tcPr>
          <w:p w14:paraId="1C6A075A" w14:textId="77777777" w:rsidR="00F3718E" w:rsidRPr="00C328EF" w:rsidRDefault="00F3718E" w:rsidP="00F3718E">
            <w:pPr>
              <w:jc w:val="both"/>
              <w:rPr>
                <w:highlight w:val="yellow"/>
              </w:rPr>
            </w:pPr>
            <w:r w:rsidRPr="00445120">
              <w:t>Other</w:t>
            </w:r>
          </w:p>
        </w:tc>
        <w:tc>
          <w:tcPr>
            <w:tcW w:w="1006" w:type="dxa"/>
            <w:gridSpan w:val="2"/>
          </w:tcPr>
          <w:p w14:paraId="2AA8C391" w14:textId="77777777" w:rsidR="00F3718E" w:rsidRPr="00C328EF" w:rsidRDefault="00F3718E" w:rsidP="00F3718E">
            <w:pPr>
              <w:suppressAutoHyphens/>
              <w:ind w:right="78"/>
              <w:jc w:val="right"/>
              <w:rPr>
                <w:rFonts w:cs="Arial"/>
                <w:spacing w:val="-2"/>
                <w:highlight w:val="yellow"/>
              </w:rPr>
            </w:pPr>
            <w:r w:rsidRPr="00CE64EC">
              <w:rPr>
                <w:rFonts w:cs="Arial"/>
                <w:spacing w:val="-2"/>
              </w:rPr>
              <w:t>0%</w:t>
            </w:r>
          </w:p>
        </w:tc>
        <w:tc>
          <w:tcPr>
            <w:tcW w:w="1634" w:type="dxa"/>
          </w:tcPr>
          <w:p w14:paraId="27634A2C" w14:textId="77777777" w:rsidR="00F3718E" w:rsidRPr="00C328EF" w:rsidRDefault="00F3718E" w:rsidP="00F3718E">
            <w:pPr>
              <w:suppressAutoHyphens/>
              <w:ind w:right="78"/>
              <w:jc w:val="right"/>
              <w:rPr>
                <w:rFonts w:cs="Arial"/>
                <w:spacing w:val="-2"/>
                <w:highlight w:val="yellow"/>
              </w:rPr>
            </w:pPr>
            <w:r w:rsidRPr="00CE64EC">
              <w:rPr>
                <w:rFonts w:cs="Arial"/>
                <w:spacing w:val="-2"/>
              </w:rPr>
              <w:t>13</w:t>
            </w:r>
          </w:p>
        </w:tc>
        <w:tc>
          <w:tcPr>
            <w:tcW w:w="1059" w:type="dxa"/>
            <w:gridSpan w:val="2"/>
          </w:tcPr>
          <w:p w14:paraId="2721522D" w14:textId="77777777" w:rsidR="00F3718E" w:rsidRPr="00C328EF" w:rsidRDefault="00F3718E" w:rsidP="00F3718E">
            <w:pPr>
              <w:suppressAutoHyphens/>
              <w:ind w:right="78"/>
              <w:jc w:val="right"/>
              <w:rPr>
                <w:rFonts w:cs="Arial"/>
                <w:spacing w:val="-2"/>
                <w:highlight w:val="yellow"/>
              </w:rPr>
            </w:pPr>
            <w:r w:rsidRPr="00445120">
              <w:rPr>
                <w:rFonts w:cs="Arial"/>
                <w:spacing w:val="-2"/>
              </w:rPr>
              <w:t>0%</w:t>
            </w:r>
          </w:p>
        </w:tc>
        <w:tc>
          <w:tcPr>
            <w:tcW w:w="1581" w:type="dxa"/>
            <w:gridSpan w:val="2"/>
          </w:tcPr>
          <w:p w14:paraId="445A5A2B" w14:textId="77777777" w:rsidR="00F3718E" w:rsidRPr="00C328EF" w:rsidRDefault="00F3718E" w:rsidP="00F3718E">
            <w:pPr>
              <w:suppressAutoHyphens/>
              <w:ind w:right="78"/>
              <w:jc w:val="right"/>
              <w:rPr>
                <w:rFonts w:cs="Arial"/>
                <w:spacing w:val="-2"/>
                <w:highlight w:val="yellow"/>
              </w:rPr>
            </w:pPr>
            <w:r w:rsidRPr="00445120">
              <w:rPr>
                <w:rFonts w:cs="Arial"/>
                <w:spacing w:val="-2"/>
              </w:rPr>
              <w:t>39</w:t>
            </w:r>
          </w:p>
        </w:tc>
      </w:tr>
      <w:tr w:rsidR="00F3718E" w:rsidRPr="00C328EF" w14:paraId="4219C492" w14:textId="77777777" w:rsidTr="00E114B7">
        <w:tc>
          <w:tcPr>
            <w:tcW w:w="4914" w:type="dxa"/>
          </w:tcPr>
          <w:p w14:paraId="55AAD242" w14:textId="77777777" w:rsidR="00F3718E" w:rsidRPr="00C328EF" w:rsidRDefault="00F3718E" w:rsidP="00F3718E">
            <w:pPr>
              <w:jc w:val="both"/>
              <w:rPr>
                <w:highlight w:val="yellow"/>
              </w:rPr>
            </w:pPr>
          </w:p>
        </w:tc>
        <w:tc>
          <w:tcPr>
            <w:tcW w:w="1006" w:type="dxa"/>
            <w:gridSpan w:val="2"/>
          </w:tcPr>
          <w:p w14:paraId="155120D8" w14:textId="77777777" w:rsidR="00F3718E" w:rsidRPr="00C328EF" w:rsidRDefault="00F3718E" w:rsidP="00F3718E">
            <w:pPr>
              <w:suppressAutoHyphens/>
              <w:ind w:right="78"/>
              <w:jc w:val="right"/>
              <w:rPr>
                <w:rFonts w:cs="Arial"/>
                <w:spacing w:val="-2"/>
                <w:highlight w:val="yellow"/>
              </w:rPr>
            </w:pPr>
          </w:p>
        </w:tc>
        <w:tc>
          <w:tcPr>
            <w:tcW w:w="1634" w:type="dxa"/>
          </w:tcPr>
          <w:p w14:paraId="6465C367" w14:textId="77777777" w:rsidR="00F3718E" w:rsidRPr="00C328EF" w:rsidRDefault="00F3718E" w:rsidP="00F3718E">
            <w:pPr>
              <w:suppressAutoHyphens/>
              <w:ind w:right="78"/>
              <w:jc w:val="right"/>
              <w:rPr>
                <w:rFonts w:cs="Arial"/>
                <w:spacing w:val="-2"/>
                <w:highlight w:val="yellow"/>
              </w:rPr>
            </w:pPr>
          </w:p>
        </w:tc>
        <w:tc>
          <w:tcPr>
            <w:tcW w:w="1059" w:type="dxa"/>
            <w:gridSpan w:val="2"/>
          </w:tcPr>
          <w:p w14:paraId="2F062474"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19B14E69" w14:textId="77777777" w:rsidR="00F3718E" w:rsidRPr="00C328EF" w:rsidRDefault="00F3718E" w:rsidP="00F3718E">
            <w:pPr>
              <w:suppressAutoHyphens/>
              <w:ind w:right="78"/>
              <w:jc w:val="right"/>
              <w:rPr>
                <w:rFonts w:cs="Arial"/>
                <w:spacing w:val="-2"/>
                <w:highlight w:val="yellow"/>
              </w:rPr>
            </w:pPr>
          </w:p>
        </w:tc>
      </w:tr>
      <w:tr w:rsidR="00F3718E" w:rsidRPr="00C328EF" w14:paraId="38B3128E" w14:textId="77777777" w:rsidTr="00E114B7">
        <w:tc>
          <w:tcPr>
            <w:tcW w:w="4914" w:type="dxa"/>
          </w:tcPr>
          <w:p w14:paraId="7196F83E" w14:textId="77777777" w:rsidR="00F3718E" w:rsidRPr="00C328EF" w:rsidRDefault="00F3718E" w:rsidP="00F3718E">
            <w:pPr>
              <w:jc w:val="both"/>
              <w:rPr>
                <w:b/>
                <w:highlight w:val="yellow"/>
              </w:rPr>
            </w:pPr>
            <w:r w:rsidRPr="00445120">
              <w:rPr>
                <w:b/>
              </w:rPr>
              <w:t>Cash and Cash Equivalents:</w:t>
            </w:r>
          </w:p>
        </w:tc>
        <w:tc>
          <w:tcPr>
            <w:tcW w:w="1006" w:type="dxa"/>
            <w:gridSpan w:val="2"/>
          </w:tcPr>
          <w:p w14:paraId="47BE4F3F" w14:textId="77777777" w:rsidR="00F3718E" w:rsidRPr="00C328EF" w:rsidRDefault="00F3718E" w:rsidP="00F3718E">
            <w:pPr>
              <w:suppressAutoHyphens/>
              <w:ind w:right="78"/>
              <w:jc w:val="right"/>
              <w:rPr>
                <w:rFonts w:cs="Arial"/>
                <w:spacing w:val="-2"/>
                <w:highlight w:val="yellow"/>
              </w:rPr>
            </w:pPr>
          </w:p>
        </w:tc>
        <w:tc>
          <w:tcPr>
            <w:tcW w:w="1634" w:type="dxa"/>
          </w:tcPr>
          <w:p w14:paraId="6AF2ECF1" w14:textId="77777777" w:rsidR="00F3718E" w:rsidRPr="00C328EF" w:rsidRDefault="00F3718E" w:rsidP="00F3718E">
            <w:pPr>
              <w:suppressAutoHyphens/>
              <w:ind w:right="78"/>
              <w:jc w:val="right"/>
              <w:rPr>
                <w:rFonts w:cs="Arial"/>
                <w:spacing w:val="-2"/>
                <w:highlight w:val="yellow"/>
              </w:rPr>
            </w:pPr>
          </w:p>
        </w:tc>
        <w:tc>
          <w:tcPr>
            <w:tcW w:w="1059" w:type="dxa"/>
            <w:gridSpan w:val="2"/>
          </w:tcPr>
          <w:p w14:paraId="0478B737"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26196E8E" w14:textId="77777777" w:rsidR="00F3718E" w:rsidRPr="00C328EF" w:rsidRDefault="00F3718E" w:rsidP="00F3718E">
            <w:pPr>
              <w:suppressAutoHyphens/>
              <w:ind w:right="78"/>
              <w:jc w:val="right"/>
              <w:rPr>
                <w:rFonts w:cs="Arial"/>
                <w:spacing w:val="-2"/>
                <w:highlight w:val="yellow"/>
              </w:rPr>
            </w:pPr>
          </w:p>
        </w:tc>
      </w:tr>
      <w:tr w:rsidR="00F3718E" w:rsidRPr="00C328EF" w14:paraId="7FBAD797" w14:textId="77777777" w:rsidTr="00E114B7">
        <w:tc>
          <w:tcPr>
            <w:tcW w:w="4914" w:type="dxa"/>
          </w:tcPr>
          <w:p w14:paraId="48DBAAAD" w14:textId="77777777" w:rsidR="00F3718E" w:rsidRPr="00C328EF" w:rsidRDefault="00F3718E" w:rsidP="00F3718E">
            <w:pPr>
              <w:jc w:val="both"/>
              <w:rPr>
                <w:highlight w:val="yellow"/>
              </w:rPr>
            </w:pPr>
            <w:r w:rsidRPr="00445120">
              <w:t>All</w:t>
            </w:r>
          </w:p>
        </w:tc>
        <w:tc>
          <w:tcPr>
            <w:tcW w:w="1006" w:type="dxa"/>
            <w:gridSpan w:val="2"/>
          </w:tcPr>
          <w:p w14:paraId="2E2F8790" w14:textId="77777777" w:rsidR="00F3718E" w:rsidRPr="00C328EF" w:rsidRDefault="00F3718E" w:rsidP="00F3718E">
            <w:pPr>
              <w:suppressAutoHyphens/>
              <w:ind w:right="78"/>
              <w:jc w:val="right"/>
              <w:rPr>
                <w:rFonts w:cs="Arial"/>
                <w:spacing w:val="-2"/>
                <w:highlight w:val="yellow"/>
              </w:rPr>
            </w:pPr>
            <w:r w:rsidRPr="00CE64EC">
              <w:rPr>
                <w:rFonts w:cs="Arial"/>
                <w:spacing w:val="-2"/>
              </w:rPr>
              <w:t>2%</w:t>
            </w:r>
          </w:p>
        </w:tc>
        <w:tc>
          <w:tcPr>
            <w:tcW w:w="1634" w:type="dxa"/>
          </w:tcPr>
          <w:p w14:paraId="70707B8C" w14:textId="77777777" w:rsidR="00F3718E" w:rsidRPr="00C328EF" w:rsidRDefault="00F3718E" w:rsidP="00F3718E">
            <w:pPr>
              <w:suppressAutoHyphens/>
              <w:ind w:right="78"/>
              <w:jc w:val="right"/>
              <w:rPr>
                <w:rFonts w:cs="Arial"/>
                <w:spacing w:val="-2"/>
                <w:highlight w:val="yellow"/>
              </w:rPr>
            </w:pPr>
            <w:r w:rsidRPr="00CE64EC">
              <w:rPr>
                <w:rFonts w:cs="Arial"/>
                <w:spacing w:val="-2"/>
              </w:rPr>
              <w:t>10,</w:t>
            </w:r>
            <w:r>
              <w:rPr>
                <w:rFonts w:cs="Arial"/>
                <w:spacing w:val="-2"/>
              </w:rPr>
              <w:t>965</w:t>
            </w:r>
          </w:p>
        </w:tc>
        <w:tc>
          <w:tcPr>
            <w:tcW w:w="1059" w:type="dxa"/>
            <w:gridSpan w:val="2"/>
          </w:tcPr>
          <w:p w14:paraId="26409AB4" w14:textId="77777777" w:rsidR="00F3718E" w:rsidRPr="00C328EF" w:rsidRDefault="00F3718E" w:rsidP="00F3718E">
            <w:pPr>
              <w:suppressAutoHyphens/>
              <w:ind w:right="78"/>
              <w:jc w:val="right"/>
              <w:rPr>
                <w:rFonts w:cs="Arial"/>
                <w:spacing w:val="-2"/>
                <w:highlight w:val="yellow"/>
              </w:rPr>
            </w:pPr>
            <w:r w:rsidRPr="00445120">
              <w:rPr>
                <w:rFonts w:cs="Arial"/>
                <w:spacing w:val="-2"/>
              </w:rPr>
              <w:t>2%</w:t>
            </w:r>
          </w:p>
        </w:tc>
        <w:tc>
          <w:tcPr>
            <w:tcW w:w="1581" w:type="dxa"/>
            <w:gridSpan w:val="2"/>
          </w:tcPr>
          <w:p w14:paraId="177BB426" w14:textId="77777777" w:rsidR="00F3718E" w:rsidRPr="00C328EF" w:rsidRDefault="00F3718E" w:rsidP="00F3718E">
            <w:pPr>
              <w:suppressAutoHyphens/>
              <w:ind w:right="78"/>
              <w:jc w:val="right"/>
              <w:rPr>
                <w:rFonts w:cs="Arial"/>
                <w:spacing w:val="-2"/>
                <w:highlight w:val="yellow"/>
              </w:rPr>
            </w:pPr>
            <w:r w:rsidRPr="00445120">
              <w:rPr>
                <w:rFonts w:cs="Arial"/>
                <w:spacing w:val="-2"/>
              </w:rPr>
              <w:t>12,401</w:t>
            </w:r>
          </w:p>
        </w:tc>
      </w:tr>
      <w:tr w:rsidR="00F3718E" w:rsidRPr="00C328EF" w14:paraId="36224518" w14:textId="77777777" w:rsidTr="00E114B7">
        <w:tc>
          <w:tcPr>
            <w:tcW w:w="4914" w:type="dxa"/>
          </w:tcPr>
          <w:p w14:paraId="3DEDA821" w14:textId="77777777" w:rsidR="00F3718E" w:rsidRPr="00C328EF" w:rsidRDefault="00F3718E" w:rsidP="00F3718E">
            <w:pPr>
              <w:suppressAutoHyphens/>
              <w:rPr>
                <w:rFonts w:cs="Arial"/>
                <w:spacing w:val="-2"/>
                <w:highlight w:val="yellow"/>
              </w:rPr>
            </w:pPr>
          </w:p>
        </w:tc>
        <w:tc>
          <w:tcPr>
            <w:tcW w:w="1006" w:type="dxa"/>
            <w:gridSpan w:val="2"/>
          </w:tcPr>
          <w:p w14:paraId="6157BF98" w14:textId="77777777" w:rsidR="00F3718E" w:rsidRPr="00C328EF" w:rsidRDefault="00F3718E" w:rsidP="00F3718E">
            <w:pPr>
              <w:ind w:right="78"/>
              <w:jc w:val="right"/>
              <w:rPr>
                <w:highlight w:val="yellow"/>
              </w:rPr>
            </w:pPr>
            <w:r w:rsidRPr="00CE64EC">
              <w:rPr>
                <w:rFonts w:cs="Arial"/>
                <w:spacing w:val="-2"/>
              </w:rPr>
              <w:t>─────</w:t>
            </w:r>
          </w:p>
        </w:tc>
        <w:tc>
          <w:tcPr>
            <w:tcW w:w="1634" w:type="dxa"/>
          </w:tcPr>
          <w:p w14:paraId="7E5E209A" w14:textId="77777777" w:rsidR="00F3718E" w:rsidRPr="00C328EF" w:rsidRDefault="00F3718E" w:rsidP="00F3718E">
            <w:pPr>
              <w:ind w:right="78"/>
              <w:jc w:val="right"/>
              <w:rPr>
                <w:highlight w:val="yellow"/>
              </w:rPr>
            </w:pPr>
            <w:r w:rsidRPr="00CE64EC">
              <w:rPr>
                <w:rFonts w:cs="Arial"/>
                <w:spacing w:val="-2"/>
              </w:rPr>
              <w:t>──────</w:t>
            </w:r>
          </w:p>
        </w:tc>
        <w:tc>
          <w:tcPr>
            <w:tcW w:w="1059" w:type="dxa"/>
            <w:gridSpan w:val="2"/>
          </w:tcPr>
          <w:p w14:paraId="7C15B3D8" w14:textId="77777777" w:rsidR="00F3718E" w:rsidRPr="00C328EF" w:rsidRDefault="00F3718E" w:rsidP="00F3718E">
            <w:pPr>
              <w:ind w:right="78"/>
              <w:jc w:val="right"/>
              <w:rPr>
                <w:highlight w:val="yellow"/>
              </w:rPr>
            </w:pPr>
            <w:r w:rsidRPr="00445120">
              <w:rPr>
                <w:rFonts w:cs="Arial"/>
                <w:spacing w:val="-2"/>
              </w:rPr>
              <w:t>─────</w:t>
            </w:r>
          </w:p>
        </w:tc>
        <w:tc>
          <w:tcPr>
            <w:tcW w:w="1581" w:type="dxa"/>
            <w:gridSpan w:val="2"/>
          </w:tcPr>
          <w:p w14:paraId="67A16811" w14:textId="77777777" w:rsidR="00F3718E" w:rsidRPr="00C328EF" w:rsidRDefault="00F3718E" w:rsidP="00F3718E">
            <w:pPr>
              <w:ind w:right="78"/>
              <w:jc w:val="right"/>
              <w:rPr>
                <w:highlight w:val="yellow"/>
              </w:rPr>
            </w:pPr>
            <w:r w:rsidRPr="00445120">
              <w:rPr>
                <w:rFonts w:cs="Arial"/>
                <w:spacing w:val="-2"/>
              </w:rPr>
              <w:t>──────</w:t>
            </w:r>
          </w:p>
        </w:tc>
      </w:tr>
      <w:tr w:rsidR="00F3718E" w:rsidRPr="00C328EF" w14:paraId="6797F635" w14:textId="77777777" w:rsidTr="00E114B7">
        <w:tc>
          <w:tcPr>
            <w:tcW w:w="4914" w:type="dxa"/>
          </w:tcPr>
          <w:p w14:paraId="5BC1794B" w14:textId="77777777" w:rsidR="00F3718E" w:rsidRPr="00C328EF" w:rsidRDefault="00F3718E" w:rsidP="00F3718E">
            <w:pPr>
              <w:suppressAutoHyphens/>
              <w:rPr>
                <w:rFonts w:cs="Arial"/>
                <w:spacing w:val="-2"/>
                <w:highlight w:val="yellow"/>
              </w:rPr>
            </w:pPr>
          </w:p>
        </w:tc>
        <w:tc>
          <w:tcPr>
            <w:tcW w:w="1006" w:type="dxa"/>
            <w:gridSpan w:val="2"/>
          </w:tcPr>
          <w:p w14:paraId="28570857" w14:textId="77777777" w:rsidR="00F3718E" w:rsidRPr="00C328EF" w:rsidRDefault="00F3718E" w:rsidP="00F3718E">
            <w:pPr>
              <w:suppressAutoHyphens/>
              <w:ind w:right="78"/>
              <w:jc w:val="right"/>
              <w:rPr>
                <w:rFonts w:cs="Arial"/>
                <w:spacing w:val="-2"/>
                <w:highlight w:val="yellow"/>
              </w:rPr>
            </w:pPr>
            <w:r w:rsidRPr="00CE64EC">
              <w:rPr>
                <w:rFonts w:cs="Arial"/>
                <w:spacing w:val="-2"/>
              </w:rPr>
              <w:t>100%</w:t>
            </w:r>
          </w:p>
        </w:tc>
        <w:tc>
          <w:tcPr>
            <w:tcW w:w="1634" w:type="dxa"/>
          </w:tcPr>
          <w:p w14:paraId="2DE7C022" w14:textId="77777777" w:rsidR="00F3718E" w:rsidRPr="00C328EF" w:rsidRDefault="00F3718E" w:rsidP="00F3718E">
            <w:pPr>
              <w:suppressAutoHyphens/>
              <w:ind w:right="78"/>
              <w:jc w:val="right"/>
              <w:rPr>
                <w:rFonts w:cs="Arial"/>
                <w:spacing w:val="-2"/>
                <w:highlight w:val="yellow"/>
              </w:rPr>
            </w:pPr>
            <w:r w:rsidRPr="00CE64EC">
              <w:rPr>
                <w:rFonts w:cs="Arial"/>
                <w:spacing w:val="-2"/>
              </w:rPr>
              <w:t>49</w:t>
            </w:r>
            <w:r>
              <w:rPr>
                <w:rFonts w:cs="Arial"/>
                <w:spacing w:val="-2"/>
              </w:rPr>
              <w:t>7</w:t>
            </w:r>
            <w:r w:rsidRPr="00CE64EC">
              <w:rPr>
                <w:rFonts w:cs="Arial"/>
                <w:spacing w:val="-2"/>
              </w:rPr>
              <w:t>,</w:t>
            </w:r>
            <w:r>
              <w:rPr>
                <w:rFonts w:cs="Arial"/>
                <w:spacing w:val="-2"/>
              </w:rPr>
              <w:t>507</w:t>
            </w:r>
          </w:p>
        </w:tc>
        <w:tc>
          <w:tcPr>
            <w:tcW w:w="1059" w:type="dxa"/>
            <w:gridSpan w:val="2"/>
          </w:tcPr>
          <w:p w14:paraId="2EC2999E" w14:textId="77777777" w:rsidR="00F3718E" w:rsidRPr="00C328EF" w:rsidRDefault="00F3718E" w:rsidP="00F3718E">
            <w:pPr>
              <w:suppressAutoHyphens/>
              <w:ind w:right="78"/>
              <w:jc w:val="right"/>
              <w:rPr>
                <w:rFonts w:cs="Arial"/>
                <w:spacing w:val="-2"/>
                <w:highlight w:val="yellow"/>
              </w:rPr>
            </w:pPr>
            <w:r w:rsidRPr="00445120">
              <w:rPr>
                <w:rFonts w:cs="Arial"/>
                <w:spacing w:val="-2"/>
              </w:rPr>
              <w:t>100%</w:t>
            </w:r>
          </w:p>
        </w:tc>
        <w:tc>
          <w:tcPr>
            <w:tcW w:w="1581" w:type="dxa"/>
            <w:gridSpan w:val="2"/>
          </w:tcPr>
          <w:p w14:paraId="7A8BFDE3" w14:textId="77777777" w:rsidR="00F3718E" w:rsidRPr="00C328EF" w:rsidRDefault="00F3718E" w:rsidP="00F3718E">
            <w:pPr>
              <w:suppressAutoHyphens/>
              <w:ind w:right="78"/>
              <w:jc w:val="right"/>
              <w:rPr>
                <w:rFonts w:cs="Arial"/>
                <w:spacing w:val="-2"/>
                <w:highlight w:val="yellow"/>
              </w:rPr>
            </w:pPr>
            <w:r w:rsidRPr="00445120">
              <w:rPr>
                <w:rFonts w:cs="Arial"/>
                <w:spacing w:val="-2"/>
              </w:rPr>
              <w:t>518,366</w:t>
            </w:r>
          </w:p>
        </w:tc>
      </w:tr>
      <w:tr w:rsidR="00F3718E" w:rsidRPr="00C328EF" w14:paraId="103F0276" w14:textId="77777777" w:rsidTr="00E114B7">
        <w:tc>
          <w:tcPr>
            <w:tcW w:w="4914" w:type="dxa"/>
          </w:tcPr>
          <w:p w14:paraId="4BCD3C20" w14:textId="77777777" w:rsidR="00F3718E" w:rsidRPr="00C328EF" w:rsidRDefault="00F3718E" w:rsidP="00F3718E">
            <w:pPr>
              <w:suppressAutoHyphens/>
              <w:rPr>
                <w:rFonts w:cs="Arial"/>
                <w:spacing w:val="-2"/>
                <w:highlight w:val="yellow"/>
              </w:rPr>
            </w:pPr>
          </w:p>
        </w:tc>
        <w:tc>
          <w:tcPr>
            <w:tcW w:w="1006" w:type="dxa"/>
            <w:gridSpan w:val="2"/>
          </w:tcPr>
          <w:p w14:paraId="1B886E8B" w14:textId="77777777" w:rsidR="00F3718E" w:rsidRPr="00C328EF" w:rsidRDefault="00F3718E" w:rsidP="00F3718E">
            <w:pPr>
              <w:ind w:right="78"/>
              <w:jc w:val="right"/>
              <w:rPr>
                <w:highlight w:val="yellow"/>
              </w:rPr>
            </w:pPr>
            <w:r w:rsidRPr="00CE64EC">
              <w:rPr>
                <w:rFonts w:cs="Arial"/>
                <w:spacing w:val="-2"/>
              </w:rPr>
              <w:t>─────</w:t>
            </w:r>
          </w:p>
        </w:tc>
        <w:tc>
          <w:tcPr>
            <w:tcW w:w="1634" w:type="dxa"/>
          </w:tcPr>
          <w:p w14:paraId="5C0598F2" w14:textId="77777777" w:rsidR="00F3718E" w:rsidRPr="00C328EF" w:rsidRDefault="00F3718E" w:rsidP="00F3718E">
            <w:pPr>
              <w:ind w:right="78"/>
              <w:jc w:val="right"/>
              <w:rPr>
                <w:highlight w:val="yellow"/>
              </w:rPr>
            </w:pPr>
            <w:r w:rsidRPr="00CE64EC">
              <w:rPr>
                <w:rFonts w:cs="Arial"/>
                <w:spacing w:val="-2"/>
              </w:rPr>
              <w:t>──────</w:t>
            </w:r>
          </w:p>
        </w:tc>
        <w:tc>
          <w:tcPr>
            <w:tcW w:w="1059" w:type="dxa"/>
            <w:gridSpan w:val="2"/>
          </w:tcPr>
          <w:p w14:paraId="5DC95C92" w14:textId="77777777" w:rsidR="00F3718E" w:rsidRPr="00C328EF" w:rsidRDefault="00F3718E" w:rsidP="00F3718E">
            <w:pPr>
              <w:ind w:right="78"/>
              <w:jc w:val="right"/>
              <w:rPr>
                <w:highlight w:val="yellow"/>
              </w:rPr>
            </w:pPr>
            <w:r w:rsidRPr="00445120">
              <w:rPr>
                <w:rFonts w:cs="Arial"/>
                <w:spacing w:val="-2"/>
              </w:rPr>
              <w:t>─────</w:t>
            </w:r>
          </w:p>
        </w:tc>
        <w:tc>
          <w:tcPr>
            <w:tcW w:w="1581" w:type="dxa"/>
            <w:gridSpan w:val="2"/>
          </w:tcPr>
          <w:p w14:paraId="10F13305" w14:textId="77777777" w:rsidR="00F3718E" w:rsidRPr="00C328EF" w:rsidRDefault="00F3718E" w:rsidP="00F3718E">
            <w:pPr>
              <w:ind w:right="78"/>
              <w:jc w:val="right"/>
              <w:rPr>
                <w:highlight w:val="yellow"/>
              </w:rPr>
            </w:pPr>
            <w:r w:rsidRPr="00445120">
              <w:rPr>
                <w:rFonts w:cs="Arial"/>
                <w:spacing w:val="-2"/>
              </w:rPr>
              <w:t>──────</w:t>
            </w:r>
          </w:p>
        </w:tc>
      </w:tr>
      <w:tr w:rsidR="009D543E" w:rsidRPr="00C328EF" w14:paraId="22233A68" w14:textId="77777777" w:rsidTr="00E114B7">
        <w:tc>
          <w:tcPr>
            <w:tcW w:w="4914" w:type="dxa"/>
          </w:tcPr>
          <w:p w14:paraId="5C4E32D2" w14:textId="77777777" w:rsidR="009D543E" w:rsidRPr="00C328EF" w:rsidRDefault="009D543E" w:rsidP="009D543E">
            <w:pPr>
              <w:suppressAutoHyphens/>
              <w:rPr>
                <w:highlight w:val="yellow"/>
              </w:rPr>
            </w:pPr>
          </w:p>
        </w:tc>
        <w:tc>
          <w:tcPr>
            <w:tcW w:w="1006" w:type="dxa"/>
            <w:gridSpan w:val="2"/>
          </w:tcPr>
          <w:p w14:paraId="3F0086D8" w14:textId="77777777" w:rsidR="009D543E" w:rsidRPr="00C328EF" w:rsidRDefault="009D543E" w:rsidP="009D543E">
            <w:pPr>
              <w:suppressAutoHyphens/>
              <w:ind w:right="78"/>
              <w:jc w:val="right"/>
              <w:rPr>
                <w:rFonts w:cs="Arial"/>
                <w:spacing w:val="-2"/>
                <w:highlight w:val="yellow"/>
              </w:rPr>
            </w:pPr>
          </w:p>
        </w:tc>
        <w:tc>
          <w:tcPr>
            <w:tcW w:w="1634" w:type="dxa"/>
          </w:tcPr>
          <w:p w14:paraId="1241DD2B" w14:textId="77777777" w:rsidR="009D543E" w:rsidRPr="00C328EF" w:rsidRDefault="009D543E" w:rsidP="009D543E">
            <w:pPr>
              <w:suppressAutoHyphens/>
              <w:ind w:right="78"/>
              <w:jc w:val="right"/>
              <w:rPr>
                <w:rFonts w:cs="Arial"/>
                <w:spacing w:val="-2"/>
                <w:highlight w:val="yellow"/>
              </w:rPr>
            </w:pPr>
          </w:p>
        </w:tc>
        <w:tc>
          <w:tcPr>
            <w:tcW w:w="1059" w:type="dxa"/>
            <w:gridSpan w:val="2"/>
          </w:tcPr>
          <w:p w14:paraId="03CE8627" w14:textId="77777777" w:rsidR="009D543E" w:rsidRPr="00C328EF" w:rsidRDefault="009D543E" w:rsidP="009D543E">
            <w:pPr>
              <w:suppressAutoHyphens/>
              <w:ind w:right="78"/>
              <w:jc w:val="right"/>
              <w:rPr>
                <w:rFonts w:cs="Arial"/>
                <w:spacing w:val="-2"/>
                <w:highlight w:val="yellow"/>
              </w:rPr>
            </w:pPr>
          </w:p>
        </w:tc>
        <w:tc>
          <w:tcPr>
            <w:tcW w:w="1581" w:type="dxa"/>
            <w:gridSpan w:val="2"/>
          </w:tcPr>
          <w:p w14:paraId="24FD3D3E" w14:textId="77777777" w:rsidR="009D543E" w:rsidRPr="00C328EF" w:rsidRDefault="009D543E" w:rsidP="009D543E">
            <w:pPr>
              <w:suppressAutoHyphens/>
              <w:ind w:right="78"/>
              <w:jc w:val="right"/>
              <w:rPr>
                <w:rFonts w:cs="Arial"/>
                <w:spacing w:val="-2"/>
                <w:highlight w:val="yellow"/>
              </w:rPr>
            </w:pPr>
          </w:p>
        </w:tc>
      </w:tr>
      <w:tr w:rsidR="009D543E" w:rsidRPr="00C328EF" w14:paraId="4AA36978" w14:textId="77777777" w:rsidTr="00E114B7">
        <w:tc>
          <w:tcPr>
            <w:tcW w:w="4914" w:type="dxa"/>
          </w:tcPr>
          <w:p w14:paraId="3C847B2D" w14:textId="77777777" w:rsidR="009D543E" w:rsidRPr="00F3718E" w:rsidRDefault="009D543E" w:rsidP="009D543E">
            <w:pPr>
              <w:suppressAutoHyphens/>
            </w:pPr>
            <w:r w:rsidRPr="00F3718E">
              <w:t>The amounts recognised in the statement of financial position are determined as follows:</w:t>
            </w:r>
          </w:p>
        </w:tc>
        <w:tc>
          <w:tcPr>
            <w:tcW w:w="1006" w:type="dxa"/>
            <w:gridSpan w:val="2"/>
          </w:tcPr>
          <w:p w14:paraId="41764D8E" w14:textId="77777777" w:rsidR="009D543E" w:rsidRPr="00F3718E" w:rsidRDefault="009D543E" w:rsidP="009D543E">
            <w:pPr>
              <w:suppressAutoHyphens/>
              <w:ind w:right="78"/>
              <w:jc w:val="right"/>
              <w:rPr>
                <w:rFonts w:cs="Arial"/>
                <w:spacing w:val="-2"/>
              </w:rPr>
            </w:pPr>
          </w:p>
        </w:tc>
        <w:tc>
          <w:tcPr>
            <w:tcW w:w="1634" w:type="dxa"/>
          </w:tcPr>
          <w:p w14:paraId="728A231D" w14:textId="77777777" w:rsidR="009D543E" w:rsidRPr="00F3718E" w:rsidRDefault="003B7A8B" w:rsidP="009D543E">
            <w:pPr>
              <w:suppressAutoHyphens/>
              <w:ind w:right="78"/>
              <w:jc w:val="right"/>
              <w:rPr>
                <w:rFonts w:cs="Arial"/>
                <w:b/>
                <w:spacing w:val="-2"/>
              </w:rPr>
            </w:pPr>
            <w:r>
              <w:rPr>
                <w:rFonts w:cs="Arial"/>
                <w:b/>
                <w:spacing w:val="-2"/>
              </w:rPr>
              <w:t>28/12/</w:t>
            </w:r>
            <w:r w:rsidR="009D543E" w:rsidRPr="00F3718E">
              <w:rPr>
                <w:rFonts w:cs="Arial"/>
                <w:b/>
                <w:spacing w:val="-2"/>
              </w:rPr>
              <w:t>202</w:t>
            </w:r>
            <w:r w:rsidR="00F3718E" w:rsidRPr="00F3718E">
              <w:rPr>
                <w:rFonts w:cs="Arial"/>
                <w:b/>
                <w:spacing w:val="-2"/>
              </w:rPr>
              <w:t>4</w:t>
            </w:r>
          </w:p>
          <w:p w14:paraId="38720A45" w14:textId="77777777" w:rsidR="009D543E" w:rsidRPr="00F3718E" w:rsidRDefault="009D543E" w:rsidP="009D543E">
            <w:pPr>
              <w:suppressAutoHyphens/>
              <w:ind w:right="78"/>
              <w:jc w:val="right"/>
              <w:rPr>
                <w:rFonts w:cs="Arial"/>
                <w:b/>
                <w:spacing w:val="-2"/>
              </w:rPr>
            </w:pPr>
            <w:r w:rsidRPr="00F3718E">
              <w:rPr>
                <w:rFonts w:cs="Arial"/>
                <w:b/>
                <w:spacing w:val="-2"/>
              </w:rPr>
              <w:t>£’000</w:t>
            </w:r>
          </w:p>
        </w:tc>
        <w:tc>
          <w:tcPr>
            <w:tcW w:w="1059" w:type="dxa"/>
            <w:gridSpan w:val="2"/>
          </w:tcPr>
          <w:p w14:paraId="0A00C0ED" w14:textId="77777777" w:rsidR="009D543E" w:rsidRPr="00F3718E" w:rsidRDefault="009D543E" w:rsidP="009D543E">
            <w:pPr>
              <w:suppressAutoHyphens/>
              <w:ind w:right="78"/>
              <w:jc w:val="center"/>
              <w:rPr>
                <w:rFonts w:cs="Arial"/>
                <w:spacing w:val="-2"/>
              </w:rPr>
            </w:pPr>
          </w:p>
        </w:tc>
        <w:tc>
          <w:tcPr>
            <w:tcW w:w="1581" w:type="dxa"/>
            <w:gridSpan w:val="2"/>
          </w:tcPr>
          <w:p w14:paraId="59F5FEFD" w14:textId="77777777" w:rsidR="009D543E" w:rsidRPr="00F3718E" w:rsidRDefault="003B7A8B" w:rsidP="009D543E">
            <w:pPr>
              <w:suppressAutoHyphens/>
              <w:ind w:right="78"/>
              <w:jc w:val="right"/>
              <w:rPr>
                <w:rFonts w:cs="Arial"/>
                <w:b/>
                <w:spacing w:val="-2"/>
              </w:rPr>
            </w:pPr>
            <w:r>
              <w:rPr>
                <w:rFonts w:cs="Arial"/>
                <w:b/>
                <w:spacing w:val="-2"/>
              </w:rPr>
              <w:t>30/12/</w:t>
            </w:r>
            <w:r w:rsidR="009D543E" w:rsidRPr="00F3718E">
              <w:rPr>
                <w:rFonts w:cs="Arial"/>
                <w:b/>
                <w:spacing w:val="-2"/>
              </w:rPr>
              <w:t>202</w:t>
            </w:r>
            <w:r w:rsidR="00F3718E" w:rsidRPr="00F3718E">
              <w:rPr>
                <w:rFonts w:cs="Arial"/>
                <w:b/>
                <w:spacing w:val="-2"/>
              </w:rPr>
              <w:t>3</w:t>
            </w:r>
          </w:p>
          <w:p w14:paraId="4D442745" w14:textId="77777777" w:rsidR="009D543E" w:rsidRPr="00F3718E" w:rsidRDefault="009D543E" w:rsidP="009D543E">
            <w:pPr>
              <w:suppressAutoHyphens/>
              <w:ind w:right="78"/>
              <w:jc w:val="right"/>
              <w:rPr>
                <w:rFonts w:cs="Arial"/>
                <w:b/>
                <w:spacing w:val="-2"/>
              </w:rPr>
            </w:pPr>
            <w:r w:rsidRPr="00F3718E">
              <w:rPr>
                <w:rFonts w:cs="Arial"/>
                <w:b/>
                <w:spacing w:val="-2"/>
              </w:rPr>
              <w:t>£’000</w:t>
            </w:r>
          </w:p>
        </w:tc>
      </w:tr>
      <w:tr w:rsidR="009D543E" w:rsidRPr="00C328EF" w14:paraId="5C3FFE43" w14:textId="77777777" w:rsidTr="00E114B7">
        <w:tc>
          <w:tcPr>
            <w:tcW w:w="4914" w:type="dxa"/>
          </w:tcPr>
          <w:p w14:paraId="7A11ED8B" w14:textId="77777777" w:rsidR="009D543E" w:rsidRPr="00C328EF" w:rsidRDefault="009D543E" w:rsidP="009D543E">
            <w:pPr>
              <w:suppressAutoHyphens/>
              <w:rPr>
                <w:highlight w:val="yellow"/>
              </w:rPr>
            </w:pPr>
          </w:p>
        </w:tc>
        <w:tc>
          <w:tcPr>
            <w:tcW w:w="1006" w:type="dxa"/>
            <w:gridSpan w:val="2"/>
          </w:tcPr>
          <w:p w14:paraId="1CD2DC3E" w14:textId="77777777" w:rsidR="009D543E" w:rsidRPr="00C328EF" w:rsidRDefault="009D543E" w:rsidP="009D543E">
            <w:pPr>
              <w:suppressAutoHyphens/>
              <w:ind w:right="78"/>
              <w:jc w:val="right"/>
              <w:rPr>
                <w:rFonts w:cs="Arial"/>
                <w:spacing w:val="-2"/>
                <w:highlight w:val="yellow"/>
              </w:rPr>
            </w:pPr>
          </w:p>
        </w:tc>
        <w:tc>
          <w:tcPr>
            <w:tcW w:w="1634" w:type="dxa"/>
          </w:tcPr>
          <w:p w14:paraId="6057FBFB" w14:textId="77777777" w:rsidR="009D543E" w:rsidRPr="00C328EF" w:rsidRDefault="009D543E" w:rsidP="009D543E">
            <w:pPr>
              <w:suppressAutoHyphens/>
              <w:ind w:right="78"/>
              <w:jc w:val="right"/>
              <w:rPr>
                <w:rFonts w:cs="Arial"/>
                <w:spacing w:val="-2"/>
                <w:highlight w:val="yellow"/>
              </w:rPr>
            </w:pPr>
          </w:p>
        </w:tc>
        <w:tc>
          <w:tcPr>
            <w:tcW w:w="1059" w:type="dxa"/>
            <w:gridSpan w:val="2"/>
          </w:tcPr>
          <w:p w14:paraId="2A6AB4A3" w14:textId="77777777" w:rsidR="009D543E" w:rsidRPr="00C328EF" w:rsidRDefault="009D543E" w:rsidP="009D543E">
            <w:pPr>
              <w:suppressAutoHyphens/>
              <w:ind w:right="78"/>
              <w:jc w:val="right"/>
              <w:rPr>
                <w:rFonts w:cs="Arial"/>
                <w:spacing w:val="-2"/>
                <w:highlight w:val="yellow"/>
              </w:rPr>
            </w:pPr>
          </w:p>
        </w:tc>
        <w:tc>
          <w:tcPr>
            <w:tcW w:w="1581" w:type="dxa"/>
            <w:gridSpan w:val="2"/>
          </w:tcPr>
          <w:p w14:paraId="5AA08CA2" w14:textId="77777777" w:rsidR="009D543E" w:rsidRPr="00C328EF" w:rsidRDefault="009D543E" w:rsidP="009D543E">
            <w:pPr>
              <w:suppressAutoHyphens/>
              <w:ind w:right="78"/>
              <w:jc w:val="right"/>
              <w:rPr>
                <w:rFonts w:cs="Arial"/>
                <w:spacing w:val="-2"/>
                <w:highlight w:val="yellow"/>
              </w:rPr>
            </w:pPr>
          </w:p>
        </w:tc>
      </w:tr>
      <w:tr w:rsidR="00F3718E" w:rsidRPr="00C328EF" w14:paraId="180B48C7" w14:textId="77777777" w:rsidTr="00E114B7">
        <w:trPr>
          <w:trHeight w:val="80"/>
        </w:trPr>
        <w:tc>
          <w:tcPr>
            <w:tcW w:w="4914" w:type="dxa"/>
          </w:tcPr>
          <w:p w14:paraId="1E0A4142" w14:textId="77777777" w:rsidR="00F3718E" w:rsidRPr="00F3718E" w:rsidRDefault="00F3718E" w:rsidP="00F3718E">
            <w:pPr>
              <w:suppressAutoHyphens/>
              <w:rPr>
                <w:rFonts w:cs="Arial"/>
                <w:spacing w:val="-2"/>
              </w:rPr>
            </w:pPr>
            <w:r w:rsidRPr="00F3718E">
              <w:t>Fair value of plan assets</w:t>
            </w:r>
          </w:p>
        </w:tc>
        <w:tc>
          <w:tcPr>
            <w:tcW w:w="1006" w:type="dxa"/>
            <w:gridSpan w:val="2"/>
          </w:tcPr>
          <w:p w14:paraId="0A76508E" w14:textId="77777777" w:rsidR="00F3718E" w:rsidRPr="00C328EF" w:rsidRDefault="00F3718E" w:rsidP="00F3718E">
            <w:pPr>
              <w:suppressAutoHyphens/>
              <w:ind w:right="78"/>
              <w:jc w:val="right"/>
              <w:rPr>
                <w:rFonts w:cs="Arial"/>
                <w:spacing w:val="-2"/>
                <w:highlight w:val="yellow"/>
              </w:rPr>
            </w:pPr>
          </w:p>
        </w:tc>
        <w:tc>
          <w:tcPr>
            <w:tcW w:w="1634" w:type="dxa"/>
          </w:tcPr>
          <w:p w14:paraId="77FD0750" w14:textId="77777777" w:rsidR="00F3718E" w:rsidRPr="00F3718E" w:rsidRDefault="00F3718E" w:rsidP="00F3718E">
            <w:pPr>
              <w:suppressAutoHyphens/>
              <w:ind w:right="78"/>
              <w:jc w:val="right"/>
              <w:rPr>
                <w:rFonts w:cs="Arial"/>
                <w:spacing w:val="-2"/>
              </w:rPr>
            </w:pPr>
            <w:r w:rsidRPr="00F3718E">
              <w:rPr>
                <w:rFonts w:cs="Arial"/>
                <w:spacing w:val="-2"/>
              </w:rPr>
              <w:t>497,507</w:t>
            </w:r>
          </w:p>
        </w:tc>
        <w:tc>
          <w:tcPr>
            <w:tcW w:w="1059" w:type="dxa"/>
            <w:gridSpan w:val="2"/>
          </w:tcPr>
          <w:p w14:paraId="410E7CF3"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63DC5DE7" w14:textId="77777777" w:rsidR="00F3718E" w:rsidRPr="00F3718E" w:rsidRDefault="00F3718E" w:rsidP="00F3718E">
            <w:pPr>
              <w:suppressAutoHyphens/>
              <w:ind w:right="78"/>
              <w:jc w:val="right"/>
              <w:rPr>
                <w:rFonts w:cs="Arial"/>
                <w:spacing w:val="-2"/>
              </w:rPr>
            </w:pPr>
            <w:r w:rsidRPr="00F3718E">
              <w:rPr>
                <w:rFonts w:cs="Arial"/>
                <w:spacing w:val="-2"/>
              </w:rPr>
              <w:t>518,366</w:t>
            </w:r>
          </w:p>
        </w:tc>
      </w:tr>
      <w:tr w:rsidR="00F3718E" w:rsidRPr="00C328EF" w14:paraId="58060B75" w14:textId="77777777" w:rsidTr="00E114B7">
        <w:tc>
          <w:tcPr>
            <w:tcW w:w="4914" w:type="dxa"/>
          </w:tcPr>
          <w:p w14:paraId="03F3B651" w14:textId="77777777" w:rsidR="00F3718E" w:rsidRPr="00F3718E" w:rsidRDefault="00F3718E" w:rsidP="00F3718E">
            <w:pPr>
              <w:jc w:val="both"/>
            </w:pPr>
            <w:r w:rsidRPr="00F3718E">
              <w:t>Present value of scheme liabilities</w:t>
            </w:r>
          </w:p>
        </w:tc>
        <w:tc>
          <w:tcPr>
            <w:tcW w:w="1006" w:type="dxa"/>
            <w:gridSpan w:val="2"/>
          </w:tcPr>
          <w:p w14:paraId="37A5E17F" w14:textId="77777777" w:rsidR="00F3718E" w:rsidRPr="00C328EF" w:rsidRDefault="00F3718E" w:rsidP="00F3718E">
            <w:pPr>
              <w:suppressAutoHyphens/>
              <w:ind w:right="78"/>
              <w:jc w:val="right"/>
              <w:rPr>
                <w:rFonts w:cs="Arial"/>
                <w:spacing w:val="-2"/>
                <w:highlight w:val="yellow"/>
              </w:rPr>
            </w:pPr>
          </w:p>
        </w:tc>
        <w:tc>
          <w:tcPr>
            <w:tcW w:w="1634" w:type="dxa"/>
          </w:tcPr>
          <w:p w14:paraId="71C89515" w14:textId="77777777" w:rsidR="00F3718E" w:rsidRPr="00F3718E" w:rsidRDefault="00F3718E" w:rsidP="00F3718E">
            <w:pPr>
              <w:suppressAutoHyphens/>
              <w:ind w:right="78"/>
              <w:jc w:val="right"/>
              <w:rPr>
                <w:rFonts w:cs="Arial"/>
                <w:spacing w:val="-2"/>
              </w:rPr>
            </w:pPr>
            <w:r w:rsidRPr="00F3718E">
              <w:rPr>
                <w:rFonts w:cs="Arial"/>
                <w:spacing w:val="-2"/>
              </w:rPr>
              <w:t>(366,648)</w:t>
            </w:r>
          </w:p>
        </w:tc>
        <w:tc>
          <w:tcPr>
            <w:tcW w:w="1059" w:type="dxa"/>
            <w:gridSpan w:val="2"/>
          </w:tcPr>
          <w:p w14:paraId="370C3F90"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6BEF57BE" w14:textId="77777777" w:rsidR="00F3718E" w:rsidRPr="00F3718E" w:rsidRDefault="00F3718E" w:rsidP="00F3718E">
            <w:pPr>
              <w:suppressAutoHyphens/>
              <w:ind w:right="78"/>
              <w:jc w:val="right"/>
              <w:rPr>
                <w:rFonts w:cs="Arial"/>
                <w:spacing w:val="-2"/>
              </w:rPr>
            </w:pPr>
            <w:r w:rsidRPr="00F3718E">
              <w:rPr>
                <w:rFonts w:cs="Arial"/>
                <w:spacing w:val="-2"/>
              </w:rPr>
              <w:t>(405,698)</w:t>
            </w:r>
          </w:p>
        </w:tc>
      </w:tr>
      <w:tr w:rsidR="00F3718E" w:rsidRPr="00C328EF" w14:paraId="45E5760F" w14:textId="77777777" w:rsidTr="00E114B7">
        <w:tc>
          <w:tcPr>
            <w:tcW w:w="4914" w:type="dxa"/>
          </w:tcPr>
          <w:p w14:paraId="7AF27605" w14:textId="77777777" w:rsidR="00F3718E" w:rsidRPr="00F3718E" w:rsidRDefault="00F3718E" w:rsidP="00F3718E">
            <w:pPr>
              <w:jc w:val="both"/>
            </w:pPr>
            <w:r w:rsidRPr="00F3718E">
              <w:t>Restrictions on assets recognised</w:t>
            </w:r>
          </w:p>
        </w:tc>
        <w:tc>
          <w:tcPr>
            <w:tcW w:w="1006" w:type="dxa"/>
            <w:gridSpan w:val="2"/>
          </w:tcPr>
          <w:p w14:paraId="42A69AF2" w14:textId="77777777" w:rsidR="00F3718E" w:rsidRPr="00C328EF" w:rsidRDefault="00F3718E" w:rsidP="00F3718E">
            <w:pPr>
              <w:suppressAutoHyphens/>
              <w:ind w:right="78"/>
              <w:jc w:val="right"/>
              <w:rPr>
                <w:rFonts w:cs="Arial"/>
                <w:spacing w:val="-2"/>
                <w:highlight w:val="yellow"/>
              </w:rPr>
            </w:pPr>
          </w:p>
        </w:tc>
        <w:tc>
          <w:tcPr>
            <w:tcW w:w="1634" w:type="dxa"/>
          </w:tcPr>
          <w:p w14:paraId="0C931CF2" w14:textId="77777777" w:rsidR="00F3718E" w:rsidRPr="00F3718E" w:rsidRDefault="00F3718E" w:rsidP="00F3718E">
            <w:pPr>
              <w:suppressAutoHyphens/>
              <w:ind w:right="78"/>
              <w:jc w:val="right"/>
              <w:rPr>
                <w:rFonts w:cs="Arial"/>
                <w:spacing w:val="-2"/>
              </w:rPr>
            </w:pPr>
            <w:r w:rsidRPr="00F3718E">
              <w:rPr>
                <w:rFonts w:cs="Arial"/>
                <w:spacing w:val="-2"/>
              </w:rPr>
              <w:t>(97,908)</w:t>
            </w:r>
          </w:p>
        </w:tc>
        <w:tc>
          <w:tcPr>
            <w:tcW w:w="1059" w:type="dxa"/>
            <w:gridSpan w:val="2"/>
          </w:tcPr>
          <w:p w14:paraId="02CA1A07"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1E55352B" w14:textId="77777777" w:rsidR="00F3718E" w:rsidRPr="00F3718E" w:rsidRDefault="00F3718E" w:rsidP="00F3718E">
            <w:pPr>
              <w:suppressAutoHyphens/>
              <w:ind w:right="78"/>
              <w:jc w:val="right"/>
              <w:rPr>
                <w:rFonts w:cs="Arial"/>
                <w:spacing w:val="-2"/>
              </w:rPr>
            </w:pPr>
            <w:r w:rsidRPr="00F3718E">
              <w:rPr>
                <w:rFonts w:cs="Arial"/>
                <w:spacing w:val="-2"/>
              </w:rPr>
              <w:t>(60,969)</w:t>
            </w:r>
          </w:p>
        </w:tc>
      </w:tr>
      <w:tr w:rsidR="00F3718E" w:rsidRPr="00C328EF" w14:paraId="15C93A14" w14:textId="77777777" w:rsidTr="00E114B7">
        <w:tc>
          <w:tcPr>
            <w:tcW w:w="4914" w:type="dxa"/>
          </w:tcPr>
          <w:p w14:paraId="0EEEFA37" w14:textId="77777777" w:rsidR="00F3718E" w:rsidRPr="00F3718E" w:rsidRDefault="00F3718E" w:rsidP="00F3718E">
            <w:pPr>
              <w:jc w:val="both"/>
            </w:pPr>
          </w:p>
        </w:tc>
        <w:tc>
          <w:tcPr>
            <w:tcW w:w="1006" w:type="dxa"/>
            <w:gridSpan w:val="2"/>
          </w:tcPr>
          <w:p w14:paraId="0101BE84" w14:textId="77777777" w:rsidR="00F3718E" w:rsidRPr="00C328EF" w:rsidRDefault="00F3718E" w:rsidP="00F3718E">
            <w:pPr>
              <w:ind w:right="78"/>
              <w:jc w:val="right"/>
              <w:rPr>
                <w:highlight w:val="yellow"/>
              </w:rPr>
            </w:pPr>
          </w:p>
        </w:tc>
        <w:tc>
          <w:tcPr>
            <w:tcW w:w="1634" w:type="dxa"/>
          </w:tcPr>
          <w:p w14:paraId="3AF679B6" w14:textId="77777777" w:rsidR="00F3718E" w:rsidRPr="00F3718E" w:rsidRDefault="00F3718E" w:rsidP="00F3718E">
            <w:pPr>
              <w:ind w:right="78"/>
              <w:jc w:val="right"/>
            </w:pPr>
            <w:r w:rsidRPr="00F3718E">
              <w:rPr>
                <w:rFonts w:cs="Arial"/>
                <w:spacing w:val="-2"/>
              </w:rPr>
              <w:t>───────</w:t>
            </w:r>
          </w:p>
        </w:tc>
        <w:tc>
          <w:tcPr>
            <w:tcW w:w="1059" w:type="dxa"/>
            <w:gridSpan w:val="2"/>
          </w:tcPr>
          <w:p w14:paraId="1CA817F5" w14:textId="77777777" w:rsidR="00F3718E" w:rsidRPr="00C328EF" w:rsidRDefault="00F3718E" w:rsidP="00F3718E">
            <w:pPr>
              <w:ind w:right="78"/>
              <w:jc w:val="right"/>
              <w:rPr>
                <w:highlight w:val="yellow"/>
              </w:rPr>
            </w:pPr>
          </w:p>
        </w:tc>
        <w:tc>
          <w:tcPr>
            <w:tcW w:w="1581" w:type="dxa"/>
            <w:gridSpan w:val="2"/>
          </w:tcPr>
          <w:p w14:paraId="77ABD2F7" w14:textId="77777777" w:rsidR="00F3718E" w:rsidRPr="00F3718E" w:rsidRDefault="00F3718E" w:rsidP="00F3718E">
            <w:pPr>
              <w:ind w:right="78"/>
              <w:jc w:val="right"/>
            </w:pPr>
            <w:r w:rsidRPr="00F3718E">
              <w:rPr>
                <w:rFonts w:cs="Arial"/>
                <w:spacing w:val="-2"/>
              </w:rPr>
              <w:t>───────</w:t>
            </w:r>
          </w:p>
        </w:tc>
      </w:tr>
      <w:tr w:rsidR="00F3718E" w:rsidRPr="00C328EF" w14:paraId="754A7177" w14:textId="77777777" w:rsidTr="00E114B7">
        <w:tc>
          <w:tcPr>
            <w:tcW w:w="4914" w:type="dxa"/>
          </w:tcPr>
          <w:p w14:paraId="63C5DDEA" w14:textId="77777777" w:rsidR="00F3718E" w:rsidRPr="00F3718E" w:rsidRDefault="00F3718E" w:rsidP="00F3718E">
            <w:pPr>
              <w:jc w:val="both"/>
            </w:pPr>
            <w:r w:rsidRPr="00F3718E">
              <w:t xml:space="preserve">Asset in the scheme </w:t>
            </w:r>
          </w:p>
        </w:tc>
        <w:tc>
          <w:tcPr>
            <w:tcW w:w="1006" w:type="dxa"/>
            <w:gridSpan w:val="2"/>
          </w:tcPr>
          <w:p w14:paraId="38DF533E" w14:textId="77777777" w:rsidR="00F3718E" w:rsidRPr="00C328EF" w:rsidRDefault="00F3718E" w:rsidP="00F3718E">
            <w:pPr>
              <w:suppressAutoHyphens/>
              <w:ind w:right="78"/>
              <w:jc w:val="right"/>
              <w:rPr>
                <w:rFonts w:cs="Arial"/>
                <w:spacing w:val="-2"/>
                <w:highlight w:val="yellow"/>
              </w:rPr>
            </w:pPr>
          </w:p>
        </w:tc>
        <w:tc>
          <w:tcPr>
            <w:tcW w:w="1634" w:type="dxa"/>
          </w:tcPr>
          <w:p w14:paraId="6A894750" w14:textId="77777777" w:rsidR="00F3718E" w:rsidRPr="00F3718E" w:rsidRDefault="00F3718E" w:rsidP="00F3718E">
            <w:pPr>
              <w:suppressAutoHyphens/>
              <w:ind w:right="78"/>
              <w:jc w:val="right"/>
              <w:rPr>
                <w:rFonts w:cs="Arial"/>
                <w:spacing w:val="-2"/>
              </w:rPr>
            </w:pPr>
            <w:r w:rsidRPr="00F3718E">
              <w:rPr>
                <w:rFonts w:cs="Arial"/>
                <w:spacing w:val="-2"/>
              </w:rPr>
              <w:t>32,951</w:t>
            </w:r>
          </w:p>
        </w:tc>
        <w:tc>
          <w:tcPr>
            <w:tcW w:w="1059" w:type="dxa"/>
            <w:gridSpan w:val="2"/>
          </w:tcPr>
          <w:p w14:paraId="2F81C771"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20CD0BCD" w14:textId="77777777" w:rsidR="00F3718E" w:rsidRPr="00F3718E" w:rsidRDefault="00F3718E" w:rsidP="00F3718E">
            <w:pPr>
              <w:suppressAutoHyphens/>
              <w:ind w:right="78"/>
              <w:jc w:val="right"/>
              <w:rPr>
                <w:rFonts w:cs="Arial"/>
                <w:spacing w:val="-2"/>
              </w:rPr>
            </w:pPr>
            <w:r w:rsidRPr="00F3718E">
              <w:rPr>
                <w:rFonts w:cs="Arial"/>
                <w:spacing w:val="-2"/>
              </w:rPr>
              <w:t>51,699</w:t>
            </w:r>
          </w:p>
        </w:tc>
      </w:tr>
      <w:tr w:rsidR="00F3718E" w:rsidRPr="00C328EF" w14:paraId="25ECEEA8" w14:textId="77777777" w:rsidTr="00E114B7">
        <w:tc>
          <w:tcPr>
            <w:tcW w:w="4914" w:type="dxa"/>
          </w:tcPr>
          <w:p w14:paraId="43EFD2B3" w14:textId="77777777" w:rsidR="00F3718E" w:rsidRPr="00F3718E" w:rsidRDefault="00F3718E" w:rsidP="00F3718E">
            <w:pPr>
              <w:jc w:val="both"/>
            </w:pPr>
          </w:p>
        </w:tc>
        <w:tc>
          <w:tcPr>
            <w:tcW w:w="1006" w:type="dxa"/>
            <w:gridSpan w:val="2"/>
          </w:tcPr>
          <w:p w14:paraId="6272E93A" w14:textId="77777777" w:rsidR="00F3718E" w:rsidRPr="00C328EF" w:rsidRDefault="00F3718E" w:rsidP="00F3718E">
            <w:pPr>
              <w:ind w:right="78"/>
              <w:jc w:val="right"/>
              <w:rPr>
                <w:highlight w:val="yellow"/>
              </w:rPr>
            </w:pPr>
          </w:p>
        </w:tc>
        <w:tc>
          <w:tcPr>
            <w:tcW w:w="1634" w:type="dxa"/>
          </w:tcPr>
          <w:p w14:paraId="6D6A4BDB" w14:textId="77777777" w:rsidR="00F3718E" w:rsidRPr="00F3718E" w:rsidRDefault="00F3718E" w:rsidP="00F3718E">
            <w:pPr>
              <w:ind w:right="78"/>
              <w:jc w:val="right"/>
            </w:pPr>
            <w:r w:rsidRPr="00F3718E">
              <w:rPr>
                <w:rFonts w:cs="Arial"/>
                <w:spacing w:val="-2"/>
              </w:rPr>
              <w:t>───────</w:t>
            </w:r>
          </w:p>
        </w:tc>
        <w:tc>
          <w:tcPr>
            <w:tcW w:w="1059" w:type="dxa"/>
            <w:gridSpan w:val="2"/>
          </w:tcPr>
          <w:p w14:paraId="21ECFF14" w14:textId="77777777" w:rsidR="00F3718E" w:rsidRPr="00C328EF" w:rsidRDefault="00F3718E" w:rsidP="00F3718E">
            <w:pPr>
              <w:ind w:right="78"/>
              <w:jc w:val="right"/>
              <w:rPr>
                <w:highlight w:val="yellow"/>
              </w:rPr>
            </w:pPr>
          </w:p>
        </w:tc>
        <w:tc>
          <w:tcPr>
            <w:tcW w:w="1581" w:type="dxa"/>
            <w:gridSpan w:val="2"/>
          </w:tcPr>
          <w:p w14:paraId="1C02791C" w14:textId="77777777" w:rsidR="00F3718E" w:rsidRPr="00F3718E" w:rsidRDefault="00F3718E" w:rsidP="00F3718E">
            <w:pPr>
              <w:ind w:right="78"/>
              <w:jc w:val="right"/>
            </w:pPr>
            <w:r w:rsidRPr="00F3718E">
              <w:rPr>
                <w:rFonts w:cs="Arial"/>
                <w:spacing w:val="-2"/>
              </w:rPr>
              <w:t>───────</w:t>
            </w:r>
          </w:p>
        </w:tc>
      </w:tr>
      <w:tr w:rsidR="00F3718E" w:rsidRPr="00C328EF" w14:paraId="107DABB3" w14:textId="77777777" w:rsidTr="00E114B7">
        <w:tc>
          <w:tcPr>
            <w:tcW w:w="4914" w:type="dxa"/>
          </w:tcPr>
          <w:p w14:paraId="0D8C6173" w14:textId="77777777" w:rsidR="00F3718E" w:rsidRPr="00F3718E" w:rsidRDefault="00F3718E" w:rsidP="00F3718E">
            <w:pPr>
              <w:jc w:val="both"/>
            </w:pPr>
            <w:r w:rsidRPr="00F3718E">
              <w:t>Net pension asset</w:t>
            </w:r>
          </w:p>
        </w:tc>
        <w:tc>
          <w:tcPr>
            <w:tcW w:w="1006" w:type="dxa"/>
            <w:gridSpan w:val="2"/>
          </w:tcPr>
          <w:p w14:paraId="5D833804" w14:textId="77777777" w:rsidR="00F3718E" w:rsidRPr="00C328EF" w:rsidRDefault="00F3718E" w:rsidP="00F3718E">
            <w:pPr>
              <w:suppressAutoHyphens/>
              <w:ind w:right="78"/>
              <w:jc w:val="right"/>
              <w:rPr>
                <w:rFonts w:cs="Arial"/>
                <w:spacing w:val="-2"/>
                <w:highlight w:val="yellow"/>
              </w:rPr>
            </w:pPr>
          </w:p>
        </w:tc>
        <w:tc>
          <w:tcPr>
            <w:tcW w:w="1634" w:type="dxa"/>
          </w:tcPr>
          <w:p w14:paraId="0E08D6FC" w14:textId="77777777" w:rsidR="00F3718E" w:rsidRPr="00F3718E" w:rsidRDefault="00F3718E" w:rsidP="00F3718E">
            <w:pPr>
              <w:suppressAutoHyphens/>
              <w:ind w:right="78"/>
              <w:jc w:val="right"/>
              <w:rPr>
                <w:rFonts w:cs="Arial"/>
                <w:spacing w:val="-2"/>
              </w:rPr>
            </w:pPr>
            <w:r w:rsidRPr="00F3718E">
              <w:rPr>
                <w:rFonts w:cs="Arial"/>
                <w:spacing w:val="-2"/>
              </w:rPr>
              <w:t>32,951</w:t>
            </w:r>
          </w:p>
        </w:tc>
        <w:tc>
          <w:tcPr>
            <w:tcW w:w="1059" w:type="dxa"/>
            <w:gridSpan w:val="2"/>
          </w:tcPr>
          <w:p w14:paraId="042C39BF" w14:textId="77777777" w:rsidR="00F3718E" w:rsidRPr="00C328EF" w:rsidRDefault="00F3718E" w:rsidP="00F3718E">
            <w:pPr>
              <w:suppressAutoHyphens/>
              <w:ind w:right="78"/>
              <w:jc w:val="right"/>
              <w:rPr>
                <w:rFonts w:cs="Arial"/>
                <w:spacing w:val="-2"/>
                <w:highlight w:val="yellow"/>
              </w:rPr>
            </w:pPr>
          </w:p>
        </w:tc>
        <w:tc>
          <w:tcPr>
            <w:tcW w:w="1581" w:type="dxa"/>
            <w:gridSpan w:val="2"/>
          </w:tcPr>
          <w:p w14:paraId="2FB010B5" w14:textId="77777777" w:rsidR="00F3718E" w:rsidRPr="00F3718E" w:rsidRDefault="00F3718E" w:rsidP="00F3718E">
            <w:pPr>
              <w:suppressAutoHyphens/>
              <w:ind w:right="78"/>
              <w:jc w:val="right"/>
              <w:rPr>
                <w:rFonts w:cs="Arial"/>
                <w:spacing w:val="-2"/>
              </w:rPr>
            </w:pPr>
            <w:r w:rsidRPr="00F3718E">
              <w:rPr>
                <w:rFonts w:cs="Arial"/>
                <w:spacing w:val="-2"/>
              </w:rPr>
              <w:t>51,699</w:t>
            </w:r>
          </w:p>
        </w:tc>
      </w:tr>
      <w:tr w:rsidR="00F3718E" w:rsidRPr="00C328EF" w14:paraId="0287BA77" w14:textId="77777777" w:rsidTr="00E114B7">
        <w:tc>
          <w:tcPr>
            <w:tcW w:w="4914" w:type="dxa"/>
          </w:tcPr>
          <w:p w14:paraId="4030B17E" w14:textId="77777777" w:rsidR="00F3718E" w:rsidRPr="00F3718E" w:rsidRDefault="00F3718E" w:rsidP="00F3718E">
            <w:pPr>
              <w:suppressAutoHyphens/>
              <w:rPr>
                <w:rFonts w:cs="Arial"/>
                <w:spacing w:val="-2"/>
              </w:rPr>
            </w:pPr>
          </w:p>
        </w:tc>
        <w:tc>
          <w:tcPr>
            <w:tcW w:w="1006" w:type="dxa"/>
            <w:gridSpan w:val="2"/>
          </w:tcPr>
          <w:p w14:paraId="271602D8" w14:textId="77777777" w:rsidR="00F3718E" w:rsidRPr="00C328EF" w:rsidRDefault="00F3718E" w:rsidP="00F3718E">
            <w:pPr>
              <w:ind w:right="78"/>
              <w:jc w:val="right"/>
              <w:rPr>
                <w:highlight w:val="yellow"/>
              </w:rPr>
            </w:pPr>
          </w:p>
        </w:tc>
        <w:tc>
          <w:tcPr>
            <w:tcW w:w="1634" w:type="dxa"/>
          </w:tcPr>
          <w:p w14:paraId="1277EAAB" w14:textId="77777777" w:rsidR="00F3718E" w:rsidRPr="00F3718E" w:rsidRDefault="00F3718E" w:rsidP="00F3718E">
            <w:pPr>
              <w:ind w:right="78"/>
              <w:jc w:val="right"/>
            </w:pPr>
            <w:r w:rsidRPr="00F3718E">
              <w:rPr>
                <w:rFonts w:cs="Arial"/>
                <w:spacing w:val="-2"/>
              </w:rPr>
              <w:t>═══════</w:t>
            </w:r>
          </w:p>
        </w:tc>
        <w:tc>
          <w:tcPr>
            <w:tcW w:w="1059" w:type="dxa"/>
            <w:gridSpan w:val="2"/>
          </w:tcPr>
          <w:p w14:paraId="1D725F91" w14:textId="77777777" w:rsidR="00F3718E" w:rsidRPr="00C328EF" w:rsidRDefault="00F3718E" w:rsidP="00F3718E">
            <w:pPr>
              <w:ind w:right="78"/>
              <w:jc w:val="right"/>
              <w:rPr>
                <w:highlight w:val="yellow"/>
              </w:rPr>
            </w:pPr>
          </w:p>
        </w:tc>
        <w:tc>
          <w:tcPr>
            <w:tcW w:w="1581" w:type="dxa"/>
            <w:gridSpan w:val="2"/>
          </w:tcPr>
          <w:p w14:paraId="47C8EF0E" w14:textId="77777777" w:rsidR="00F3718E" w:rsidRPr="00F3718E" w:rsidRDefault="00F3718E" w:rsidP="00F3718E">
            <w:pPr>
              <w:ind w:right="78"/>
              <w:jc w:val="right"/>
            </w:pPr>
            <w:r w:rsidRPr="00F3718E">
              <w:rPr>
                <w:rFonts w:cs="Arial"/>
                <w:spacing w:val="-2"/>
              </w:rPr>
              <w:t>═══════</w:t>
            </w:r>
          </w:p>
        </w:tc>
      </w:tr>
    </w:tbl>
    <w:p w14:paraId="2C091A8F" w14:textId="77777777" w:rsidR="00B32041" w:rsidRPr="00C328EF" w:rsidRDefault="00B32041" w:rsidP="00B32041">
      <w:pPr>
        <w:rPr>
          <w:b/>
          <w:highlight w:val="yellow"/>
        </w:rPr>
      </w:pPr>
    </w:p>
    <w:p w14:paraId="744CA3AF" w14:textId="77777777" w:rsidR="00AC6293" w:rsidRPr="00631312" w:rsidRDefault="00AC6293" w:rsidP="00AC6293">
      <w:pPr>
        <w:pageBreakBefore/>
        <w:ind w:left="79"/>
        <w:jc w:val="center"/>
        <w:rPr>
          <w:b/>
        </w:rPr>
      </w:pPr>
      <w:r w:rsidRPr="00631312">
        <w:rPr>
          <w:b/>
        </w:rPr>
        <w:lastRenderedPageBreak/>
        <w:t>TRANSPORT FOR EDINBURGH LIMITED</w:t>
      </w:r>
    </w:p>
    <w:p w14:paraId="3B306936" w14:textId="77777777" w:rsidR="00AC6293" w:rsidRPr="00631312" w:rsidRDefault="00AC6293" w:rsidP="00AC6293">
      <w:pPr>
        <w:jc w:val="center"/>
        <w:rPr>
          <w:b/>
        </w:rPr>
      </w:pPr>
    </w:p>
    <w:p w14:paraId="4B41012D" w14:textId="77777777" w:rsidR="00AC6293" w:rsidRPr="00631312" w:rsidRDefault="00AC6293" w:rsidP="00AC6293">
      <w:pPr>
        <w:jc w:val="center"/>
        <w:rPr>
          <w:b/>
        </w:rPr>
      </w:pPr>
      <w:r w:rsidRPr="00631312">
        <w:rPr>
          <w:b/>
        </w:rPr>
        <w:t>Notes to the Financial Statements (continued)</w:t>
      </w:r>
    </w:p>
    <w:p w14:paraId="17D6FCE8" w14:textId="77777777" w:rsidR="00AC6293" w:rsidRPr="00631312" w:rsidRDefault="00AC6293" w:rsidP="00AC6293">
      <w:pPr>
        <w:jc w:val="center"/>
        <w:rPr>
          <w:b/>
        </w:rPr>
      </w:pPr>
    </w:p>
    <w:p w14:paraId="2DB116CA" w14:textId="77777777" w:rsidR="00AC6293" w:rsidRPr="00AE607B" w:rsidRDefault="00D90B89" w:rsidP="00AC6293">
      <w:pPr>
        <w:jc w:val="center"/>
      </w:pPr>
      <w:r w:rsidRPr="00AE607B">
        <w:rPr>
          <w:b/>
        </w:rPr>
        <w:t>For the period ended 28 December 2024</w:t>
      </w:r>
    </w:p>
    <w:p w14:paraId="7DC41A4C" w14:textId="77777777" w:rsidR="00BD434A" w:rsidRPr="00AE607B" w:rsidRDefault="00BD434A" w:rsidP="00BD434A">
      <w:pPr>
        <w:jc w:val="both"/>
      </w:pPr>
    </w:p>
    <w:p w14:paraId="6731CA6C" w14:textId="77777777" w:rsidR="00BD434A" w:rsidRPr="00AE607B" w:rsidRDefault="00F96D0A" w:rsidP="00BD434A">
      <w:pPr>
        <w:tabs>
          <w:tab w:val="left" w:pos="546"/>
          <w:tab w:val="left" w:pos="624"/>
        </w:tabs>
        <w:jc w:val="both"/>
        <w:rPr>
          <w:b/>
        </w:rPr>
      </w:pPr>
      <w:r w:rsidRPr="00AE607B">
        <w:rPr>
          <w:b/>
        </w:rPr>
        <w:t>2</w:t>
      </w:r>
      <w:r w:rsidR="00AE607B" w:rsidRPr="00AE607B">
        <w:rPr>
          <w:b/>
        </w:rPr>
        <w:t>4</w:t>
      </w:r>
      <w:r w:rsidR="00BD434A" w:rsidRPr="00AE607B">
        <w:rPr>
          <w:b/>
        </w:rPr>
        <w:t>.   Retirement benefits obligation (continued)</w:t>
      </w:r>
    </w:p>
    <w:p w14:paraId="7C2F71F7" w14:textId="77777777" w:rsidR="00BD434A" w:rsidRPr="000E4F59" w:rsidRDefault="00BD434A" w:rsidP="00741125">
      <w:pPr>
        <w:jc w:val="both"/>
      </w:pPr>
    </w:p>
    <w:p w14:paraId="4333FDAD" w14:textId="77777777" w:rsidR="00741125" w:rsidRPr="000E4F59" w:rsidRDefault="00741125" w:rsidP="00741125">
      <w:pPr>
        <w:jc w:val="both"/>
      </w:pPr>
      <w:r w:rsidRPr="000E4F59">
        <w:t xml:space="preserve">The movement in the defined benefit obligation over the </w:t>
      </w:r>
      <w:r w:rsidR="00366ADE">
        <w:t>period</w:t>
      </w:r>
      <w:r w:rsidRPr="000E4F59">
        <w:t xml:space="preserve"> is as follows: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8"/>
        <w:gridCol w:w="1559"/>
        <w:gridCol w:w="1276"/>
      </w:tblGrid>
      <w:tr w:rsidR="00EC59DE" w:rsidRPr="000E4F59" w14:paraId="4D26B564" w14:textId="77777777" w:rsidTr="00EC59DE">
        <w:tc>
          <w:tcPr>
            <w:tcW w:w="7338" w:type="dxa"/>
            <w:tcBorders>
              <w:top w:val="nil"/>
              <w:left w:val="nil"/>
              <w:bottom w:val="nil"/>
              <w:right w:val="nil"/>
            </w:tcBorders>
          </w:tcPr>
          <w:p w14:paraId="3C97B3E2" w14:textId="77777777" w:rsidR="00EC59DE" w:rsidRPr="000E4F59" w:rsidRDefault="00EC59DE" w:rsidP="00EC59DE">
            <w:pPr>
              <w:suppressAutoHyphens/>
              <w:ind w:right="78"/>
              <w:jc w:val="right"/>
              <w:rPr>
                <w:rFonts w:cs="Arial"/>
                <w:spacing w:val="-2"/>
              </w:rPr>
            </w:pPr>
          </w:p>
        </w:tc>
        <w:tc>
          <w:tcPr>
            <w:tcW w:w="1559" w:type="dxa"/>
            <w:tcBorders>
              <w:top w:val="nil"/>
              <w:left w:val="nil"/>
              <w:bottom w:val="nil"/>
              <w:right w:val="nil"/>
            </w:tcBorders>
          </w:tcPr>
          <w:p w14:paraId="22DCBD5F" w14:textId="77777777" w:rsidR="00EC59DE" w:rsidRPr="000E4F59" w:rsidRDefault="003B7A8B" w:rsidP="00EC59DE">
            <w:pPr>
              <w:suppressAutoHyphens/>
              <w:ind w:right="78"/>
              <w:jc w:val="right"/>
              <w:rPr>
                <w:rFonts w:cs="Arial"/>
                <w:b/>
                <w:spacing w:val="-2"/>
              </w:rPr>
            </w:pPr>
            <w:r>
              <w:rPr>
                <w:rFonts w:cs="Arial"/>
                <w:b/>
                <w:spacing w:val="-2"/>
              </w:rPr>
              <w:t>28/12/</w:t>
            </w:r>
            <w:r w:rsidR="00EC59DE" w:rsidRPr="000E4F59">
              <w:rPr>
                <w:rFonts w:cs="Arial"/>
                <w:b/>
                <w:spacing w:val="-2"/>
              </w:rPr>
              <w:t>20</w:t>
            </w:r>
            <w:r w:rsidR="00FF19EA" w:rsidRPr="000E4F59">
              <w:rPr>
                <w:rFonts w:cs="Arial"/>
                <w:b/>
                <w:spacing w:val="-2"/>
              </w:rPr>
              <w:t>2</w:t>
            </w:r>
            <w:r w:rsidR="000E4F59">
              <w:rPr>
                <w:rFonts w:cs="Arial"/>
                <w:b/>
                <w:spacing w:val="-2"/>
              </w:rPr>
              <w:t>4</w:t>
            </w:r>
          </w:p>
        </w:tc>
        <w:tc>
          <w:tcPr>
            <w:tcW w:w="1276" w:type="dxa"/>
            <w:tcBorders>
              <w:top w:val="nil"/>
              <w:left w:val="nil"/>
              <w:bottom w:val="nil"/>
              <w:right w:val="nil"/>
            </w:tcBorders>
          </w:tcPr>
          <w:p w14:paraId="095997F1" w14:textId="77777777" w:rsidR="00EC59DE" w:rsidRPr="000E4F59" w:rsidRDefault="003B7A8B" w:rsidP="00EC59DE">
            <w:pPr>
              <w:suppressAutoHyphens/>
              <w:ind w:right="78"/>
              <w:jc w:val="right"/>
              <w:rPr>
                <w:rFonts w:cs="Arial"/>
                <w:b/>
                <w:spacing w:val="-2"/>
              </w:rPr>
            </w:pPr>
            <w:r>
              <w:rPr>
                <w:rFonts w:cs="Arial"/>
                <w:b/>
                <w:spacing w:val="-2"/>
              </w:rPr>
              <w:t>30/12/</w:t>
            </w:r>
            <w:r w:rsidR="00EC59DE" w:rsidRPr="000E4F59">
              <w:rPr>
                <w:rFonts w:cs="Arial"/>
                <w:b/>
                <w:spacing w:val="-2"/>
              </w:rPr>
              <w:t>20</w:t>
            </w:r>
            <w:r w:rsidR="008D5A05" w:rsidRPr="000E4F59">
              <w:rPr>
                <w:rFonts w:cs="Arial"/>
                <w:b/>
                <w:spacing w:val="-2"/>
              </w:rPr>
              <w:t>2</w:t>
            </w:r>
            <w:r w:rsidR="000E4F59">
              <w:rPr>
                <w:rFonts w:cs="Arial"/>
                <w:b/>
                <w:spacing w:val="-2"/>
              </w:rPr>
              <w:t>3</w:t>
            </w:r>
          </w:p>
        </w:tc>
      </w:tr>
      <w:tr w:rsidR="00EC59DE" w:rsidRPr="000E4F59" w14:paraId="1506BA8A" w14:textId="77777777" w:rsidTr="00EC59DE">
        <w:tc>
          <w:tcPr>
            <w:tcW w:w="7338" w:type="dxa"/>
            <w:tcBorders>
              <w:top w:val="nil"/>
              <w:left w:val="nil"/>
              <w:bottom w:val="nil"/>
              <w:right w:val="nil"/>
            </w:tcBorders>
          </w:tcPr>
          <w:p w14:paraId="6109AA0C" w14:textId="77777777" w:rsidR="00EC59DE" w:rsidRPr="000E4F59" w:rsidRDefault="00EC59DE" w:rsidP="00EC59DE">
            <w:pPr>
              <w:suppressAutoHyphens/>
              <w:rPr>
                <w:rFonts w:cs="Arial"/>
                <w:spacing w:val="-2"/>
              </w:rPr>
            </w:pPr>
          </w:p>
        </w:tc>
        <w:tc>
          <w:tcPr>
            <w:tcW w:w="1559" w:type="dxa"/>
            <w:tcBorders>
              <w:top w:val="nil"/>
              <w:left w:val="nil"/>
              <w:bottom w:val="nil"/>
              <w:right w:val="nil"/>
            </w:tcBorders>
          </w:tcPr>
          <w:p w14:paraId="4ACD7DB4" w14:textId="77777777" w:rsidR="00EC59DE" w:rsidRPr="000E4F59" w:rsidRDefault="00EC59DE" w:rsidP="00EC59DE">
            <w:pPr>
              <w:suppressAutoHyphens/>
              <w:ind w:right="78"/>
              <w:jc w:val="right"/>
              <w:rPr>
                <w:rFonts w:cs="Arial"/>
                <w:b/>
                <w:spacing w:val="-2"/>
              </w:rPr>
            </w:pPr>
            <w:r w:rsidRPr="000E4F59">
              <w:rPr>
                <w:rFonts w:cs="Arial"/>
                <w:b/>
                <w:spacing w:val="-2"/>
              </w:rPr>
              <w:t>£’000</w:t>
            </w:r>
          </w:p>
        </w:tc>
        <w:tc>
          <w:tcPr>
            <w:tcW w:w="1276" w:type="dxa"/>
            <w:tcBorders>
              <w:top w:val="nil"/>
              <w:left w:val="nil"/>
              <w:bottom w:val="nil"/>
              <w:right w:val="nil"/>
            </w:tcBorders>
          </w:tcPr>
          <w:p w14:paraId="485C3915" w14:textId="77777777" w:rsidR="00EC59DE" w:rsidRPr="000E4F59" w:rsidRDefault="00EC59DE" w:rsidP="00EC59DE">
            <w:pPr>
              <w:suppressAutoHyphens/>
              <w:ind w:right="78"/>
              <w:jc w:val="right"/>
              <w:rPr>
                <w:rFonts w:cs="Arial"/>
                <w:b/>
                <w:spacing w:val="-2"/>
              </w:rPr>
            </w:pPr>
            <w:r w:rsidRPr="000E4F59">
              <w:rPr>
                <w:rFonts w:cs="Arial"/>
                <w:b/>
                <w:spacing w:val="-2"/>
              </w:rPr>
              <w:t>£’000</w:t>
            </w:r>
          </w:p>
        </w:tc>
      </w:tr>
      <w:tr w:rsidR="00EC59DE" w:rsidRPr="000E4F59" w14:paraId="214E118F" w14:textId="77777777" w:rsidTr="00EC59DE">
        <w:tc>
          <w:tcPr>
            <w:tcW w:w="7338" w:type="dxa"/>
            <w:tcBorders>
              <w:top w:val="nil"/>
              <w:left w:val="nil"/>
              <w:bottom w:val="nil"/>
              <w:right w:val="nil"/>
            </w:tcBorders>
          </w:tcPr>
          <w:p w14:paraId="3E2F06CA" w14:textId="77777777" w:rsidR="00EC59DE" w:rsidRPr="000E4F59" w:rsidRDefault="00EC59DE" w:rsidP="00EC59DE">
            <w:pPr>
              <w:suppressAutoHyphens/>
              <w:rPr>
                <w:rFonts w:cs="Arial"/>
                <w:spacing w:val="-2"/>
              </w:rPr>
            </w:pPr>
          </w:p>
        </w:tc>
        <w:tc>
          <w:tcPr>
            <w:tcW w:w="1559" w:type="dxa"/>
            <w:tcBorders>
              <w:top w:val="nil"/>
              <w:left w:val="nil"/>
              <w:bottom w:val="nil"/>
              <w:right w:val="nil"/>
            </w:tcBorders>
          </w:tcPr>
          <w:p w14:paraId="2D24583D" w14:textId="77777777" w:rsidR="00EC59DE" w:rsidRPr="000E4F59" w:rsidRDefault="00EC59DE" w:rsidP="00EC59DE">
            <w:pPr>
              <w:suppressAutoHyphens/>
              <w:ind w:right="78"/>
              <w:jc w:val="right"/>
              <w:rPr>
                <w:rFonts w:cs="Arial"/>
                <w:spacing w:val="-2"/>
              </w:rPr>
            </w:pPr>
          </w:p>
        </w:tc>
        <w:tc>
          <w:tcPr>
            <w:tcW w:w="1276" w:type="dxa"/>
            <w:tcBorders>
              <w:top w:val="nil"/>
              <w:left w:val="nil"/>
              <w:bottom w:val="nil"/>
              <w:right w:val="nil"/>
            </w:tcBorders>
          </w:tcPr>
          <w:p w14:paraId="6659E25E" w14:textId="77777777" w:rsidR="00EC59DE" w:rsidRPr="000E4F59" w:rsidRDefault="00EC59DE" w:rsidP="00EC59DE">
            <w:pPr>
              <w:suppressAutoHyphens/>
              <w:ind w:right="78"/>
              <w:jc w:val="right"/>
              <w:rPr>
                <w:rFonts w:cs="Arial"/>
                <w:spacing w:val="-2"/>
              </w:rPr>
            </w:pPr>
          </w:p>
        </w:tc>
      </w:tr>
      <w:tr w:rsidR="00C279E9" w:rsidRPr="00C328EF" w14:paraId="4AA43985" w14:textId="77777777" w:rsidTr="00EC59DE">
        <w:tc>
          <w:tcPr>
            <w:tcW w:w="7338" w:type="dxa"/>
            <w:tcBorders>
              <w:top w:val="nil"/>
              <w:left w:val="nil"/>
              <w:bottom w:val="nil"/>
              <w:right w:val="nil"/>
            </w:tcBorders>
          </w:tcPr>
          <w:p w14:paraId="4B045385" w14:textId="77777777" w:rsidR="00C279E9" w:rsidRPr="000E4F59" w:rsidRDefault="00C279E9" w:rsidP="00C279E9">
            <w:pPr>
              <w:ind w:firstLine="78"/>
              <w:jc w:val="both"/>
            </w:pPr>
            <w:r w:rsidRPr="000E4F59">
              <w:t xml:space="preserve">At </w:t>
            </w:r>
            <w:r w:rsidR="00894675">
              <w:t>start of period</w:t>
            </w:r>
          </w:p>
        </w:tc>
        <w:tc>
          <w:tcPr>
            <w:tcW w:w="1559" w:type="dxa"/>
            <w:tcBorders>
              <w:top w:val="nil"/>
              <w:left w:val="nil"/>
              <w:bottom w:val="nil"/>
              <w:right w:val="nil"/>
            </w:tcBorders>
          </w:tcPr>
          <w:p w14:paraId="0004F47B" w14:textId="77777777" w:rsidR="00C279E9" w:rsidRPr="00C328EF" w:rsidRDefault="00C279E9" w:rsidP="00C279E9">
            <w:pPr>
              <w:suppressAutoHyphens/>
              <w:ind w:right="78"/>
              <w:jc w:val="right"/>
              <w:rPr>
                <w:rFonts w:cs="Arial"/>
                <w:spacing w:val="-2"/>
                <w:highlight w:val="yellow"/>
              </w:rPr>
            </w:pPr>
            <w:r w:rsidRPr="00C279E9">
              <w:rPr>
                <w:rFonts w:cs="Arial"/>
                <w:spacing w:val="-2"/>
              </w:rPr>
              <w:t>405,698</w:t>
            </w:r>
          </w:p>
        </w:tc>
        <w:tc>
          <w:tcPr>
            <w:tcW w:w="1276" w:type="dxa"/>
            <w:tcBorders>
              <w:top w:val="nil"/>
              <w:left w:val="nil"/>
              <w:bottom w:val="nil"/>
              <w:right w:val="nil"/>
            </w:tcBorders>
          </w:tcPr>
          <w:p w14:paraId="5923BA05" w14:textId="77777777" w:rsidR="00C279E9" w:rsidRPr="00C279E9" w:rsidRDefault="00C279E9" w:rsidP="00C279E9">
            <w:pPr>
              <w:suppressAutoHyphens/>
              <w:ind w:right="78"/>
              <w:jc w:val="right"/>
              <w:rPr>
                <w:rFonts w:cs="Arial"/>
                <w:spacing w:val="-2"/>
              </w:rPr>
            </w:pPr>
            <w:r w:rsidRPr="00C279E9">
              <w:rPr>
                <w:rFonts w:cs="Arial"/>
                <w:spacing w:val="-2"/>
              </w:rPr>
              <w:t>358,486</w:t>
            </w:r>
          </w:p>
        </w:tc>
      </w:tr>
      <w:tr w:rsidR="004C6938" w:rsidRPr="00C328EF" w14:paraId="534E23A1" w14:textId="77777777" w:rsidTr="00EC59DE">
        <w:tc>
          <w:tcPr>
            <w:tcW w:w="7338" w:type="dxa"/>
            <w:tcBorders>
              <w:top w:val="nil"/>
              <w:left w:val="nil"/>
              <w:bottom w:val="nil"/>
              <w:right w:val="nil"/>
            </w:tcBorders>
          </w:tcPr>
          <w:p w14:paraId="193F73A4" w14:textId="77777777" w:rsidR="004C6938" w:rsidRPr="000E4F59" w:rsidRDefault="004C6938" w:rsidP="004C6938">
            <w:pPr>
              <w:ind w:firstLine="78"/>
              <w:jc w:val="both"/>
            </w:pPr>
            <w:r w:rsidRPr="000E4F59">
              <w:t>Current service cost</w:t>
            </w:r>
          </w:p>
        </w:tc>
        <w:tc>
          <w:tcPr>
            <w:tcW w:w="1559" w:type="dxa"/>
            <w:tcBorders>
              <w:top w:val="nil"/>
              <w:left w:val="nil"/>
              <w:bottom w:val="nil"/>
              <w:right w:val="nil"/>
            </w:tcBorders>
          </w:tcPr>
          <w:p w14:paraId="324429A1" w14:textId="77777777" w:rsidR="004C6938" w:rsidRPr="00C328EF" w:rsidRDefault="004C6938" w:rsidP="004C6938">
            <w:pPr>
              <w:suppressAutoHyphens/>
              <w:ind w:right="78"/>
              <w:jc w:val="right"/>
              <w:rPr>
                <w:rFonts w:cs="Arial"/>
                <w:spacing w:val="-2"/>
                <w:highlight w:val="yellow"/>
              </w:rPr>
            </w:pPr>
            <w:r w:rsidRPr="00CE64EC">
              <w:rPr>
                <w:rFonts w:cs="Arial"/>
                <w:spacing w:val="-2"/>
              </w:rPr>
              <w:t>7,269</w:t>
            </w:r>
          </w:p>
        </w:tc>
        <w:tc>
          <w:tcPr>
            <w:tcW w:w="1276" w:type="dxa"/>
            <w:tcBorders>
              <w:top w:val="nil"/>
              <w:left w:val="nil"/>
              <w:bottom w:val="nil"/>
              <w:right w:val="nil"/>
            </w:tcBorders>
          </w:tcPr>
          <w:p w14:paraId="7BFDD12A" w14:textId="77777777" w:rsidR="004C6938" w:rsidRPr="00C279E9" w:rsidRDefault="004C6938" w:rsidP="004C6938">
            <w:pPr>
              <w:suppressAutoHyphens/>
              <w:ind w:right="78"/>
              <w:jc w:val="right"/>
              <w:rPr>
                <w:rFonts w:cs="Arial"/>
                <w:spacing w:val="-2"/>
              </w:rPr>
            </w:pPr>
            <w:r w:rsidRPr="00C279E9">
              <w:rPr>
                <w:rFonts w:cs="Arial"/>
                <w:spacing w:val="-2"/>
              </w:rPr>
              <w:t>5,284</w:t>
            </w:r>
          </w:p>
        </w:tc>
      </w:tr>
      <w:tr w:rsidR="004C6938" w:rsidRPr="00C328EF" w14:paraId="464A50A8" w14:textId="77777777" w:rsidTr="00EC59DE">
        <w:tc>
          <w:tcPr>
            <w:tcW w:w="7338" w:type="dxa"/>
            <w:tcBorders>
              <w:top w:val="nil"/>
              <w:left w:val="nil"/>
              <w:bottom w:val="nil"/>
              <w:right w:val="nil"/>
            </w:tcBorders>
          </w:tcPr>
          <w:p w14:paraId="77B9BC90" w14:textId="77777777" w:rsidR="004C6938" w:rsidRPr="000E4F59" w:rsidRDefault="004C6938" w:rsidP="004C6938">
            <w:pPr>
              <w:ind w:firstLine="78"/>
              <w:jc w:val="both"/>
            </w:pPr>
            <w:r w:rsidRPr="000E4F59">
              <w:t>Interest cost on obligation</w:t>
            </w:r>
          </w:p>
        </w:tc>
        <w:tc>
          <w:tcPr>
            <w:tcW w:w="1559" w:type="dxa"/>
            <w:tcBorders>
              <w:top w:val="nil"/>
              <w:left w:val="nil"/>
              <w:bottom w:val="nil"/>
              <w:right w:val="nil"/>
            </w:tcBorders>
          </w:tcPr>
          <w:p w14:paraId="2B83E1CA" w14:textId="77777777" w:rsidR="004C6938" w:rsidRPr="00C328EF" w:rsidRDefault="004C6938" w:rsidP="004C6938">
            <w:pPr>
              <w:suppressAutoHyphens/>
              <w:ind w:right="78"/>
              <w:jc w:val="right"/>
              <w:rPr>
                <w:rFonts w:cs="Arial"/>
                <w:spacing w:val="-2"/>
                <w:highlight w:val="yellow"/>
              </w:rPr>
            </w:pPr>
            <w:r w:rsidRPr="00CE64EC">
              <w:rPr>
                <w:rFonts w:cs="Arial"/>
                <w:spacing w:val="-2"/>
              </w:rPr>
              <w:t>18,286</w:t>
            </w:r>
          </w:p>
        </w:tc>
        <w:tc>
          <w:tcPr>
            <w:tcW w:w="1276" w:type="dxa"/>
            <w:tcBorders>
              <w:top w:val="nil"/>
              <w:left w:val="nil"/>
              <w:bottom w:val="nil"/>
              <w:right w:val="nil"/>
            </w:tcBorders>
          </w:tcPr>
          <w:p w14:paraId="7D79D76C" w14:textId="77777777" w:rsidR="004C6938" w:rsidRPr="00C279E9" w:rsidRDefault="004C6938" w:rsidP="004C6938">
            <w:pPr>
              <w:suppressAutoHyphens/>
              <w:ind w:right="78"/>
              <w:jc w:val="right"/>
              <w:rPr>
                <w:rFonts w:cs="Arial"/>
                <w:spacing w:val="-2"/>
              </w:rPr>
            </w:pPr>
            <w:r w:rsidRPr="00C279E9">
              <w:rPr>
                <w:rFonts w:cs="Arial"/>
                <w:spacing w:val="-2"/>
              </w:rPr>
              <w:t>16,779</w:t>
            </w:r>
          </w:p>
        </w:tc>
      </w:tr>
      <w:tr w:rsidR="004C6938" w:rsidRPr="00C328EF" w14:paraId="19AC982C" w14:textId="77777777" w:rsidTr="00EC59DE">
        <w:tc>
          <w:tcPr>
            <w:tcW w:w="7338" w:type="dxa"/>
            <w:tcBorders>
              <w:top w:val="nil"/>
              <w:left w:val="nil"/>
              <w:bottom w:val="nil"/>
              <w:right w:val="nil"/>
            </w:tcBorders>
          </w:tcPr>
          <w:p w14:paraId="2C0511C7" w14:textId="77777777" w:rsidR="004C6938" w:rsidRPr="000E4F59" w:rsidRDefault="004C6938" w:rsidP="004C6938">
            <w:pPr>
              <w:ind w:firstLine="78"/>
              <w:jc w:val="both"/>
            </w:pPr>
            <w:r w:rsidRPr="000E4F59">
              <w:t>Plan participants contributions</w:t>
            </w:r>
          </w:p>
        </w:tc>
        <w:tc>
          <w:tcPr>
            <w:tcW w:w="1559" w:type="dxa"/>
            <w:tcBorders>
              <w:top w:val="nil"/>
              <w:left w:val="nil"/>
              <w:bottom w:val="nil"/>
              <w:right w:val="nil"/>
            </w:tcBorders>
          </w:tcPr>
          <w:p w14:paraId="5987C37A" w14:textId="77777777" w:rsidR="004C6938" w:rsidRPr="00C328EF" w:rsidRDefault="004C6938" w:rsidP="004C6938">
            <w:pPr>
              <w:suppressAutoHyphens/>
              <w:ind w:right="78"/>
              <w:jc w:val="right"/>
              <w:rPr>
                <w:rFonts w:cs="Arial"/>
                <w:spacing w:val="-2"/>
                <w:highlight w:val="yellow"/>
              </w:rPr>
            </w:pPr>
            <w:r w:rsidRPr="00CE64EC">
              <w:rPr>
                <w:rFonts w:cs="Arial"/>
                <w:spacing w:val="-2"/>
              </w:rPr>
              <w:t>1,269</w:t>
            </w:r>
          </w:p>
        </w:tc>
        <w:tc>
          <w:tcPr>
            <w:tcW w:w="1276" w:type="dxa"/>
            <w:tcBorders>
              <w:top w:val="nil"/>
              <w:left w:val="nil"/>
              <w:bottom w:val="nil"/>
              <w:right w:val="nil"/>
            </w:tcBorders>
          </w:tcPr>
          <w:p w14:paraId="48630466" w14:textId="77777777" w:rsidR="004C6938" w:rsidRPr="00C279E9" w:rsidRDefault="004C6938" w:rsidP="004C6938">
            <w:pPr>
              <w:suppressAutoHyphens/>
              <w:ind w:right="78"/>
              <w:jc w:val="right"/>
              <w:rPr>
                <w:rFonts w:cs="Arial"/>
                <w:spacing w:val="-2"/>
              </w:rPr>
            </w:pPr>
            <w:r w:rsidRPr="00C279E9">
              <w:rPr>
                <w:rFonts w:cs="Arial"/>
                <w:spacing w:val="-2"/>
              </w:rPr>
              <w:t>1,319</w:t>
            </w:r>
          </w:p>
        </w:tc>
      </w:tr>
      <w:tr w:rsidR="004C6938" w:rsidRPr="00C328EF" w14:paraId="3EBFEFEE" w14:textId="77777777" w:rsidTr="00EC59DE">
        <w:tc>
          <w:tcPr>
            <w:tcW w:w="7338" w:type="dxa"/>
            <w:tcBorders>
              <w:top w:val="nil"/>
              <w:left w:val="nil"/>
              <w:bottom w:val="nil"/>
              <w:right w:val="nil"/>
            </w:tcBorders>
          </w:tcPr>
          <w:p w14:paraId="0D567EAB" w14:textId="77777777" w:rsidR="004C6938" w:rsidRPr="000E4F59" w:rsidRDefault="004C6938" w:rsidP="004C6938">
            <w:pPr>
              <w:ind w:firstLine="78"/>
              <w:jc w:val="both"/>
            </w:pPr>
            <w:r w:rsidRPr="000E4F59">
              <w:t>Unfunded benefits paid</w:t>
            </w:r>
          </w:p>
        </w:tc>
        <w:tc>
          <w:tcPr>
            <w:tcW w:w="1559" w:type="dxa"/>
            <w:tcBorders>
              <w:top w:val="nil"/>
              <w:left w:val="nil"/>
              <w:bottom w:val="nil"/>
              <w:right w:val="nil"/>
            </w:tcBorders>
          </w:tcPr>
          <w:p w14:paraId="4A461FD1" w14:textId="77777777" w:rsidR="004C6938" w:rsidRPr="00C328EF" w:rsidRDefault="004C6938" w:rsidP="004C6938">
            <w:pPr>
              <w:suppressAutoHyphens/>
              <w:ind w:right="78"/>
              <w:jc w:val="right"/>
              <w:rPr>
                <w:rFonts w:cs="Arial"/>
                <w:spacing w:val="-2"/>
                <w:highlight w:val="yellow"/>
              </w:rPr>
            </w:pPr>
            <w:r w:rsidRPr="00CE64EC">
              <w:rPr>
                <w:rFonts w:cs="Arial"/>
                <w:spacing w:val="-2"/>
              </w:rPr>
              <w:t>(257)</w:t>
            </w:r>
          </w:p>
        </w:tc>
        <w:tc>
          <w:tcPr>
            <w:tcW w:w="1276" w:type="dxa"/>
            <w:tcBorders>
              <w:top w:val="nil"/>
              <w:left w:val="nil"/>
              <w:bottom w:val="nil"/>
              <w:right w:val="nil"/>
            </w:tcBorders>
          </w:tcPr>
          <w:p w14:paraId="7F3F6984" w14:textId="77777777" w:rsidR="004C6938" w:rsidRPr="00C279E9" w:rsidRDefault="004C6938" w:rsidP="004C6938">
            <w:pPr>
              <w:suppressAutoHyphens/>
              <w:ind w:right="78"/>
              <w:jc w:val="right"/>
              <w:rPr>
                <w:rFonts w:cs="Arial"/>
                <w:spacing w:val="-2"/>
              </w:rPr>
            </w:pPr>
            <w:r w:rsidRPr="00C279E9">
              <w:rPr>
                <w:rFonts w:cs="Arial"/>
                <w:spacing w:val="-2"/>
              </w:rPr>
              <w:t>(274)</w:t>
            </w:r>
          </w:p>
        </w:tc>
      </w:tr>
      <w:tr w:rsidR="004C6938" w:rsidRPr="00C328EF" w14:paraId="01AF2516" w14:textId="77777777" w:rsidTr="00EC59DE">
        <w:tc>
          <w:tcPr>
            <w:tcW w:w="7338" w:type="dxa"/>
            <w:tcBorders>
              <w:top w:val="nil"/>
              <w:left w:val="nil"/>
              <w:bottom w:val="nil"/>
              <w:right w:val="nil"/>
            </w:tcBorders>
          </w:tcPr>
          <w:p w14:paraId="6464446B" w14:textId="77777777" w:rsidR="004C6938" w:rsidRPr="00311162" w:rsidRDefault="004C6938" w:rsidP="004C6938">
            <w:pPr>
              <w:ind w:firstLine="78"/>
              <w:jc w:val="both"/>
            </w:pPr>
            <w:r w:rsidRPr="00311162">
              <w:t>Benefits paid</w:t>
            </w:r>
          </w:p>
        </w:tc>
        <w:tc>
          <w:tcPr>
            <w:tcW w:w="1559" w:type="dxa"/>
            <w:tcBorders>
              <w:top w:val="nil"/>
              <w:left w:val="nil"/>
              <w:bottom w:val="nil"/>
              <w:right w:val="nil"/>
            </w:tcBorders>
          </w:tcPr>
          <w:p w14:paraId="75A1973B" w14:textId="77777777" w:rsidR="004C6938" w:rsidRPr="00C328EF" w:rsidRDefault="004C6938" w:rsidP="004C6938">
            <w:pPr>
              <w:suppressAutoHyphens/>
              <w:ind w:right="78"/>
              <w:jc w:val="right"/>
              <w:rPr>
                <w:rFonts w:cs="Arial"/>
                <w:spacing w:val="-2"/>
                <w:highlight w:val="yellow"/>
              </w:rPr>
            </w:pPr>
            <w:r w:rsidRPr="00CE64EC">
              <w:rPr>
                <w:rFonts w:cs="Arial"/>
                <w:spacing w:val="-2"/>
              </w:rPr>
              <w:t>(15,964)</w:t>
            </w:r>
          </w:p>
        </w:tc>
        <w:tc>
          <w:tcPr>
            <w:tcW w:w="1276" w:type="dxa"/>
            <w:tcBorders>
              <w:top w:val="nil"/>
              <w:left w:val="nil"/>
              <w:bottom w:val="nil"/>
              <w:right w:val="nil"/>
            </w:tcBorders>
          </w:tcPr>
          <w:p w14:paraId="5333B4E2" w14:textId="77777777" w:rsidR="004C6938" w:rsidRPr="00C279E9" w:rsidRDefault="004C6938" w:rsidP="004C6938">
            <w:pPr>
              <w:suppressAutoHyphens/>
              <w:ind w:right="78"/>
              <w:jc w:val="right"/>
              <w:rPr>
                <w:rFonts w:cs="Arial"/>
                <w:spacing w:val="-2"/>
              </w:rPr>
            </w:pPr>
            <w:r w:rsidRPr="00C279E9">
              <w:rPr>
                <w:rFonts w:cs="Arial"/>
                <w:spacing w:val="-2"/>
              </w:rPr>
              <w:t>(16,442)</w:t>
            </w:r>
          </w:p>
        </w:tc>
      </w:tr>
      <w:tr w:rsidR="004C6938" w:rsidRPr="00C328EF" w14:paraId="2F4130C4" w14:textId="77777777" w:rsidTr="00EC59DE">
        <w:tc>
          <w:tcPr>
            <w:tcW w:w="7338" w:type="dxa"/>
            <w:tcBorders>
              <w:top w:val="nil"/>
              <w:left w:val="nil"/>
              <w:bottom w:val="nil"/>
              <w:right w:val="nil"/>
            </w:tcBorders>
          </w:tcPr>
          <w:p w14:paraId="372E6E72" w14:textId="77777777" w:rsidR="004C6938" w:rsidRPr="00311162" w:rsidRDefault="004C6938" w:rsidP="004C6938">
            <w:pPr>
              <w:ind w:firstLine="78"/>
              <w:jc w:val="both"/>
            </w:pPr>
            <w:r w:rsidRPr="00311162">
              <w:t>Actuarial gains arising from changes in financial assumptions</w:t>
            </w:r>
          </w:p>
        </w:tc>
        <w:tc>
          <w:tcPr>
            <w:tcW w:w="1559" w:type="dxa"/>
            <w:tcBorders>
              <w:top w:val="nil"/>
              <w:left w:val="nil"/>
              <w:bottom w:val="nil"/>
              <w:right w:val="nil"/>
            </w:tcBorders>
          </w:tcPr>
          <w:p w14:paraId="0B4FE0C3" w14:textId="77777777" w:rsidR="004C6938" w:rsidRPr="00C328EF" w:rsidRDefault="004C6938" w:rsidP="004C6938">
            <w:pPr>
              <w:suppressAutoHyphens/>
              <w:ind w:right="78"/>
              <w:jc w:val="right"/>
              <w:rPr>
                <w:rFonts w:cs="Arial"/>
                <w:spacing w:val="-2"/>
                <w:highlight w:val="yellow"/>
              </w:rPr>
            </w:pPr>
            <w:r w:rsidRPr="00CE64EC">
              <w:rPr>
                <w:rFonts w:cs="Arial"/>
                <w:spacing w:val="-2"/>
              </w:rPr>
              <w:t>(61,104)</w:t>
            </w:r>
          </w:p>
        </w:tc>
        <w:tc>
          <w:tcPr>
            <w:tcW w:w="1276" w:type="dxa"/>
            <w:tcBorders>
              <w:top w:val="nil"/>
              <w:left w:val="nil"/>
              <w:bottom w:val="nil"/>
              <w:right w:val="nil"/>
            </w:tcBorders>
          </w:tcPr>
          <w:p w14:paraId="126E5F0D" w14:textId="77777777" w:rsidR="004C6938" w:rsidRPr="00C279E9" w:rsidRDefault="004C6938" w:rsidP="004C6938">
            <w:pPr>
              <w:suppressAutoHyphens/>
              <w:ind w:right="78"/>
              <w:jc w:val="right"/>
              <w:rPr>
                <w:rFonts w:cs="Arial"/>
                <w:spacing w:val="-2"/>
              </w:rPr>
            </w:pPr>
            <w:r w:rsidRPr="00C279E9">
              <w:rPr>
                <w:rFonts w:cs="Arial"/>
                <w:spacing w:val="-2"/>
              </w:rPr>
              <w:t>(204)</w:t>
            </w:r>
          </w:p>
        </w:tc>
      </w:tr>
      <w:tr w:rsidR="004C6938" w:rsidRPr="00C328EF" w14:paraId="11752E59" w14:textId="77777777" w:rsidTr="00EC59DE">
        <w:tc>
          <w:tcPr>
            <w:tcW w:w="7338" w:type="dxa"/>
            <w:tcBorders>
              <w:top w:val="nil"/>
              <w:left w:val="nil"/>
              <w:bottom w:val="nil"/>
              <w:right w:val="nil"/>
            </w:tcBorders>
          </w:tcPr>
          <w:p w14:paraId="72F8AE22" w14:textId="77777777" w:rsidR="004C6938" w:rsidRPr="00311162" w:rsidRDefault="004C6938" w:rsidP="004C6938">
            <w:pPr>
              <w:ind w:firstLine="78"/>
              <w:jc w:val="both"/>
            </w:pPr>
            <w:r w:rsidRPr="00311162">
              <w:t>Actuarial gains arising from changes in demographic assumptions</w:t>
            </w:r>
          </w:p>
        </w:tc>
        <w:tc>
          <w:tcPr>
            <w:tcW w:w="1559" w:type="dxa"/>
            <w:tcBorders>
              <w:top w:val="nil"/>
              <w:left w:val="nil"/>
              <w:bottom w:val="nil"/>
              <w:right w:val="nil"/>
            </w:tcBorders>
          </w:tcPr>
          <w:p w14:paraId="493D53E0" w14:textId="77777777" w:rsidR="004C6938" w:rsidRPr="00C328EF" w:rsidRDefault="004C6938" w:rsidP="004C6938">
            <w:pPr>
              <w:suppressAutoHyphens/>
              <w:ind w:right="78"/>
              <w:jc w:val="right"/>
              <w:rPr>
                <w:rFonts w:cs="Arial"/>
                <w:spacing w:val="-2"/>
                <w:highlight w:val="yellow"/>
              </w:rPr>
            </w:pPr>
            <w:r w:rsidRPr="00CE64EC">
              <w:rPr>
                <w:rFonts w:cs="Arial"/>
                <w:spacing w:val="-2"/>
              </w:rPr>
              <w:t>(690)</w:t>
            </w:r>
          </w:p>
        </w:tc>
        <w:tc>
          <w:tcPr>
            <w:tcW w:w="1276" w:type="dxa"/>
            <w:tcBorders>
              <w:top w:val="nil"/>
              <w:left w:val="nil"/>
              <w:bottom w:val="nil"/>
              <w:right w:val="nil"/>
            </w:tcBorders>
          </w:tcPr>
          <w:p w14:paraId="50C7863A" w14:textId="77777777" w:rsidR="004C6938" w:rsidRPr="00C279E9" w:rsidRDefault="004C6938" w:rsidP="004C6938">
            <w:pPr>
              <w:suppressAutoHyphens/>
              <w:ind w:right="78"/>
              <w:jc w:val="right"/>
              <w:rPr>
                <w:rFonts w:cs="Arial"/>
                <w:spacing w:val="-2"/>
              </w:rPr>
            </w:pPr>
            <w:r w:rsidRPr="00C279E9">
              <w:rPr>
                <w:rFonts w:cs="Arial"/>
                <w:spacing w:val="-2"/>
              </w:rPr>
              <w:t>(4,155)</w:t>
            </w:r>
          </w:p>
        </w:tc>
      </w:tr>
      <w:tr w:rsidR="004C6938" w:rsidRPr="00C328EF" w14:paraId="4DF6E4E4" w14:textId="77777777" w:rsidTr="00EC59DE">
        <w:tc>
          <w:tcPr>
            <w:tcW w:w="7338" w:type="dxa"/>
            <w:tcBorders>
              <w:top w:val="nil"/>
              <w:left w:val="nil"/>
              <w:bottom w:val="nil"/>
              <w:right w:val="nil"/>
            </w:tcBorders>
          </w:tcPr>
          <w:p w14:paraId="577FC68D" w14:textId="77777777" w:rsidR="004C6938" w:rsidRPr="00311162" w:rsidRDefault="004C6938" w:rsidP="004C6938">
            <w:pPr>
              <w:ind w:firstLine="78"/>
              <w:jc w:val="both"/>
            </w:pPr>
            <w:r w:rsidRPr="00311162">
              <w:t>Other actuarial losses</w:t>
            </w:r>
          </w:p>
        </w:tc>
        <w:tc>
          <w:tcPr>
            <w:tcW w:w="1559" w:type="dxa"/>
            <w:tcBorders>
              <w:top w:val="nil"/>
              <w:left w:val="nil"/>
              <w:bottom w:val="nil"/>
              <w:right w:val="nil"/>
            </w:tcBorders>
          </w:tcPr>
          <w:p w14:paraId="5BF0EE3B" w14:textId="77777777" w:rsidR="004C6938" w:rsidRPr="00C328EF" w:rsidRDefault="004C6938" w:rsidP="004C6938">
            <w:pPr>
              <w:suppressAutoHyphens/>
              <w:ind w:right="78"/>
              <w:jc w:val="right"/>
              <w:rPr>
                <w:rFonts w:cs="Arial"/>
                <w:spacing w:val="-2"/>
                <w:highlight w:val="yellow"/>
              </w:rPr>
            </w:pPr>
            <w:r w:rsidRPr="00CE64EC">
              <w:rPr>
                <w:rFonts w:cs="Arial"/>
                <w:spacing w:val="-2"/>
              </w:rPr>
              <w:t>12,141</w:t>
            </w:r>
          </w:p>
        </w:tc>
        <w:tc>
          <w:tcPr>
            <w:tcW w:w="1276" w:type="dxa"/>
            <w:tcBorders>
              <w:top w:val="nil"/>
              <w:left w:val="nil"/>
              <w:bottom w:val="nil"/>
              <w:right w:val="nil"/>
            </w:tcBorders>
          </w:tcPr>
          <w:p w14:paraId="44F03390" w14:textId="77777777" w:rsidR="004C6938" w:rsidRPr="00C279E9" w:rsidRDefault="004C6938" w:rsidP="004C6938">
            <w:pPr>
              <w:suppressAutoHyphens/>
              <w:ind w:right="78"/>
              <w:jc w:val="right"/>
              <w:rPr>
                <w:rFonts w:cs="Arial"/>
                <w:spacing w:val="-2"/>
              </w:rPr>
            </w:pPr>
            <w:r w:rsidRPr="00C279E9">
              <w:rPr>
                <w:rFonts w:cs="Arial"/>
                <w:spacing w:val="-2"/>
              </w:rPr>
              <w:t>44,905</w:t>
            </w:r>
          </w:p>
        </w:tc>
      </w:tr>
      <w:tr w:rsidR="004C6938" w:rsidRPr="00C328EF" w14:paraId="659E9577" w14:textId="77777777" w:rsidTr="00EC59DE">
        <w:tc>
          <w:tcPr>
            <w:tcW w:w="7338" w:type="dxa"/>
            <w:tcBorders>
              <w:top w:val="nil"/>
              <w:left w:val="nil"/>
              <w:bottom w:val="nil"/>
              <w:right w:val="nil"/>
            </w:tcBorders>
          </w:tcPr>
          <w:p w14:paraId="13B7E6E8" w14:textId="77777777" w:rsidR="004C6938" w:rsidRPr="00311162" w:rsidRDefault="004C6938" w:rsidP="004C6938">
            <w:pPr>
              <w:suppressAutoHyphens/>
              <w:ind w:firstLine="546"/>
              <w:rPr>
                <w:rFonts w:cs="Arial"/>
                <w:spacing w:val="-2"/>
              </w:rPr>
            </w:pPr>
          </w:p>
        </w:tc>
        <w:tc>
          <w:tcPr>
            <w:tcW w:w="1559" w:type="dxa"/>
            <w:tcBorders>
              <w:top w:val="nil"/>
              <w:left w:val="nil"/>
              <w:bottom w:val="nil"/>
              <w:right w:val="nil"/>
            </w:tcBorders>
          </w:tcPr>
          <w:p w14:paraId="11221139" w14:textId="77777777" w:rsidR="004C6938" w:rsidRPr="00C328EF" w:rsidRDefault="004C6938" w:rsidP="004C6938">
            <w:pPr>
              <w:suppressAutoHyphens/>
              <w:ind w:right="78"/>
              <w:jc w:val="right"/>
              <w:rPr>
                <w:rFonts w:cs="Arial"/>
                <w:spacing w:val="-2"/>
                <w:highlight w:val="yellow"/>
              </w:rPr>
            </w:pPr>
            <w:r w:rsidRPr="00CE64EC">
              <w:rPr>
                <w:rFonts w:cs="Arial"/>
                <w:spacing w:val="-2"/>
              </w:rPr>
              <w:t>───────</w:t>
            </w:r>
          </w:p>
        </w:tc>
        <w:tc>
          <w:tcPr>
            <w:tcW w:w="1276" w:type="dxa"/>
            <w:tcBorders>
              <w:top w:val="nil"/>
              <w:left w:val="nil"/>
              <w:bottom w:val="nil"/>
              <w:right w:val="nil"/>
            </w:tcBorders>
          </w:tcPr>
          <w:p w14:paraId="62FB815C" w14:textId="77777777" w:rsidR="004C6938" w:rsidRPr="00C279E9" w:rsidRDefault="004C6938" w:rsidP="004C6938">
            <w:pPr>
              <w:suppressAutoHyphens/>
              <w:ind w:right="78"/>
              <w:jc w:val="right"/>
              <w:rPr>
                <w:rFonts w:cs="Arial"/>
                <w:spacing w:val="-2"/>
              </w:rPr>
            </w:pPr>
            <w:r w:rsidRPr="00C279E9">
              <w:rPr>
                <w:rFonts w:cs="Arial"/>
                <w:spacing w:val="-2"/>
              </w:rPr>
              <w:t>───────</w:t>
            </w:r>
          </w:p>
        </w:tc>
      </w:tr>
      <w:tr w:rsidR="004C6938" w:rsidRPr="00C328EF" w14:paraId="22040FD3" w14:textId="77777777" w:rsidTr="00EC59DE">
        <w:tc>
          <w:tcPr>
            <w:tcW w:w="7338" w:type="dxa"/>
            <w:tcBorders>
              <w:top w:val="nil"/>
              <w:left w:val="nil"/>
              <w:bottom w:val="nil"/>
              <w:right w:val="nil"/>
            </w:tcBorders>
          </w:tcPr>
          <w:p w14:paraId="0FD8D76A" w14:textId="77777777" w:rsidR="004C6938" w:rsidRPr="00C328EF" w:rsidRDefault="004C6938" w:rsidP="004C6938">
            <w:pPr>
              <w:suppressAutoHyphens/>
              <w:ind w:firstLine="78"/>
              <w:rPr>
                <w:rFonts w:cs="Arial"/>
                <w:spacing w:val="-2"/>
                <w:highlight w:val="yellow"/>
              </w:rPr>
            </w:pPr>
            <w:r w:rsidRPr="00C279E9">
              <w:rPr>
                <w:rFonts w:cs="Arial"/>
                <w:spacing w:val="-2"/>
              </w:rPr>
              <w:t xml:space="preserve">At </w:t>
            </w:r>
            <w:r w:rsidR="00894675">
              <w:rPr>
                <w:rFonts w:cs="Arial"/>
                <w:spacing w:val="-2"/>
              </w:rPr>
              <w:t>end of period</w:t>
            </w:r>
          </w:p>
        </w:tc>
        <w:tc>
          <w:tcPr>
            <w:tcW w:w="1559" w:type="dxa"/>
            <w:tcBorders>
              <w:top w:val="nil"/>
              <w:left w:val="nil"/>
              <w:bottom w:val="nil"/>
              <w:right w:val="nil"/>
            </w:tcBorders>
          </w:tcPr>
          <w:p w14:paraId="0CCCC78A" w14:textId="77777777" w:rsidR="004C6938" w:rsidRPr="00C328EF" w:rsidRDefault="004C6938" w:rsidP="004C6938">
            <w:pPr>
              <w:suppressAutoHyphens/>
              <w:ind w:right="78"/>
              <w:jc w:val="right"/>
              <w:rPr>
                <w:rFonts w:cs="Arial"/>
                <w:spacing w:val="-2"/>
                <w:highlight w:val="yellow"/>
              </w:rPr>
            </w:pPr>
            <w:r w:rsidRPr="00CE64EC">
              <w:rPr>
                <w:rFonts w:cs="Arial"/>
                <w:spacing w:val="-2"/>
              </w:rPr>
              <w:t>366,648</w:t>
            </w:r>
          </w:p>
        </w:tc>
        <w:tc>
          <w:tcPr>
            <w:tcW w:w="1276" w:type="dxa"/>
            <w:tcBorders>
              <w:top w:val="nil"/>
              <w:left w:val="nil"/>
              <w:bottom w:val="nil"/>
              <w:right w:val="nil"/>
            </w:tcBorders>
          </w:tcPr>
          <w:p w14:paraId="270FBE4B" w14:textId="77777777" w:rsidR="004C6938" w:rsidRPr="00C279E9" w:rsidRDefault="004C6938" w:rsidP="004C6938">
            <w:pPr>
              <w:suppressAutoHyphens/>
              <w:ind w:right="78"/>
              <w:jc w:val="right"/>
              <w:rPr>
                <w:rFonts w:cs="Arial"/>
                <w:spacing w:val="-2"/>
              </w:rPr>
            </w:pPr>
            <w:r w:rsidRPr="00C279E9">
              <w:rPr>
                <w:rFonts w:cs="Arial"/>
                <w:spacing w:val="-2"/>
              </w:rPr>
              <w:t>405,698</w:t>
            </w:r>
          </w:p>
        </w:tc>
      </w:tr>
      <w:tr w:rsidR="004C6938" w:rsidRPr="00C328EF" w14:paraId="35EEFF6C" w14:textId="77777777" w:rsidTr="00EC59DE">
        <w:tc>
          <w:tcPr>
            <w:tcW w:w="7338" w:type="dxa"/>
            <w:tcBorders>
              <w:top w:val="nil"/>
              <w:left w:val="nil"/>
              <w:bottom w:val="nil"/>
              <w:right w:val="nil"/>
            </w:tcBorders>
          </w:tcPr>
          <w:p w14:paraId="10DFDD8F" w14:textId="77777777" w:rsidR="004C6938" w:rsidRPr="00C328EF" w:rsidRDefault="004C6938" w:rsidP="004C6938">
            <w:pPr>
              <w:suppressAutoHyphens/>
              <w:rPr>
                <w:rFonts w:cs="Arial"/>
                <w:spacing w:val="-2"/>
                <w:highlight w:val="yellow"/>
              </w:rPr>
            </w:pPr>
          </w:p>
        </w:tc>
        <w:tc>
          <w:tcPr>
            <w:tcW w:w="1559" w:type="dxa"/>
            <w:tcBorders>
              <w:top w:val="nil"/>
              <w:left w:val="nil"/>
              <w:bottom w:val="nil"/>
              <w:right w:val="nil"/>
            </w:tcBorders>
          </w:tcPr>
          <w:p w14:paraId="77436A7F" w14:textId="77777777" w:rsidR="004C6938" w:rsidRPr="00C328EF" w:rsidRDefault="004C6938" w:rsidP="004C6938">
            <w:pPr>
              <w:suppressAutoHyphens/>
              <w:ind w:right="78"/>
              <w:jc w:val="right"/>
              <w:rPr>
                <w:rFonts w:cs="Arial"/>
                <w:spacing w:val="-2"/>
                <w:highlight w:val="yellow"/>
              </w:rPr>
            </w:pPr>
            <w:r w:rsidRPr="00CE64EC">
              <w:rPr>
                <w:rFonts w:cs="Arial"/>
                <w:spacing w:val="-2"/>
              </w:rPr>
              <w:t>═══════</w:t>
            </w:r>
          </w:p>
        </w:tc>
        <w:tc>
          <w:tcPr>
            <w:tcW w:w="1276" w:type="dxa"/>
            <w:tcBorders>
              <w:top w:val="nil"/>
              <w:left w:val="nil"/>
              <w:bottom w:val="nil"/>
              <w:right w:val="nil"/>
            </w:tcBorders>
          </w:tcPr>
          <w:p w14:paraId="70598923" w14:textId="77777777" w:rsidR="004C6938" w:rsidRPr="00C279E9" w:rsidRDefault="004C6938" w:rsidP="004C6938">
            <w:pPr>
              <w:suppressAutoHyphens/>
              <w:ind w:right="78"/>
              <w:jc w:val="right"/>
              <w:rPr>
                <w:rFonts w:cs="Arial"/>
                <w:spacing w:val="-2"/>
              </w:rPr>
            </w:pPr>
            <w:r w:rsidRPr="00C279E9">
              <w:rPr>
                <w:rFonts w:cs="Arial"/>
                <w:spacing w:val="-2"/>
              </w:rPr>
              <w:t>═══════</w:t>
            </w:r>
          </w:p>
        </w:tc>
      </w:tr>
    </w:tbl>
    <w:p w14:paraId="2CC9A7E1" w14:textId="77777777" w:rsidR="00994C62" w:rsidRPr="00C279E9" w:rsidRDefault="00994C62" w:rsidP="00994C62">
      <w:pPr>
        <w:jc w:val="both"/>
      </w:pPr>
    </w:p>
    <w:p w14:paraId="4F3A2DD1" w14:textId="77777777" w:rsidR="00CE480E" w:rsidRPr="00C279E9" w:rsidRDefault="00CE480E" w:rsidP="00CE480E">
      <w:pPr>
        <w:suppressAutoHyphens/>
        <w:ind w:right="78"/>
        <w:rPr>
          <w:rFonts w:cs="Arial"/>
          <w:spacing w:val="-2"/>
        </w:rPr>
      </w:pPr>
      <w:r w:rsidRPr="00C279E9">
        <w:t xml:space="preserve">The movement in the fair value of plan assets of the </w:t>
      </w:r>
      <w:r w:rsidR="00366ADE">
        <w:t>period</w:t>
      </w:r>
      <w:r w:rsidRPr="00C279E9">
        <w:t xml:space="preserve"> is as follows</w:t>
      </w:r>
      <w:r w:rsidR="00E46054" w:rsidRPr="00C279E9">
        <w:t>:</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559"/>
        <w:gridCol w:w="1297"/>
      </w:tblGrid>
      <w:tr w:rsidR="00EC59DE" w:rsidRPr="00C279E9" w14:paraId="5FF993D5" w14:textId="77777777" w:rsidTr="00EC59DE">
        <w:tc>
          <w:tcPr>
            <w:tcW w:w="7338" w:type="dxa"/>
            <w:tcBorders>
              <w:top w:val="nil"/>
              <w:left w:val="nil"/>
              <w:bottom w:val="nil"/>
              <w:right w:val="nil"/>
            </w:tcBorders>
          </w:tcPr>
          <w:p w14:paraId="05FC84EB" w14:textId="77777777" w:rsidR="00EC59DE" w:rsidRPr="00C279E9" w:rsidRDefault="00EC59DE" w:rsidP="00EC59DE">
            <w:pPr>
              <w:suppressAutoHyphens/>
              <w:ind w:right="78"/>
              <w:jc w:val="right"/>
              <w:rPr>
                <w:rFonts w:cs="Arial"/>
                <w:spacing w:val="-2"/>
              </w:rPr>
            </w:pPr>
          </w:p>
        </w:tc>
        <w:tc>
          <w:tcPr>
            <w:tcW w:w="1559" w:type="dxa"/>
            <w:tcBorders>
              <w:top w:val="nil"/>
              <w:left w:val="nil"/>
              <w:bottom w:val="nil"/>
              <w:right w:val="nil"/>
            </w:tcBorders>
          </w:tcPr>
          <w:p w14:paraId="4383E49E" w14:textId="77777777" w:rsidR="00EC59DE" w:rsidRPr="00C279E9" w:rsidRDefault="003B7A8B" w:rsidP="00EC59DE">
            <w:pPr>
              <w:suppressAutoHyphens/>
              <w:ind w:right="78"/>
              <w:jc w:val="right"/>
              <w:rPr>
                <w:rFonts w:cs="Arial"/>
                <w:b/>
                <w:spacing w:val="-2"/>
              </w:rPr>
            </w:pPr>
            <w:r>
              <w:rPr>
                <w:rFonts w:cs="Arial"/>
                <w:b/>
                <w:spacing w:val="-2"/>
              </w:rPr>
              <w:t>28/12/</w:t>
            </w:r>
            <w:r w:rsidR="00EC59DE" w:rsidRPr="00C279E9">
              <w:rPr>
                <w:rFonts w:cs="Arial"/>
                <w:b/>
                <w:spacing w:val="-2"/>
              </w:rPr>
              <w:t>20</w:t>
            </w:r>
            <w:r w:rsidR="003068AC" w:rsidRPr="00C279E9">
              <w:rPr>
                <w:rFonts w:cs="Arial"/>
                <w:b/>
                <w:spacing w:val="-2"/>
              </w:rPr>
              <w:t>2</w:t>
            </w:r>
            <w:r w:rsidR="000E4F59" w:rsidRPr="00C279E9">
              <w:rPr>
                <w:rFonts w:cs="Arial"/>
                <w:b/>
                <w:spacing w:val="-2"/>
              </w:rPr>
              <w:t>4</w:t>
            </w:r>
          </w:p>
        </w:tc>
        <w:tc>
          <w:tcPr>
            <w:tcW w:w="1297" w:type="dxa"/>
            <w:tcBorders>
              <w:top w:val="nil"/>
              <w:left w:val="nil"/>
              <w:bottom w:val="nil"/>
              <w:right w:val="nil"/>
            </w:tcBorders>
          </w:tcPr>
          <w:p w14:paraId="35E6528C" w14:textId="77777777" w:rsidR="00EC59DE" w:rsidRPr="00C279E9" w:rsidRDefault="003B7A8B" w:rsidP="00EC59DE">
            <w:pPr>
              <w:suppressAutoHyphens/>
              <w:ind w:right="78"/>
              <w:jc w:val="right"/>
              <w:rPr>
                <w:rFonts w:cs="Arial"/>
                <w:b/>
                <w:spacing w:val="-2"/>
              </w:rPr>
            </w:pPr>
            <w:r>
              <w:rPr>
                <w:rFonts w:cs="Arial"/>
                <w:b/>
                <w:spacing w:val="-2"/>
              </w:rPr>
              <w:t>30/12/</w:t>
            </w:r>
            <w:r w:rsidR="00EC59DE" w:rsidRPr="00C279E9">
              <w:rPr>
                <w:rFonts w:cs="Arial"/>
                <w:b/>
                <w:spacing w:val="-2"/>
              </w:rPr>
              <w:t>20</w:t>
            </w:r>
            <w:r w:rsidR="00E55E8F" w:rsidRPr="00C279E9">
              <w:rPr>
                <w:rFonts w:cs="Arial"/>
                <w:b/>
                <w:spacing w:val="-2"/>
              </w:rPr>
              <w:t>2</w:t>
            </w:r>
            <w:r w:rsidR="000E4F59" w:rsidRPr="00C279E9">
              <w:rPr>
                <w:rFonts w:cs="Arial"/>
                <w:b/>
                <w:spacing w:val="-2"/>
              </w:rPr>
              <w:t>3</w:t>
            </w:r>
          </w:p>
        </w:tc>
      </w:tr>
      <w:tr w:rsidR="00EC59DE" w:rsidRPr="00C279E9" w14:paraId="20BEE768" w14:textId="77777777" w:rsidTr="00EC59DE">
        <w:tc>
          <w:tcPr>
            <w:tcW w:w="7338" w:type="dxa"/>
            <w:tcBorders>
              <w:top w:val="nil"/>
              <w:left w:val="nil"/>
              <w:bottom w:val="nil"/>
              <w:right w:val="nil"/>
            </w:tcBorders>
          </w:tcPr>
          <w:p w14:paraId="04A93D75" w14:textId="77777777" w:rsidR="00EC59DE" w:rsidRPr="00C279E9" w:rsidRDefault="00EC59DE" w:rsidP="00EC59DE">
            <w:pPr>
              <w:suppressAutoHyphens/>
              <w:rPr>
                <w:rFonts w:cs="Arial"/>
                <w:spacing w:val="-2"/>
              </w:rPr>
            </w:pPr>
          </w:p>
        </w:tc>
        <w:tc>
          <w:tcPr>
            <w:tcW w:w="1559" w:type="dxa"/>
            <w:tcBorders>
              <w:top w:val="nil"/>
              <w:left w:val="nil"/>
              <w:bottom w:val="nil"/>
              <w:right w:val="nil"/>
            </w:tcBorders>
          </w:tcPr>
          <w:p w14:paraId="6BA75445" w14:textId="77777777" w:rsidR="00EC59DE" w:rsidRPr="00C279E9" w:rsidRDefault="00EC59DE" w:rsidP="00EC59DE">
            <w:pPr>
              <w:suppressAutoHyphens/>
              <w:ind w:right="78"/>
              <w:jc w:val="right"/>
              <w:rPr>
                <w:rFonts w:cs="Arial"/>
                <w:b/>
                <w:spacing w:val="-2"/>
              </w:rPr>
            </w:pPr>
            <w:r w:rsidRPr="00C279E9">
              <w:rPr>
                <w:rFonts w:cs="Arial"/>
                <w:b/>
                <w:spacing w:val="-2"/>
              </w:rPr>
              <w:t>£’000</w:t>
            </w:r>
          </w:p>
        </w:tc>
        <w:tc>
          <w:tcPr>
            <w:tcW w:w="1297" w:type="dxa"/>
            <w:tcBorders>
              <w:top w:val="nil"/>
              <w:left w:val="nil"/>
              <w:bottom w:val="nil"/>
              <w:right w:val="nil"/>
            </w:tcBorders>
          </w:tcPr>
          <w:p w14:paraId="0D58BFB3" w14:textId="77777777" w:rsidR="00EC59DE" w:rsidRPr="00C279E9" w:rsidRDefault="00EC59DE" w:rsidP="00EC59DE">
            <w:pPr>
              <w:suppressAutoHyphens/>
              <w:ind w:right="78"/>
              <w:jc w:val="right"/>
              <w:rPr>
                <w:rFonts w:cs="Arial"/>
                <w:b/>
                <w:spacing w:val="-2"/>
              </w:rPr>
            </w:pPr>
            <w:r w:rsidRPr="00C279E9">
              <w:rPr>
                <w:rFonts w:cs="Arial"/>
                <w:b/>
                <w:spacing w:val="-2"/>
              </w:rPr>
              <w:t>£’000</w:t>
            </w:r>
          </w:p>
        </w:tc>
      </w:tr>
      <w:tr w:rsidR="00EC59DE" w:rsidRPr="00C279E9" w14:paraId="7B2C49AE" w14:textId="77777777" w:rsidTr="00EC59DE">
        <w:tc>
          <w:tcPr>
            <w:tcW w:w="7338" w:type="dxa"/>
            <w:tcBorders>
              <w:top w:val="nil"/>
              <w:left w:val="nil"/>
              <w:bottom w:val="nil"/>
              <w:right w:val="nil"/>
            </w:tcBorders>
          </w:tcPr>
          <w:p w14:paraId="56C04F28" w14:textId="77777777" w:rsidR="00EC59DE" w:rsidRPr="00C279E9" w:rsidRDefault="00EC59DE" w:rsidP="00EC59DE">
            <w:pPr>
              <w:suppressAutoHyphens/>
              <w:rPr>
                <w:rFonts w:cs="Arial"/>
                <w:spacing w:val="-2"/>
              </w:rPr>
            </w:pPr>
          </w:p>
        </w:tc>
        <w:tc>
          <w:tcPr>
            <w:tcW w:w="1559" w:type="dxa"/>
            <w:tcBorders>
              <w:top w:val="nil"/>
              <w:left w:val="nil"/>
              <w:bottom w:val="nil"/>
              <w:right w:val="nil"/>
            </w:tcBorders>
          </w:tcPr>
          <w:p w14:paraId="2AA98B39" w14:textId="77777777" w:rsidR="00EC59DE" w:rsidRPr="00C279E9" w:rsidRDefault="00EC59DE" w:rsidP="00EC59DE">
            <w:pPr>
              <w:suppressAutoHyphens/>
              <w:ind w:right="78"/>
              <w:jc w:val="right"/>
              <w:rPr>
                <w:rFonts w:cs="Arial"/>
                <w:spacing w:val="-2"/>
              </w:rPr>
            </w:pPr>
          </w:p>
        </w:tc>
        <w:tc>
          <w:tcPr>
            <w:tcW w:w="1297" w:type="dxa"/>
            <w:tcBorders>
              <w:top w:val="nil"/>
              <w:left w:val="nil"/>
              <w:bottom w:val="nil"/>
              <w:right w:val="nil"/>
            </w:tcBorders>
          </w:tcPr>
          <w:p w14:paraId="454ECD71" w14:textId="77777777" w:rsidR="00EC59DE" w:rsidRPr="00C279E9" w:rsidRDefault="00EC59DE" w:rsidP="00EC59DE">
            <w:pPr>
              <w:suppressAutoHyphens/>
              <w:ind w:right="78"/>
              <w:jc w:val="right"/>
              <w:rPr>
                <w:rFonts w:cs="Arial"/>
                <w:spacing w:val="-2"/>
              </w:rPr>
            </w:pPr>
          </w:p>
        </w:tc>
      </w:tr>
      <w:tr w:rsidR="00C279E9" w:rsidRPr="00C328EF" w14:paraId="1A6007DE" w14:textId="77777777" w:rsidTr="00EC59DE">
        <w:tc>
          <w:tcPr>
            <w:tcW w:w="7338" w:type="dxa"/>
            <w:tcBorders>
              <w:top w:val="nil"/>
              <w:left w:val="nil"/>
              <w:bottom w:val="nil"/>
              <w:right w:val="nil"/>
            </w:tcBorders>
          </w:tcPr>
          <w:p w14:paraId="6D138C0C" w14:textId="77777777" w:rsidR="00C279E9" w:rsidRPr="00C279E9" w:rsidRDefault="00C279E9" w:rsidP="00C279E9">
            <w:pPr>
              <w:ind w:firstLine="78"/>
              <w:jc w:val="both"/>
            </w:pPr>
            <w:r w:rsidRPr="00C279E9">
              <w:t xml:space="preserve">At </w:t>
            </w:r>
            <w:r w:rsidR="00894675">
              <w:t>start of period</w:t>
            </w:r>
          </w:p>
        </w:tc>
        <w:tc>
          <w:tcPr>
            <w:tcW w:w="1559" w:type="dxa"/>
            <w:tcBorders>
              <w:top w:val="nil"/>
              <w:left w:val="nil"/>
              <w:bottom w:val="nil"/>
              <w:right w:val="nil"/>
            </w:tcBorders>
          </w:tcPr>
          <w:p w14:paraId="21F0A1AC" w14:textId="77777777" w:rsidR="00C279E9" w:rsidRPr="00C328EF" w:rsidRDefault="00C279E9" w:rsidP="00C279E9">
            <w:pPr>
              <w:suppressAutoHyphens/>
              <w:ind w:right="78"/>
              <w:jc w:val="right"/>
              <w:rPr>
                <w:rFonts w:cs="Arial"/>
                <w:spacing w:val="-2"/>
                <w:highlight w:val="yellow"/>
              </w:rPr>
            </w:pPr>
            <w:r w:rsidRPr="00C279E9">
              <w:rPr>
                <w:rFonts w:cs="Arial"/>
                <w:spacing w:val="-2"/>
              </w:rPr>
              <w:t>518,366</w:t>
            </w:r>
          </w:p>
        </w:tc>
        <w:tc>
          <w:tcPr>
            <w:tcW w:w="1297" w:type="dxa"/>
            <w:tcBorders>
              <w:top w:val="nil"/>
              <w:left w:val="nil"/>
              <w:bottom w:val="nil"/>
              <w:right w:val="nil"/>
            </w:tcBorders>
          </w:tcPr>
          <w:p w14:paraId="2776F9F6" w14:textId="77777777" w:rsidR="00C279E9" w:rsidRPr="00C279E9" w:rsidRDefault="00C279E9" w:rsidP="00C279E9">
            <w:pPr>
              <w:suppressAutoHyphens/>
              <w:ind w:right="78"/>
              <w:jc w:val="right"/>
              <w:rPr>
                <w:rFonts w:cs="Arial"/>
                <w:spacing w:val="-2"/>
              </w:rPr>
            </w:pPr>
            <w:r w:rsidRPr="00C279E9">
              <w:rPr>
                <w:rFonts w:cs="Arial"/>
                <w:spacing w:val="-2"/>
              </w:rPr>
              <w:t>524,927</w:t>
            </w:r>
          </w:p>
        </w:tc>
      </w:tr>
      <w:tr w:rsidR="004C6938" w:rsidRPr="00C328EF" w14:paraId="6509B301" w14:textId="77777777" w:rsidTr="00EC59DE">
        <w:tc>
          <w:tcPr>
            <w:tcW w:w="7338" w:type="dxa"/>
            <w:tcBorders>
              <w:top w:val="nil"/>
              <w:left w:val="nil"/>
              <w:bottom w:val="nil"/>
              <w:right w:val="nil"/>
            </w:tcBorders>
          </w:tcPr>
          <w:p w14:paraId="711A9DA5" w14:textId="77777777" w:rsidR="004C6938" w:rsidRPr="00C279E9" w:rsidRDefault="004C6938" w:rsidP="004C6938">
            <w:pPr>
              <w:ind w:firstLine="78"/>
              <w:jc w:val="both"/>
            </w:pPr>
            <w:r w:rsidRPr="00C279E9">
              <w:t>Benefits paid</w:t>
            </w:r>
          </w:p>
        </w:tc>
        <w:tc>
          <w:tcPr>
            <w:tcW w:w="1559" w:type="dxa"/>
            <w:tcBorders>
              <w:top w:val="nil"/>
              <w:left w:val="nil"/>
              <w:bottom w:val="nil"/>
              <w:right w:val="nil"/>
            </w:tcBorders>
          </w:tcPr>
          <w:p w14:paraId="251EC684" w14:textId="77777777" w:rsidR="004C6938" w:rsidRPr="00C328EF" w:rsidRDefault="004C6938" w:rsidP="004C6938">
            <w:pPr>
              <w:suppressAutoHyphens/>
              <w:ind w:right="78"/>
              <w:jc w:val="right"/>
              <w:rPr>
                <w:rFonts w:cs="Arial"/>
                <w:spacing w:val="-2"/>
                <w:highlight w:val="yellow"/>
              </w:rPr>
            </w:pPr>
            <w:r w:rsidRPr="00CE64EC">
              <w:rPr>
                <w:rFonts w:cs="Arial"/>
                <w:spacing w:val="-2"/>
              </w:rPr>
              <w:t>(15,964)</w:t>
            </w:r>
          </w:p>
        </w:tc>
        <w:tc>
          <w:tcPr>
            <w:tcW w:w="1297" w:type="dxa"/>
            <w:tcBorders>
              <w:top w:val="nil"/>
              <w:left w:val="nil"/>
              <w:bottom w:val="nil"/>
              <w:right w:val="nil"/>
            </w:tcBorders>
          </w:tcPr>
          <w:p w14:paraId="28B28E4C" w14:textId="77777777" w:rsidR="004C6938" w:rsidRPr="00C279E9" w:rsidRDefault="004C6938" w:rsidP="004C6938">
            <w:pPr>
              <w:suppressAutoHyphens/>
              <w:ind w:right="78"/>
              <w:jc w:val="right"/>
              <w:rPr>
                <w:rFonts w:cs="Arial"/>
                <w:spacing w:val="-2"/>
              </w:rPr>
            </w:pPr>
            <w:r w:rsidRPr="00C279E9">
              <w:rPr>
                <w:rFonts w:cs="Arial"/>
                <w:spacing w:val="-2"/>
              </w:rPr>
              <w:t>(16,442)</w:t>
            </w:r>
          </w:p>
        </w:tc>
      </w:tr>
      <w:tr w:rsidR="004C6938" w:rsidRPr="00C328EF" w14:paraId="4B40EDCF" w14:textId="77777777" w:rsidTr="00EC59DE">
        <w:tc>
          <w:tcPr>
            <w:tcW w:w="7338" w:type="dxa"/>
            <w:tcBorders>
              <w:top w:val="nil"/>
              <w:left w:val="nil"/>
              <w:bottom w:val="nil"/>
              <w:right w:val="nil"/>
            </w:tcBorders>
          </w:tcPr>
          <w:p w14:paraId="40250C73" w14:textId="77777777" w:rsidR="004C6938" w:rsidRPr="00C279E9" w:rsidRDefault="004C6938" w:rsidP="004C6938">
            <w:pPr>
              <w:ind w:firstLine="78"/>
              <w:jc w:val="both"/>
            </w:pPr>
            <w:r w:rsidRPr="00C279E9">
              <w:t>Interest income on plan assets</w:t>
            </w:r>
          </w:p>
        </w:tc>
        <w:tc>
          <w:tcPr>
            <w:tcW w:w="1559" w:type="dxa"/>
            <w:tcBorders>
              <w:top w:val="nil"/>
              <w:left w:val="nil"/>
              <w:bottom w:val="nil"/>
              <w:right w:val="nil"/>
            </w:tcBorders>
          </w:tcPr>
          <w:p w14:paraId="685B5E82" w14:textId="77777777" w:rsidR="004C6938" w:rsidRPr="00C328EF" w:rsidRDefault="004C6938" w:rsidP="004C6938">
            <w:pPr>
              <w:suppressAutoHyphens/>
              <w:ind w:right="78"/>
              <w:jc w:val="right"/>
              <w:rPr>
                <w:rFonts w:cs="Arial"/>
                <w:spacing w:val="-2"/>
                <w:highlight w:val="yellow"/>
              </w:rPr>
            </w:pPr>
            <w:r w:rsidRPr="00CE64EC">
              <w:rPr>
                <w:rFonts w:cs="Arial"/>
                <w:spacing w:val="-2"/>
              </w:rPr>
              <w:t>23,300</w:t>
            </w:r>
          </w:p>
        </w:tc>
        <w:tc>
          <w:tcPr>
            <w:tcW w:w="1297" w:type="dxa"/>
            <w:tcBorders>
              <w:top w:val="nil"/>
              <w:left w:val="nil"/>
              <w:bottom w:val="nil"/>
              <w:right w:val="nil"/>
            </w:tcBorders>
          </w:tcPr>
          <w:p w14:paraId="14458D0D" w14:textId="77777777" w:rsidR="004C6938" w:rsidRPr="00C279E9" w:rsidRDefault="004C6938" w:rsidP="004C6938">
            <w:pPr>
              <w:suppressAutoHyphens/>
              <w:ind w:right="78"/>
              <w:jc w:val="right"/>
              <w:rPr>
                <w:rFonts w:cs="Arial"/>
                <w:spacing w:val="-2"/>
              </w:rPr>
            </w:pPr>
            <w:r w:rsidRPr="00C279E9">
              <w:rPr>
                <w:rFonts w:cs="Arial"/>
                <w:spacing w:val="-2"/>
              </w:rPr>
              <w:t>24,612</w:t>
            </w:r>
          </w:p>
        </w:tc>
      </w:tr>
      <w:tr w:rsidR="004C6938" w:rsidRPr="00C328EF" w14:paraId="7E7C1949" w14:textId="77777777" w:rsidTr="00EC59DE">
        <w:tc>
          <w:tcPr>
            <w:tcW w:w="7338" w:type="dxa"/>
            <w:tcBorders>
              <w:top w:val="nil"/>
              <w:left w:val="nil"/>
              <w:bottom w:val="nil"/>
              <w:right w:val="nil"/>
            </w:tcBorders>
          </w:tcPr>
          <w:p w14:paraId="14EFFFFC" w14:textId="77777777" w:rsidR="004C6938" w:rsidRPr="00C279E9" w:rsidRDefault="004C6938" w:rsidP="004C6938">
            <w:pPr>
              <w:ind w:firstLine="78"/>
              <w:jc w:val="both"/>
            </w:pPr>
            <w:r w:rsidRPr="00C279E9">
              <w:t>Contributions by employer</w:t>
            </w:r>
          </w:p>
        </w:tc>
        <w:tc>
          <w:tcPr>
            <w:tcW w:w="1559" w:type="dxa"/>
            <w:tcBorders>
              <w:top w:val="nil"/>
              <w:left w:val="nil"/>
              <w:bottom w:val="nil"/>
              <w:right w:val="nil"/>
            </w:tcBorders>
          </w:tcPr>
          <w:p w14:paraId="563C1B98" w14:textId="77777777" w:rsidR="004C6938" w:rsidRPr="00C328EF" w:rsidRDefault="004C6938" w:rsidP="004C6938">
            <w:pPr>
              <w:suppressAutoHyphens/>
              <w:ind w:right="78"/>
              <w:jc w:val="right"/>
              <w:rPr>
                <w:rFonts w:cs="Arial"/>
                <w:spacing w:val="-2"/>
                <w:highlight w:val="yellow"/>
              </w:rPr>
            </w:pPr>
            <w:r w:rsidRPr="00CE64EC">
              <w:rPr>
                <w:rFonts w:cs="Arial"/>
                <w:spacing w:val="-2"/>
              </w:rPr>
              <w:t>2,010</w:t>
            </w:r>
          </w:p>
        </w:tc>
        <w:tc>
          <w:tcPr>
            <w:tcW w:w="1297" w:type="dxa"/>
            <w:tcBorders>
              <w:top w:val="nil"/>
              <w:left w:val="nil"/>
              <w:bottom w:val="nil"/>
              <w:right w:val="nil"/>
            </w:tcBorders>
          </w:tcPr>
          <w:p w14:paraId="5AFB8722" w14:textId="77777777" w:rsidR="004C6938" w:rsidRPr="00C279E9" w:rsidRDefault="004C6938" w:rsidP="004C6938">
            <w:pPr>
              <w:suppressAutoHyphens/>
              <w:ind w:right="78"/>
              <w:jc w:val="right"/>
              <w:rPr>
                <w:rFonts w:cs="Arial"/>
                <w:spacing w:val="-2"/>
              </w:rPr>
            </w:pPr>
            <w:r w:rsidRPr="00C279E9">
              <w:rPr>
                <w:rFonts w:cs="Arial"/>
                <w:spacing w:val="-2"/>
              </w:rPr>
              <w:t>2,126</w:t>
            </w:r>
          </w:p>
        </w:tc>
      </w:tr>
      <w:tr w:rsidR="004C6938" w:rsidRPr="00C328EF" w14:paraId="40F17FD6" w14:textId="77777777" w:rsidTr="00EC59DE">
        <w:tc>
          <w:tcPr>
            <w:tcW w:w="7338" w:type="dxa"/>
            <w:tcBorders>
              <w:top w:val="nil"/>
              <w:left w:val="nil"/>
              <w:bottom w:val="nil"/>
              <w:right w:val="nil"/>
            </w:tcBorders>
          </w:tcPr>
          <w:p w14:paraId="79E301F9" w14:textId="77777777" w:rsidR="004C6938" w:rsidRPr="00C279E9" w:rsidRDefault="004C6938" w:rsidP="004C6938">
            <w:pPr>
              <w:ind w:firstLine="78"/>
              <w:jc w:val="both"/>
            </w:pPr>
            <w:r w:rsidRPr="00C279E9">
              <w:t>Contributions by member</w:t>
            </w:r>
          </w:p>
        </w:tc>
        <w:tc>
          <w:tcPr>
            <w:tcW w:w="1559" w:type="dxa"/>
            <w:tcBorders>
              <w:top w:val="nil"/>
              <w:left w:val="nil"/>
              <w:bottom w:val="nil"/>
              <w:right w:val="nil"/>
            </w:tcBorders>
          </w:tcPr>
          <w:p w14:paraId="14CFA26C" w14:textId="77777777" w:rsidR="004C6938" w:rsidRPr="00C328EF" w:rsidRDefault="004C6938" w:rsidP="004C6938">
            <w:pPr>
              <w:suppressAutoHyphens/>
              <w:ind w:right="78"/>
              <w:jc w:val="right"/>
              <w:rPr>
                <w:rFonts w:cs="Arial"/>
                <w:spacing w:val="-2"/>
                <w:highlight w:val="yellow"/>
              </w:rPr>
            </w:pPr>
            <w:r w:rsidRPr="00CE64EC">
              <w:rPr>
                <w:rFonts w:cs="Arial"/>
                <w:spacing w:val="-2"/>
              </w:rPr>
              <w:t>1,269</w:t>
            </w:r>
          </w:p>
        </w:tc>
        <w:tc>
          <w:tcPr>
            <w:tcW w:w="1297" w:type="dxa"/>
            <w:tcBorders>
              <w:top w:val="nil"/>
              <w:left w:val="nil"/>
              <w:bottom w:val="nil"/>
              <w:right w:val="nil"/>
            </w:tcBorders>
          </w:tcPr>
          <w:p w14:paraId="7C96D189" w14:textId="77777777" w:rsidR="004C6938" w:rsidRPr="00C279E9" w:rsidRDefault="004C6938" w:rsidP="004C6938">
            <w:pPr>
              <w:suppressAutoHyphens/>
              <w:ind w:right="78"/>
              <w:jc w:val="right"/>
              <w:rPr>
                <w:rFonts w:cs="Arial"/>
                <w:spacing w:val="-2"/>
              </w:rPr>
            </w:pPr>
            <w:r w:rsidRPr="00C279E9">
              <w:rPr>
                <w:rFonts w:cs="Arial"/>
                <w:spacing w:val="-2"/>
              </w:rPr>
              <w:t>1,319</w:t>
            </w:r>
          </w:p>
        </w:tc>
      </w:tr>
      <w:tr w:rsidR="004C6938" w:rsidRPr="00C328EF" w14:paraId="003EF97E" w14:textId="77777777" w:rsidTr="00EC59DE">
        <w:tc>
          <w:tcPr>
            <w:tcW w:w="7338" w:type="dxa"/>
            <w:tcBorders>
              <w:top w:val="nil"/>
              <w:left w:val="nil"/>
              <w:bottom w:val="nil"/>
              <w:right w:val="nil"/>
            </w:tcBorders>
          </w:tcPr>
          <w:p w14:paraId="0BC21361" w14:textId="77777777" w:rsidR="004C6938" w:rsidRPr="00C279E9" w:rsidRDefault="004C6938" w:rsidP="004C6938">
            <w:pPr>
              <w:ind w:firstLine="78"/>
              <w:jc w:val="both"/>
            </w:pPr>
            <w:r w:rsidRPr="00C279E9">
              <w:t>Contributions in respect of unfunded benefits</w:t>
            </w:r>
          </w:p>
        </w:tc>
        <w:tc>
          <w:tcPr>
            <w:tcW w:w="1559" w:type="dxa"/>
            <w:tcBorders>
              <w:top w:val="nil"/>
              <w:left w:val="nil"/>
              <w:bottom w:val="nil"/>
              <w:right w:val="nil"/>
            </w:tcBorders>
          </w:tcPr>
          <w:p w14:paraId="2F6E3386" w14:textId="77777777" w:rsidR="004C6938" w:rsidRPr="00C328EF" w:rsidRDefault="004C6938" w:rsidP="004C6938">
            <w:pPr>
              <w:suppressAutoHyphens/>
              <w:ind w:right="78"/>
              <w:jc w:val="right"/>
              <w:rPr>
                <w:rFonts w:cs="Arial"/>
                <w:spacing w:val="-2"/>
                <w:highlight w:val="yellow"/>
              </w:rPr>
            </w:pPr>
            <w:r w:rsidRPr="00CE64EC">
              <w:rPr>
                <w:rFonts w:cs="Arial"/>
                <w:spacing w:val="-2"/>
              </w:rPr>
              <w:t>257</w:t>
            </w:r>
          </w:p>
        </w:tc>
        <w:tc>
          <w:tcPr>
            <w:tcW w:w="1297" w:type="dxa"/>
            <w:tcBorders>
              <w:top w:val="nil"/>
              <w:left w:val="nil"/>
              <w:bottom w:val="nil"/>
              <w:right w:val="nil"/>
            </w:tcBorders>
          </w:tcPr>
          <w:p w14:paraId="31BB79DE" w14:textId="77777777" w:rsidR="004C6938" w:rsidRPr="00C279E9" w:rsidRDefault="004C6938" w:rsidP="004C6938">
            <w:pPr>
              <w:suppressAutoHyphens/>
              <w:ind w:right="78"/>
              <w:jc w:val="right"/>
              <w:rPr>
                <w:rFonts w:cs="Arial"/>
                <w:spacing w:val="-2"/>
              </w:rPr>
            </w:pPr>
            <w:r w:rsidRPr="00C279E9">
              <w:rPr>
                <w:rFonts w:cs="Arial"/>
                <w:spacing w:val="-2"/>
              </w:rPr>
              <w:t>274</w:t>
            </w:r>
          </w:p>
        </w:tc>
      </w:tr>
      <w:tr w:rsidR="004C6938" w:rsidRPr="00C328EF" w14:paraId="20EE20E7" w14:textId="77777777" w:rsidTr="00EC59DE">
        <w:tc>
          <w:tcPr>
            <w:tcW w:w="7338" w:type="dxa"/>
            <w:tcBorders>
              <w:top w:val="nil"/>
              <w:left w:val="nil"/>
              <w:bottom w:val="nil"/>
              <w:right w:val="nil"/>
            </w:tcBorders>
          </w:tcPr>
          <w:p w14:paraId="0AF600F6" w14:textId="77777777" w:rsidR="004C6938" w:rsidRPr="00C279E9" w:rsidRDefault="004C6938" w:rsidP="004C6938">
            <w:pPr>
              <w:ind w:firstLine="78"/>
              <w:jc w:val="both"/>
            </w:pPr>
            <w:r w:rsidRPr="00C279E9">
              <w:t>Unfunded benefits paid</w:t>
            </w:r>
          </w:p>
        </w:tc>
        <w:tc>
          <w:tcPr>
            <w:tcW w:w="1559" w:type="dxa"/>
            <w:tcBorders>
              <w:top w:val="nil"/>
              <w:left w:val="nil"/>
              <w:bottom w:val="nil"/>
              <w:right w:val="nil"/>
            </w:tcBorders>
          </w:tcPr>
          <w:p w14:paraId="1A8F9AF6" w14:textId="77777777" w:rsidR="004C6938" w:rsidRPr="00C328EF" w:rsidRDefault="004C6938" w:rsidP="004C6938">
            <w:pPr>
              <w:suppressAutoHyphens/>
              <w:ind w:right="78"/>
              <w:jc w:val="right"/>
              <w:rPr>
                <w:rFonts w:cs="Arial"/>
                <w:spacing w:val="-2"/>
                <w:highlight w:val="yellow"/>
              </w:rPr>
            </w:pPr>
            <w:r w:rsidRPr="00CE64EC">
              <w:rPr>
                <w:rFonts w:cs="Arial"/>
                <w:spacing w:val="-2"/>
              </w:rPr>
              <w:t>(257)</w:t>
            </w:r>
          </w:p>
        </w:tc>
        <w:tc>
          <w:tcPr>
            <w:tcW w:w="1297" w:type="dxa"/>
            <w:tcBorders>
              <w:top w:val="nil"/>
              <w:left w:val="nil"/>
              <w:bottom w:val="nil"/>
              <w:right w:val="nil"/>
            </w:tcBorders>
          </w:tcPr>
          <w:p w14:paraId="12389D10" w14:textId="77777777" w:rsidR="004C6938" w:rsidRPr="00C279E9" w:rsidRDefault="004C6938" w:rsidP="004C6938">
            <w:pPr>
              <w:suppressAutoHyphens/>
              <w:ind w:right="78"/>
              <w:jc w:val="right"/>
              <w:rPr>
                <w:rFonts w:cs="Arial"/>
                <w:spacing w:val="-2"/>
              </w:rPr>
            </w:pPr>
            <w:r w:rsidRPr="00C279E9">
              <w:rPr>
                <w:rFonts w:cs="Arial"/>
                <w:spacing w:val="-2"/>
              </w:rPr>
              <w:t>(274)</w:t>
            </w:r>
          </w:p>
        </w:tc>
      </w:tr>
      <w:tr w:rsidR="004C6938" w:rsidRPr="00C328EF" w14:paraId="362BF2B9" w14:textId="77777777" w:rsidTr="00EC59DE">
        <w:tc>
          <w:tcPr>
            <w:tcW w:w="7338" w:type="dxa"/>
            <w:tcBorders>
              <w:top w:val="nil"/>
              <w:left w:val="nil"/>
              <w:bottom w:val="nil"/>
              <w:right w:val="nil"/>
            </w:tcBorders>
          </w:tcPr>
          <w:p w14:paraId="6A7114F2" w14:textId="77777777" w:rsidR="004C6938" w:rsidRPr="00C279E9" w:rsidRDefault="004C6938" w:rsidP="004C6938">
            <w:pPr>
              <w:ind w:firstLine="78"/>
              <w:jc w:val="both"/>
            </w:pPr>
            <w:r w:rsidRPr="00C279E9">
              <w:t>Unfunded benefits paid</w:t>
            </w:r>
          </w:p>
        </w:tc>
        <w:tc>
          <w:tcPr>
            <w:tcW w:w="1559" w:type="dxa"/>
            <w:tcBorders>
              <w:top w:val="nil"/>
              <w:left w:val="nil"/>
              <w:bottom w:val="nil"/>
              <w:right w:val="nil"/>
            </w:tcBorders>
          </w:tcPr>
          <w:p w14:paraId="0F3D7400" w14:textId="77777777" w:rsidR="004C6938" w:rsidRPr="00C328EF" w:rsidRDefault="004C6938" w:rsidP="004C6938">
            <w:pPr>
              <w:suppressAutoHyphens/>
              <w:ind w:right="78"/>
              <w:jc w:val="right"/>
              <w:rPr>
                <w:rFonts w:cs="Arial"/>
                <w:spacing w:val="-2"/>
                <w:highlight w:val="yellow"/>
              </w:rPr>
            </w:pPr>
            <w:r w:rsidRPr="00CE64EC">
              <w:rPr>
                <w:rFonts w:cs="Arial"/>
                <w:spacing w:val="-2"/>
              </w:rPr>
              <w:t>-</w:t>
            </w:r>
          </w:p>
        </w:tc>
        <w:tc>
          <w:tcPr>
            <w:tcW w:w="1297" w:type="dxa"/>
            <w:tcBorders>
              <w:top w:val="nil"/>
              <w:left w:val="nil"/>
              <w:bottom w:val="nil"/>
              <w:right w:val="nil"/>
            </w:tcBorders>
          </w:tcPr>
          <w:p w14:paraId="4397EB55" w14:textId="77777777" w:rsidR="004C6938" w:rsidRPr="00C279E9" w:rsidRDefault="004C6938" w:rsidP="004C6938">
            <w:pPr>
              <w:suppressAutoHyphens/>
              <w:ind w:right="78"/>
              <w:jc w:val="right"/>
              <w:rPr>
                <w:rFonts w:cs="Arial"/>
                <w:spacing w:val="-2"/>
              </w:rPr>
            </w:pPr>
            <w:r w:rsidRPr="00C279E9">
              <w:rPr>
                <w:rFonts w:cs="Arial"/>
                <w:spacing w:val="-2"/>
              </w:rPr>
              <w:t>(11,992)</w:t>
            </w:r>
          </w:p>
        </w:tc>
      </w:tr>
      <w:tr w:rsidR="004C6938" w:rsidRPr="00C328EF" w14:paraId="53F34B28" w14:textId="77777777" w:rsidTr="00EC59DE">
        <w:tc>
          <w:tcPr>
            <w:tcW w:w="7338" w:type="dxa"/>
            <w:tcBorders>
              <w:top w:val="nil"/>
              <w:left w:val="nil"/>
              <w:bottom w:val="nil"/>
              <w:right w:val="nil"/>
            </w:tcBorders>
          </w:tcPr>
          <w:p w14:paraId="4F0B6AB0" w14:textId="77777777" w:rsidR="004C6938" w:rsidRPr="00C279E9" w:rsidRDefault="004C6938" w:rsidP="004C6938">
            <w:pPr>
              <w:ind w:firstLine="78"/>
              <w:jc w:val="both"/>
            </w:pPr>
            <w:r w:rsidRPr="00C279E9">
              <w:t xml:space="preserve">Return on assets excluding amounts included in net interest </w:t>
            </w:r>
          </w:p>
        </w:tc>
        <w:tc>
          <w:tcPr>
            <w:tcW w:w="1559" w:type="dxa"/>
            <w:tcBorders>
              <w:top w:val="nil"/>
              <w:left w:val="nil"/>
              <w:bottom w:val="nil"/>
              <w:right w:val="nil"/>
            </w:tcBorders>
          </w:tcPr>
          <w:p w14:paraId="0408C6B8" w14:textId="77777777" w:rsidR="004C6938" w:rsidRPr="00C328EF" w:rsidRDefault="004C6938" w:rsidP="004C6938">
            <w:pPr>
              <w:suppressAutoHyphens/>
              <w:ind w:right="78"/>
              <w:jc w:val="right"/>
              <w:rPr>
                <w:rFonts w:cs="Arial"/>
                <w:spacing w:val="-2"/>
                <w:highlight w:val="yellow"/>
              </w:rPr>
            </w:pPr>
            <w:r w:rsidRPr="00CE64EC">
              <w:rPr>
                <w:rFonts w:cs="Arial"/>
                <w:spacing w:val="-2"/>
              </w:rPr>
              <w:t>(3</w:t>
            </w:r>
            <w:r>
              <w:rPr>
                <w:rFonts w:cs="Arial"/>
                <w:spacing w:val="-2"/>
              </w:rPr>
              <w:t>1,474</w:t>
            </w:r>
            <w:r w:rsidRPr="00CE64EC">
              <w:rPr>
                <w:rFonts w:cs="Arial"/>
                <w:spacing w:val="-2"/>
              </w:rPr>
              <w:t>)</w:t>
            </w:r>
          </w:p>
        </w:tc>
        <w:tc>
          <w:tcPr>
            <w:tcW w:w="1297" w:type="dxa"/>
            <w:tcBorders>
              <w:top w:val="nil"/>
              <w:left w:val="nil"/>
              <w:bottom w:val="nil"/>
              <w:right w:val="nil"/>
            </w:tcBorders>
          </w:tcPr>
          <w:p w14:paraId="5FBC4015" w14:textId="77777777" w:rsidR="004C6938" w:rsidRPr="00C279E9" w:rsidRDefault="004C6938" w:rsidP="004C6938">
            <w:pPr>
              <w:suppressAutoHyphens/>
              <w:ind w:right="78"/>
              <w:jc w:val="right"/>
              <w:rPr>
                <w:rFonts w:cs="Arial"/>
                <w:spacing w:val="-2"/>
              </w:rPr>
            </w:pPr>
            <w:r w:rsidRPr="00C279E9">
              <w:rPr>
                <w:rFonts w:cs="Arial"/>
                <w:spacing w:val="-2"/>
              </w:rPr>
              <w:t>(6,184)</w:t>
            </w:r>
          </w:p>
        </w:tc>
      </w:tr>
      <w:tr w:rsidR="004C6938" w:rsidRPr="00C328EF" w14:paraId="7D77A53A" w14:textId="77777777" w:rsidTr="00EC59DE">
        <w:tc>
          <w:tcPr>
            <w:tcW w:w="7338" w:type="dxa"/>
            <w:tcBorders>
              <w:top w:val="nil"/>
              <w:left w:val="nil"/>
              <w:bottom w:val="nil"/>
              <w:right w:val="nil"/>
            </w:tcBorders>
          </w:tcPr>
          <w:p w14:paraId="37971C17" w14:textId="77777777" w:rsidR="004C6938" w:rsidRPr="00C279E9" w:rsidRDefault="004C6938" w:rsidP="004C6938">
            <w:pPr>
              <w:suppressAutoHyphens/>
              <w:ind w:firstLine="78"/>
              <w:rPr>
                <w:rFonts w:cs="Arial"/>
                <w:spacing w:val="-2"/>
              </w:rPr>
            </w:pPr>
          </w:p>
        </w:tc>
        <w:tc>
          <w:tcPr>
            <w:tcW w:w="1559" w:type="dxa"/>
            <w:tcBorders>
              <w:top w:val="nil"/>
              <w:left w:val="nil"/>
              <w:bottom w:val="nil"/>
              <w:right w:val="nil"/>
            </w:tcBorders>
          </w:tcPr>
          <w:p w14:paraId="3B1D8109" w14:textId="77777777" w:rsidR="004C6938" w:rsidRPr="00C328EF" w:rsidRDefault="004C6938" w:rsidP="004C6938">
            <w:pPr>
              <w:suppressAutoHyphens/>
              <w:ind w:right="78"/>
              <w:jc w:val="right"/>
              <w:rPr>
                <w:rFonts w:cs="Arial"/>
                <w:spacing w:val="-2"/>
                <w:highlight w:val="yellow"/>
              </w:rPr>
            </w:pPr>
            <w:r w:rsidRPr="00CE64EC">
              <w:rPr>
                <w:rFonts w:cs="Arial"/>
                <w:spacing w:val="-2"/>
              </w:rPr>
              <w:t>───────</w:t>
            </w:r>
          </w:p>
        </w:tc>
        <w:tc>
          <w:tcPr>
            <w:tcW w:w="1297" w:type="dxa"/>
            <w:tcBorders>
              <w:top w:val="nil"/>
              <w:left w:val="nil"/>
              <w:bottom w:val="nil"/>
              <w:right w:val="nil"/>
            </w:tcBorders>
          </w:tcPr>
          <w:p w14:paraId="75EC1893" w14:textId="77777777" w:rsidR="004C6938" w:rsidRPr="00C279E9" w:rsidRDefault="004C6938" w:rsidP="004C6938">
            <w:pPr>
              <w:suppressAutoHyphens/>
              <w:ind w:right="78"/>
              <w:jc w:val="right"/>
              <w:rPr>
                <w:rFonts w:cs="Arial"/>
                <w:spacing w:val="-2"/>
              </w:rPr>
            </w:pPr>
            <w:r w:rsidRPr="00C279E9">
              <w:rPr>
                <w:rFonts w:cs="Arial"/>
                <w:spacing w:val="-2"/>
              </w:rPr>
              <w:t>───────</w:t>
            </w:r>
          </w:p>
        </w:tc>
      </w:tr>
      <w:tr w:rsidR="004C6938" w:rsidRPr="00C328EF" w14:paraId="5A7C9151" w14:textId="77777777" w:rsidTr="00EC59DE">
        <w:tc>
          <w:tcPr>
            <w:tcW w:w="7338" w:type="dxa"/>
            <w:tcBorders>
              <w:top w:val="nil"/>
              <w:left w:val="nil"/>
              <w:bottom w:val="nil"/>
              <w:right w:val="nil"/>
            </w:tcBorders>
          </w:tcPr>
          <w:p w14:paraId="720A9C93" w14:textId="77777777" w:rsidR="004C6938" w:rsidRPr="00C279E9" w:rsidRDefault="004C6938" w:rsidP="004C6938">
            <w:pPr>
              <w:suppressAutoHyphens/>
              <w:ind w:firstLine="78"/>
              <w:rPr>
                <w:rFonts w:cs="Arial"/>
                <w:spacing w:val="-2"/>
              </w:rPr>
            </w:pPr>
            <w:r w:rsidRPr="00C279E9">
              <w:rPr>
                <w:rFonts w:cs="Arial"/>
                <w:spacing w:val="-2"/>
              </w:rPr>
              <w:t xml:space="preserve">At </w:t>
            </w:r>
            <w:r w:rsidR="00894675">
              <w:rPr>
                <w:rFonts w:cs="Arial"/>
                <w:spacing w:val="-2"/>
              </w:rPr>
              <w:t>end of period</w:t>
            </w:r>
            <w:r w:rsidRPr="00C279E9">
              <w:rPr>
                <w:rFonts w:cs="Arial"/>
                <w:spacing w:val="-2"/>
              </w:rPr>
              <w:t xml:space="preserve"> </w:t>
            </w:r>
          </w:p>
        </w:tc>
        <w:tc>
          <w:tcPr>
            <w:tcW w:w="1559" w:type="dxa"/>
            <w:tcBorders>
              <w:top w:val="nil"/>
              <w:left w:val="nil"/>
              <w:bottom w:val="nil"/>
              <w:right w:val="nil"/>
            </w:tcBorders>
          </w:tcPr>
          <w:p w14:paraId="1C25B302" w14:textId="77777777" w:rsidR="004C6938" w:rsidRPr="00C328EF" w:rsidRDefault="004C6938" w:rsidP="004C6938">
            <w:pPr>
              <w:suppressAutoHyphens/>
              <w:ind w:right="78"/>
              <w:jc w:val="right"/>
              <w:rPr>
                <w:rFonts w:cs="Arial"/>
                <w:spacing w:val="-2"/>
                <w:highlight w:val="yellow"/>
              </w:rPr>
            </w:pPr>
            <w:r w:rsidRPr="00CE64EC">
              <w:rPr>
                <w:rFonts w:cs="Arial"/>
                <w:spacing w:val="-2"/>
              </w:rPr>
              <w:t>49</w:t>
            </w:r>
            <w:r>
              <w:rPr>
                <w:rFonts w:cs="Arial"/>
                <w:spacing w:val="-2"/>
              </w:rPr>
              <w:t>7</w:t>
            </w:r>
            <w:r w:rsidRPr="00CE64EC">
              <w:rPr>
                <w:rFonts w:cs="Arial"/>
                <w:spacing w:val="-2"/>
              </w:rPr>
              <w:t>,</w:t>
            </w:r>
            <w:r>
              <w:rPr>
                <w:rFonts w:cs="Arial"/>
                <w:spacing w:val="-2"/>
              </w:rPr>
              <w:t>507</w:t>
            </w:r>
          </w:p>
        </w:tc>
        <w:tc>
          <w:tcPr>
            <w:tcW w:w="1297" w:type="dxa"/>
            <w:tcBorders>
              <w:top w:val="nil"/>
              <w:left w:val="nil"/>
              <w:bottom w:val="nil"/>
              <w:right w:val="nil"/>
            </w:tcBorders>
          </w:tcPr>
          <w:p w14:paraId="6D511416" w14:textId="77777777" w:rsidR="004C6938" w:rsidRPr="00C279E9" w:rsidRDefault="004C6938" w:rsidP="004C6938">
            <w:pPr>
              <w:suppressAutoHyphens/>
              <w:ind w:right="78"/>
              <w:jc w:val="right"/>
              <w:rPr>
                <w:rFonts w:cs="Arial"/>
                <w:spacing w:val="-2"/>
              </w:rPr>
            </w:pPr>
            <w:r w:rsidRPr="00C279E9">
              <w:rPr>
                <w:rFonts w:cs="Arial"/>
                <w:spacing w:val="-2"/>
              </w:rPr>
              <w:t>518,366</w:t>
            </w:r>
          </w:p>
        </w:tc>
      </w:tr>
      <w:tr w:rsidR="004C6938" w:rsidRPr="00C328EF" w14:paraId="57552433" w14:textId="77777777" w:rsidTr="00EC59DE">
        <w:tc>
          <w:tcPr>
            <w:tcW w:w="7338" w:type="dxa"/>
            <w:tcBorders>
              <w:top w:val="nil"/>
              <w:left w:val="nil"/>
              <w:bottom w:val="nil"/>
              <w:right w:val="nil"/>
            </w:tcBorders>
          </w:tcPr>
          <w:p w14:paraId="77DFBE0B" w14:textId="77777777" w:rsidR="004C6938" w:rsidRPr="00C328EF" w:rsidRDefault="004C6938" w:rsidP="004C6938">
            <w:pPr>
              <w:suppressAutoHyphens/>
              <w:ind w:firstLine="78"/>
              <w:rPr>
                <w:rFonts w:cs="Arial"/>
                <w:spacing w:val="-2"/>
                <w:highlight w:val="yellow"/>
              </w:rPr>
            </w:pPr>
          </w:p>
        </w:tc>
        <w:tc>
          <w:tcPr>
            <w:tcW w:w="1559" w:type="dxa"/>
            <w:tcBorders>
              <w:top w:val="nil"/>
              <w:left w:val="nil"/>
              <w:bottom w:val="nil"/>
              <w:right w:val="nil"/>
            </w:tcBorders>
          </w:tcPr>
          <w:p w14:paraId="5D8AA23B" w14:textId="77777777" w:rsidR="004C6938" w:rsidRPr="00C328EF" w:rsidRDefault="004C6938" w:rsidP="004C6938">
            <w:pPr>
              <w:suppressAutoHyphens/>
              <w:ind w:right="78"/>
              <w:jc w:val="right"/>
              <w:rPr>
                <w:rFonts w:cs="Arial"/>
                <w:spacing w:val="-2"/>
                <w:highlight w:val="yellow"/>
              </w:rPr>
            </w:pPr>
            <w:r w:rsidRPr="00CE64EC">
              <w:rPr>
                <w:rFonts w:cs="Arial"/>
                <w:spacing w:val="-2"/>
              </w:rPr>
              <w:t>═══════</w:t>
            </w:r>
          </w:p>
        </w:tc>
        <w:tc>
          <w:tcPr>
            <w:tcW w:w="1297" w:type="dxa"/>
            <w:tcBorders>
              <w:top w:val="nil"/>
              <w:left w:val="nil"/>
              <w:bottom w:val="nil"/>
              <w:right w:val="nil"/>
            </w:tcBorders>
          </w:tcPr>
          <w:p w14:paraId="2A7EA38D" w14:textId="77777777" w:rsidR="004C6938" w:rsidRPr="00C279E9" w:rsidRDefault="004C6938" w:rsidP="004C6938">
            <w:pPr>
              <w:suppressAutoHyphens/>
              <w:ind w:right="78"/>
              <w:jc w:val="right"/>
              <w:rPr>
                <w:rFonts w:cs="Arial"/>
                <w:spacing w:val="-2"/>
              </w:rPr>
            </w:pPr>
            <w:r w:rsidRPr="00C279E9">
              <w:rPr>
                <w:rFonts w:cs="Arial"/>
                <w:spacing w:val="-2"/>
              </w:rPr>
              <w:t>═══════</w:t>
            </w:r>
          </w:p>
        </w:tc>
      </w:tr>
    </w:tbl>
    <w:p w14:paraId="785A9968" w14:textId="77777777" w:rsidR="00CE480E" w:rsidRPr="00C279E9" w:rsidRDefault="00CE480E" w:rsidP="00CE480E">
      <w:pPr>
        <w:ind w:left="78"/>
        <w:jc w:val="both"/>
        <w:rPr>
          <w:b/>
        </w:rPr>
      </w:pPr>
    </w:p>
    <w:p w14:paraId="46BC25AA" w14:textId="77777777" w:rsidR="00CE480E" w:rsidRPr="00C279E9" w:rsidRDefault="00CE480E" w:rsidP="00CE480E">
      <w:pPr>
        <w:jc w:val="both"/>
      </w:pPr>
      <w:r w:rsidRPr="00C279E9">
        <w:t xml:space="preserve">The amounts recognised in the Statement of </w:t>
      </w:r>
      <w:r w:rsidR="00564223" w:rsidRPr="00C279E9">
        <w:t xml:space="preserve">Profit or Loss and Other </w:t>
      </w:r>
      <w:r w:rsidR="00F02ADD" w:rsidRPr="00C279E9">
        <w:t xml:space="preserve">Comprehensive Income are as </w:t>
      </w:r>
      <w:r w:rsidRPr="00C279E9">
        <w:t>follows:</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418"/>
        <w:gridCol w:w="1297"/>
      </w:tblGrid>
      <w:tr w:rsidR="00EC59DE" w:rsidRPr="00C279E9" w14:paraId="3C230F3C" w14:textId="77777777" w:rsidTr="00EC59DE">
        <w:tc>
          <w:tcPr>
            <w:tcW w:w="7479" w:type="dxa"/>
            <w:tcBorders>
              <w:top w:val="nil"/>
              <w:left w:val="nil"/>
              <w:bottom w:val="nil"/>
              <w:right w:val="nil"/>
            </w:tcBorders>
          </w:tcPr>
          <w:p w14:paraId="3AFDC067" w14:textId="77777777" w:rsidR="00EC59DE" w:rsidRPr="00C279E9" w:rsidRDefault="00EC59DE" w:rsidP="00EC59DE">
            <w:pPr>
              <w:jc w:val="both"/>
            </w:pPr>
          </w:p>
        </w:tc>
        <w:tc>
          <w:tcPr>
            <w:tcW w:w="1418" w:type="dxa"/>
            <w:tcBorders>
              <w:top w:val="nil"/>
              <w:left w:val="nil"/>
              <w:bottom w:val="nil"/>
              <w:right w:val="nil"/>
            </w:tcBorders>
          </w:tcPr>
          <w:p w14:paraId="33CAFA7F" w14:textId="77777777" w:rsidR="00EC59DE" w:rsidRPr="00C279E9" w:rsidRDefault="00EC59DE" w:rsidP="00EC59DE">
            <w:pPr>
              <w:suppressAutoHyphens/>
              <w:ind w:right="78"/>
              <w:jc w:val="right"/>
              <w:rPr>
                <w:rFonts w:cs="Arial"/>
                <w:b/>
                <w:spacing w:val="-2"/>
              </w:rPr>
            </w:pPr>
          </w:p>
        </w:tc>
        <w:tc>
          <w:tcPr>
            <w:tcW w:w="1297" w:type="dxa"/>
            <w:tcBorders>
              <w:top w:val="nil"/>
              <w:left w:val="nil"/>
              <w:bottom w:val="nil"/>
              <w:right w:val="nil"/>
            </w:tcBorders>
          </w:tcPr>
          <w:p w14:paraId="0CF8B421" w14:textId="77777777" w:rsidR="00EC59DE" w:rsidRPr="00C279E9" w:rsidRDefault="00EC59DE" w:rsidP="00EC59DE">
            <w:pPr>
              <w:suppressAutoHyphens/>
              <w:ind w:right="78"/>
              <w:jc w:val="right"/>
              <w:rPr>
                <w:rFonts w:cs="Arial"/>
                <w:b/>
                <w:spacing w:val="-2"/>
              </w:rPr>
            </w:pPr>
          </w:p>
        </w:tc>
      </w:tr>
      <w:tr w:rsidR="00EC59DE" w:rsidRPr="00C279E9" w14:paraId="627EB156" w14:textId="77777777" w:rsidTr="00EC59DE">
        <w:tc>
          <w:tcPr>
            <w:tcW w:w="7479" w:type="dxa"/>
            <w:tcBorders>
              <w:top w:val="nil"/>
              <w:left w:val="nil"/>
              <w:bottom w:val="nil"/>
              <w:right w:val="nil"/>
            </w:tcBorders>
          </w:tcPr>
          <w:p w14:paraId="280C41F2" w14:textId="77777777" w:rsidR="00EC59DE" w:rsidRPr="00C279E9" w:rsidRDefault="00EC59DE" w:rsidP="00EC59DE">
            <w:pPr>
              <w:jc w:val="both"/>
            </w:pPr>
          </w:p>
        </w:tc>
        <w:tc>
          <w:tcPr>
            <w:tcW w:w="1418" w:type="dxa"/>
            <w:tcBorders>
              <w:top w:val="nil"/>
              <w:left w:val="nil"/>
              <w:bottom w:val="nil"/>
              <w:right w:val="nil"/>
            </w:tcBorders>
          </w:tcPr>
          <w:p w14:paraId="794AAFE3" w14:textId="77777777" w:rsidR="00EC59DE" w:rsidRPr="00C279E9" w:rsidRDefault="003B7A8B" w:rsidP="00EC59DE">
            <w:pPr>
              <w:suppressAutoHyphens/>
              <w:ind w:right="78"/>
              <w:jc w:val="right"/>
              <w:rPr>
                <w:rFonts w:cs="Arial"/>
                <w:b/>
                <w:spacing w:val="-2"/>
              </w:rPr>
            </w:pPr>
            <w:r>
              <w:rPr>
                <w:rFonts w:cs="Arial"/>
                <w:b/>
                <w:spacing w:val="-2"/>
              </w:rPr>
              <w:t>28/12/</w:t>
            </w:r>
            <w:r w:rsidR="00EC59DE" w:rsidRPr="00C279E9">
              <w:rPr>
                <w:rFonts w:cs="Arial"/>
                <w:b/>
                <w:spacing w:val="-2"/>
              </w:rPr>
              <w:t>20</w:t>
            </w:r>
            <w:r w:rsidR="003068AC" w:rsidRPr="00C279E9">
              <w:rPr>
                <w:rFonts w:cs="Arial"/>
                <w:b/>
                <w:spacing w:val="-2"/>
              </w:rPr>
              <w:t>2</w:t>
            </w:r>
            <w:r w:rsidR="000E4F59" w:rsidRPr="00C279E9">
              <w:rPr>
                <w:rFonts w:cs="Arial"/>
                <w:b/>
                <w:spacing w:val="-2"/>
              </w:rPr>
              <w:t>4</w:t>
            </w:r>
          </w:p>
        </w:tc>
        <w:tc>
          <w:tcPr>
            <w:tcW w:w="1297" w:type="dxa"/>
            <w:tcBorders>
              <w:top w:val="nil"/>
              <w:left w:val="nil"/>
              <w:bottom w:val="nil"/>
              <w:right w:val="nil"/>
            </w:tcBorders>
          </w:tcPr>
          <w:p w14:paraId="414A828A" w14:textId="77777777" w:rsidR="00EC59DE" w:rsidRPr="00C279E9" w:rsidRDefault="003B7A8B" w:rsidP="00EC59DE">
            <w:pPr>
              <w:suppressAutoHyphens/>
              <w:ind w:right="78"/>
              <w:jc w:val="right"/>
              <w:rPr>
                <w:rFonts w:cs="Arial"/>
                <w:b/>
                <w:spacing w:val="-2"/>
              </w:rPr>
            </w:pPr>
            <w:r>
              <w:rPr>
                <w:rFonts w:cs="Arial"/>
                <w:b/>
                <w:spacing w:val="-2"/>
              </w:rPr>
              <w:t>30/12/</w:t>
            </w:r>
            <w:r w:rsidR="00EC59DE" w:rsidRPr="00C279E9">
              <w:rPr>
                <w:rFonts w:cs="Arial"/>
                <w:b/>
                <w:spacing w:val="-2"/>
              </w:rPr>
              <w:t>20</w:t>
            </w:r>
            <w:r w:rsidR="00E55E8F" w:rsidRPr="00C279E9">
              <w:rPr>
                <w:rFonts w:cs="Arial"/>
                <w:b/>
                <w:spacing w:val="-2"/>
              </w:rPr>
              <w:t>2</w:t>
            </w:r>
            <w:r w:rsidR="000E4F59" w:rsidRPr="00C279E9">
              <w:rPr>
                <w:rFonts w:cs="Arial"/>
                <w:b/>
                <w:spacing w:val="-2"/>
              </w:rPr>
              <w:t>3</w:t>
            </w:r>
          </w:p>
        </w:tc>
      </w:tr>
      <w:tr w:rsidR="00EC59DE" w:rsidRPr="00C279E9" w14:paraId="5E011610" w14:textId="77777777" w:rsidTr="00EC59DE">
        <w:tc>
          <w:tcPr>
            <w:tcW w:w="7479" w:type="dxa"/>
            <w:tcBorders>
              <w:top w:val="nil"/>
              <w:left w:val="nil"/>
              <w:bottom w:val="nil"/>
              <w:right w:val="nil"/>
            </w:tcBorders>
          </w:tcPr>
          <w:p w14:paraId="31661BD7" w14:textId="77777777" w:rsidR="00EC59DE" w:rsidRPr="00C279E9" w:rsidRDefault="00EC59DE" w:rsidP="00EC59DE">
            <w:pPr>
              <w:suppressAutoHyphens/>
              <w:rPr>
                <w:rFonts w:cs="Arial"/>
                <w:spacing w:val="-2"/>
              </w:rPr>
            </w:pPr>
          </w:p>
        </w:tc>
        <w:tc>
          <w:tcPr>
            <w:tcW w:w="1418" w:type="dxa"/>
            <w:tcBorders>
              <w:top w:val="nil"/>
              <w:left w:val="nil"/>
              <w:bottom w:val="nil"/>
              <w:right w:val="nil"/>
            </w:tcBorders>
          </w:tcPr>
          <w:p w14:paraId="3546DAA7" w14:textId="77777777" w:rsidR="00EC59DE" w:rsidRPr="00C279E9" w:rsidRDefault="00EC59DE" w:rsidP="00EC59DE">
            <w:pPr>
              <w:suppressAutoHyphens/>
              <w:ind w:right="78"/>
              <w:jc w:val="right"/>
              <w:rPr>
                <w:rFonts w:cs="Arial"/>
                <w:b/>
                <w:spacing w:val="-2"/>
              </w:rPr>
            </w:pPr>
            <w:r w:rsidRPr="00C279E9">
              <w:rPr>
                <w:rFonts w:cs="Arial"/>
                <w:b/>
                <w:spacing w:val="-2"/>
              </w:rPr>
              <w:t>£’000</w:t>
            </w:r>
          </w:p>
        </w:tc>
        <w:tc>
          <w:tcPr>
            <w:tcW w:w="1297" w:type="dxa"/>
            <w:tcBorders>
              <w:top w:val="nil"/>
              <w:left w:val="nil"/>
              <w:bottom w:val="nil"/>
              <w:right w:val="nil"/>
            </w:tcBorders>
          </w:tcPr>
          <w:p w14:paraId="7A3F0072" w14:textId="77777777" w:rsidR="00EC59DE" w:rsidRPr="00C279E9" w:rsidRDefault="00EC59DE" w:rsidP="00EC59DE">
            <w:pPr>
              <w:suppressAutoHyphens/>
              <w:ind w:right="78"/>
              <w:jc w:val="right"/>
              <w:rPr>
                <w:rFonts w:cs="Arial"/>
                <w:b/>
                <w:spacing w:val="-2"/>
              </w:rPr>
            </w:pPr>
            <w:r w:rsidRPr="00C279E9">
              <w:rPr>
                <w:rFonts w:cs="Arial"/>
                <w:b/>
                <w:spacing w:val="-2"/>
              </w:rPr>
              <w:t>£’000</w:t>
            </w:r>
          </w:p>
        </w:tc>
      </w:tr>
      <w:tr w:rsidR="00EC59DE" w:rsidRPr="00C328EF" w14:paraId="4CBAE31B" w14:textId="77777777" w:rsidTr="00EC59DE">
        <w:tc>
          <w:tcPr>
            <w:tcW w:w="7479" w:type="dxa"/>
            <w:tcBorders>
              <w:top w:val="nil"/>
              <w:left w:val="nil"/>
              <w:bottom w:val="nil"/>
              <w:right w:val="nil"/>
            </w:tcBorders>
          </w:tcPr>
          <w:p w14:paraId="6AB85F5E" w14:textId="77777777" w:rsidR="00EC59DE" w:rsidRPr="00C279E9" w:rsidRDefault="00EC59DE" w:rsidP="00EC59DE">
            <w:pPr>
              <w:suppressAutoHyphens/>
              <w:rPr>
                <w:rFonts w:cs="Arial"/>
                <w:spacing w:val="-2"/>
              </w:rPr>
            </w:pPr>
          </w:p>
        </w:tc>
        <w:tc>
          <w:tcPr>
            <w:tcW w:w="1418" w:type="dxa"/>
            <w:tcBorders>
              <w:top w:val="nil"/>
              <w:left w:val="nil"/>
              <w:bottom w:val="nil"/>
              <w:right w:val="nil"/>
            </w:tcBorders>
          </w:tcPr>
          <w:p w14:paraId="3E2F8725" w14:textId="77777777" w:rsidR="00EC59DE" w:rsidRPr="00C328EF" w:rsidRDefault="00EC59DE" w:rsidP="00EC59DE">
            <w:pPr>
              <w:suppressAutoHyphens/>
              <w:ind w:right="78"/>
              <w:jc w:val="right"/>
              <w:rPr>
                <w:rFonts w:cs="Arial"/>
                <w:spacing w:val="-2"/>
                <w:highlight w:val="yellow"/>
              </w:rPr>
            </w:pPr>
          </w:p>
        </w:tc>
        <w:tc>
          <w:tcPr>
            <w:tcW w:w="1297" w:type="dxa"/>
            <w:tcBorders>
              <w:top w:val="nil"/>
              <w:left w:val="nil"/>
              <w:bottom w:val="nil"/>
              <w:right w:val="nil"/>
            </w:tcBorders>
          </w:tcPr>
          <w:p w14:paraId="406062CB" w14:textId="77777777" w:rsidR="00EC59DE" w:rsidRPr="00C328EF" w:rsidRDefault="00EC59DE" w:rsidP="00EC59DE">
            <w:pPr>
              <w:suppressAutoHyphens/>
              <w:ind w:right="78"/>
              <w:jc w:val="right"/>
              <w:rPr>
                <w:rFonts w:cs="Arial"/>
                <w:spacing w:val="-2"/>
                <w:highlight w:val="yellow"/>
              </w:rPr>
            </w:pPr>
          </w:p>
        </w:tc>
      </w:tr>
      <w:tr w:rsidR="004C6938" w:rsidRPr="00C328EF" w14:paraId="7A21BC80" w14:textId="77777777" w:rsidTr="00EC59DE">
        <w:tc>
          <w:tcPr>
            <w:tcW w:w="7479" w:type="dxa"/>
            <w:tcBorders>
              <w:top w:val="nil"/>
              <w:left w:val="nil"/>
              <w:bottom w:val="nil"/>
              <w:right w:val="nil"/>
            </w:tcBorders>
          </w:tcPr>
          <w:p w14:paraId="38A76916" w14:textId="77777777" w:rsidR="004C6938" w:rsidRPr="00C279E9" w:rsidRDefault="004C6938" w:rsidP="004C6938">
            <w:pPr>
              <w:suppressAutoHyphens/>
              <w:ind w:firstLine="78"/>
              <w:rPr>
                <w:rFonts w:cs="Arial"/>
                <w:spacing w:val="-2"/>
              </w:rPr>
            </w:pPr>
            <w:r w:rsidRPr="00C279E9">
              <w:t>Interest received on pension scheme assets</w:t>
            </w:r>
          </w:p>
        </w:tc>
        <w:tc>
          <w:tcPr>
            <w:tcW w:w="1418" w:type="dxa"/>
            <w:tcBorders>
              <w:top w:val="nil"/>
              <w:left w:val="nil"/>
              <w:bottom w:val="nil"/>
              <w:right w:val="nil"/>
            </w:tcBorders>
          </w:tcPr>
          <w:p w14:paraId="09774883" w14:textId="77777777" w:rsidR="004C6938" w:rsidRPr="00C328EF" w:rsidRDefault="004C6938" w:rsidP="004C6938">
            <w:pPr>
              <w:suppressAutoHyphens/>
              <w:ind w:right="78"/>
              <w:jc w:val="right"/>
              <w:rPr>
                <w:rFonts w:cs="Arial"/>
                <w:spacing w:val="-2"/>
                <w:highlight w:val="yellow"/>
              </w:rPr>
            </w:pPr>
            <w:r w:rsidRPr="00CE64EC">
              <w:rPr>
                <w:rFonts w:cs="Arial"/>
                <w:spacing w:val="-2"/>
              </w:rPr>
              <w:t>(23,300)</w:t>
            </w:r>
          </w:p>
        </w:tc>
        <w:tc>
          <w:tcPr>
            <w:tcW w:w="1297" w:type="dxa"/>
            <w:tcBorders>
              <w:top w:val="nil"/>
              <w:left w:val="nil"/>
              <w:bottom w:val="nil"/>
              <w:right w:val="nil"/>
            </w:tcBorders>
          </w:tcPr>
          <w:p w14:paraId="4025830F" w14:textId="77777777" w:rsidR="004C6938" w:rsidRPr="00C279E9" w:rsidRDefault="004C6938" w:rsidP="004C6938">
            <w:pPr>
              <w:suppressAutoHyphens/>
              <w:ind w:right="78"/>
              <w:jc w:val="right"/>
              <w:rPr>
                <w:rFonts w:cs="Arial"/>
                <w:spacing w:val="-2"/>
              </w:rPr>
            </w:pPr>
            <w:r w:rsidRPr="00C279E9">
              <w:rPr>
                <w:rFonts w:cs="Arial"/>
                <w:spacing w:val="-2"/>
              </w:rPr>
              <w:t>(24,612)</w:t>
            </w:r>
          </w:p>
        </w:tc>
      </w:tr>
      <w:tr w:rsidR="004C6938" w:rsidRPr="00C328EF" w14:paraId="28B56C05" w14:textId="77777777" w:rsidTr="00EC59DE">
        <w:tc>
          <w:tcPr>
            <w:tcW w:w="7479" w:type="dxa"/>
            <w:tcBorders>
              <w:top w:val="nil"/>
              <w:left w:val="nil"/>
              <w:bottom w:val="nil"/>
              <w:right w:val="nil"/>
            </w:tcBorders>
          </w:tcPr>
          <w:p w14:paraId="7B496379" w14:textId="77777777" w:rsidR="004C6938" w:rsidRPr="00C279E9" w:rsidRDefault="004C6938" w:rsidP="004C6938">
            <w:pPr>
              <w:ind w:firstLine="78"/>
              <w:jc w:val="both"/>
            </w:pPr>
            <w:r w:rsidRPr="00C279E9">
              <w:t>Interest cost on pension scheme liabilities</w:t>
            </w:r>
          </w:p>
        </w:tc>
        <w:tc>
          <w:tcPr>
            <w:tcW w:w="1418" w:type="dxa"/>
            <w:tcBorders>
              <w:top w:val="nil"/>
              <w:left w:val="nil"/>
              <w:bottom w:val="nil"/>
              <w:right w:val="nil"/>
            </w:tcBorders>
          </w:tcPr>
          <w:p w14:paraId="497A053A" w14:textId="77777777" w:rsidR="004C6938" w:rsidRPr="00C328EF" w:rsidRDefault="004C6938" w:rsidP="004C6938">
            <w:pPr>
              <w:suppressAutoHyphens/>
              <w:ind w:right="78"/>
              <w:jc w:val="right"/>
              <w:rPr>
                <w:rFonts w:cs="Arial"/>
                <w:spacing w:val="-2"/>
                <w:highlight w:val="yellow"/>
              </w:rPr>
            </w:pPr>
            <w:r w:rsidRPr="00CE64EC">
              <w:rPr>
                <w:rFonts w:cs="Arial"/>
                <w:spacing w:val="-2"/>
              </w:rPr>
              <w:t>18,286</w:t>
            </w:r>
          </w:p>
        </w:tc>
        <w:tc>
          <w:tcPr>
            <w:tcW w:w="1297" w:type="dxa"/>
            <w:tcBorders>
              <w:top w:val="nil"/>
              <w:left w:val="nil"/>
              <w:bottom w:val="nil"/>
              <w:right w:val="nil"/>
            </w:tcBorders>
          </w:tcPr>
          <w:p w14:paraId="69276E0A" w14:textId="77777777" w:rsidR="004C6938" w:rsidRPr="00C279E9" w:rsidRDefault="004C6938" w:rsidP="004C6938">
            <w:pPr>
              <w:suppressAutoHyphens/>
              <w:ind w:right="78"/>
              <w:jc w:val="right"/>
              <w:rPr>
                <w:rFonts w:cs="Arial"/>
                <w:spacing w:val="-2"/>
              </w:rPr>
            </w:pPr>
            <w:r w:rsidRPr="00C279E9">
              <w:rPr>
                <w:rFonts w:cs="Arial"/>
                <w:spacing w:val="-2"/>
              </w:rPr>
              <w:t>16,779</w:t>
            </w:r>
          </w:p>
        </w:tc>
      </w:tr>
      <w:tr w:rsidR="004C6938" w:rsidRPr="00C328EF" w14:paraId="30546726" w14:textId="77777777" w:rsidTr="00EC59DE">
        <w:tc>
          <w:tcPr>
            <w:tcW w:w="7479" w:type="dxa"/>
            <w:tcBorders>
              <w:top w:val="nil"/>
              <w:left w:val="nil"/>
              <w:bottom w:val="nil"/>
              <w:right w:val="nil"/>
            </w:tcBorders>
          </w:tcPr>
          <w:p w14:paraId="52FDD55B" w14:textId="77777777" w:rsidR="004C6938" w:rsidRPr="00C279E9" w:rsidRDefault="004C6938" w:rsidP="004C6938">
            <w:pPr>
              <w:ind w:firstLine="78"/>
              <w:jc w:val="both"/>
            </w:pPr>
          </w:p>
        </w:tc>
        <w:tc>
          <w:tcPr>
            <w:tcW w:w="1418" w:type="dxa"/>
            <w:tcBorders>
              <w:top w:val="nil"/>
              <w:left w:val="nil"/>
              <w:bottom w:val="nil"/>
              <w:right w:val="nil"/>
            </w:tcBorders>
          </w:tcPr>
          <w:p w14:paraId="6EEEE038" w14:textId="77777777" w:rsidR="004C6938" w:rsidRPr="00C328EF" w:rsidRDefault="004C6938" w:rsidP="004C6938">
            <w:pPr>
              <w:suppressAutoHyphens/>
              <w:ind w:right="78"/>
              <w:jc w:val="right"/>
              <w:rPr>
                <w:rFonts w:cs="Arial"/>
                <w:spacing w:val="-2"/>
                <w:highlight w:val="yellow"/>
              </w:rPr>
            </w:pPr>
            <w:r w:rsidRPr="00CE64EC">
              <w:rPr>
                <w:rFonts w:cs="Arial"/>
                <w:spacing w:val="-2"/>
              </w:rPr>
              <w:t>───────</w:t>
            </w:r>
          </w:p>
        </w:tc>
        <w:tc>
          <w:tcPr>
            <w:tcW w:w="1297" w:type="dxa"/>
            <w:tcBorders>
              <w:top w:val="nil"/>
              <w:left w:val="nil"/>
              <w:bottom w:val="nil"/>
              <w:right w:val="nil"/>
            </w:tcBorders>
          </w:tcPr>
          <w:p w14:paraId="5D1CAE37" w14:textId="77777777" w:rsidR="004C6938" w:rsidRPr="00C279E9" w:rsidRDefault="004C6938" w:rsidP="004C6938">
            <w:pPr>
              <w:suppressAutoHyphens/>
              <w:ind w:right="78"/>
              <w:jc w:val="right"/>
              <w:rPr>
                <w:rFonts w:cs="Arial"/>
                <w:spacing w:val="-2"/>
              </w:rPr>
            </w:pPr>
            <w:r w:rsidRPr="00C279E9">
              <w:rPr>
                <w:rFonts w:cs="Arial"/>
                <w:spacing w:val="-2"/>
              </w:rPr>
              <w:t>───────</w:t>
            </w:r>
          </w:p>
        </w:tc>
      </w:tr>
      <w:tr w:rsidR="004C6938" w:rsidRPr="00C328EF" w14:paraId="1413AFDE" w14:textId="77777777" w:rsidTr="00EC59DE">
        <w:tc>
          <w:tcPr>
            <w:tcW w:w="7479" w:type="dxa"/>
            <w:tcBorders>
              <w:top w:val="nil"/>
              <w:left w:val="nil"/>
              <w:bottom w:val="nil"/>
              <w:right w:val="nil"/>
            </w:tcBorders>
          </w:tcPr>
          <w:p w14:paraId="3105D740" w14:textId="77777777" w:rsidR="004C6938" w:rsidRPr="00C279E9" w:rsidRDefault="004C6938" w:rsidP="004C6938">
            <w:pPr>
              <w:ind w:firstLine="78"/>
              <w:jc w:val="both"/>
            </w:pPr>
            <w:r w:rsidRPr="00C279E9">
              <w:t xml:space="preserve">Finance income </w:t>
            </w:r>
          </w:p>
        </w:tc>
        <w:tc>
          <w:tcPr>
            <w:tcW w:w="1418" w:type="dxa"/>
            <w:tcBorders>
              <w:top w:val="nil"/>
              <w:left w:val="nil"/>
              <w:bottom w:val="nil"/>
              <w:right w:val="nil"/>
            </w:tcBorders>
          </w:tcPr>
          <w:p w14:paraId="481F7FCD" w14:textId="77777777" w:rsidR="004C6938" w:rsidRPr="00C328EF" w:rsidRDefault="004C6938" w:rsidP="004C6938">
            <w:pPr>
              <w:suppressAutoHyphens/>
              <w:ind w:right="78"/>
              <w:jc w:val="right"/>
              <w:rPr>
                <w:rFonts w:cs="Arial"/>
                <w:spacing w:val="-2"/>
                <w:highlight w:val="yellow"/>
              </w:rPr>
            </w:pPr>
            <w:r w:rsidRPr="00CE64EC">
              <w:rPr>
                <w:rFonts w:cs="Arial"/>
                <w:spacing w:val="-2"/>
              </w:rPr>
              <w:t>(5,014)</w:t>
            </w:r>
          </w:p>
        </w:tc>
        <w:tc>
          <w:tcPr>
            <w:tcW w:w="1297" w:type="dxa"/>
            <w:tcBorders>
              <w:top w:val="nil"/>
              <w:left w:val="nil"/>
              <w:bottom w:val="nil"/>
              <w:right w:val="nil"/>
            </w:tcBorders>
          </w:tcPr>
          <w:p w14:paraId="7B76B53C" w14:textId="77777777" w:rsidR="004C6938" w:rsidRPr="00C279E9" w:rsidRDefault="004C6938" w:rsidP="004C6938">
            <w:pPr>
              <w:suppressAutoHyphens/>
              <w:ind w:right="78"/>
              <w:jc w:val="right"/>
              <w:rPr>
                <w:rFonts w:cs="Arial"/>
                <w:spacing w:val="-2"/>
              </w:rPr>
            </w:pPr>
            <w:r w:rsidRPr="00C279E9">
              <w:rPr>
                <w:rFonts w:cs="Arial"/>
                <w:spacing w:val="-2"/>
              </w:rPr>
              <w:t>(7,833)</w:t>
            </w:r>
          </w:p>
        </w:tc>
      </w:tr>
      <w:tr w:rsidR="004C6938" w:rsidRPr="00C328EF" w14:paraId="1EAE9D5E" w14:textId="77777777" w:rsidTr="00EC59DE">
        <w:tc>
          <w:tcPr>
            <w:tcW w:w="7479" w:type="dxa"/>
            <w:tcBorders>
              <w:top w:val="nil"/>
              <w:left w:val="nil"/>
              <w:bottom w:val="nil"/>
              <w:right w:val="nil"/>
            </w:tcBorders>
          </w:tcPr>
          <w:p w14:paraId="524E8EDF" w14:textId="77777777" w:rsidR="004C6938" w:rsidRPr="00C279E9" w:rsidRDefault="004C6938" w:rsidP="004C6938">
            <w:pPr>
              <w:suppressAutoHyphens/>
              <w:ind w:firstLine="78"/>
              <w:rPr>
                <w:rFonts w:cs="Arial"/>
                <w:spacing w:val="-2"/>
              </w:rPr>
            </w:pPr>
            <w:r w:rsidRPr="00C279E9">
              <w:t>Current service cost</w:t>
            </w:r>
          </w:p>
        </w:tc>
        <w:tc>
          <w:tcPr>
            <w:tcW w:w="1418" w:type="dxa"/>
            <w:tcBorders>
              <w:top w:val="nil"/>
              <w:left w:val="nil"/>
              <w:bottom w:val="nil"/>
              <w:right w:val="nil"/>
            </w:tcBorders>
          </w:tcPr>
          <w:p w14:paraId="2ACBD5D5" w14:textId="77777777" w:rsidR="004C6938" w:rsidRPr="00C328EF" w:rsidRDefault="004C6938" w:rsidP="004C6938">
            <w:pPr>
              <w:suppressAutoHyphens/>
              <w:ind w:right="78"/>
              <w:jc w:val="right"/>
              <w:rPr>
                <w:rFonts w:cs="Arial"/>
                <w:spacing w:val="-2"/>
                <w:highlight w:val="yellow"/>
              </w:rPr>
            </w:pPr>
            <w:r w:rsidRPr="00CE64EC">
              <w:rPr>
                <w:rFonts w:cs="Arial"/>
                <w:spacing w:val="-2"/>
              </w:rPr>
              <w:t>7,269</w:t>
            </w:r>
          </w:p>
        </w:tc>
        <w:tc>
          <w:tcPr>
            <w:tcW w:w="1297" w:type="dxa"/>
            <w:tcBorders>
              <w:top w:val="nil"/>
              <w:left w:val="nil"/>
              <w:bottom w:val="nil"/>
              <w:right w:val="nil"/>
            </w:tcBorders>
          </w:tcPr>
          <w:p w14:paraId="68D71788" w14:textId="77777777" w:rsidR="004C6938" w:rsidRPr="00C279E9" w:rsidRDefault="004C6938" w:rsidP="004C6938">
            <w:pPr>
              <w:suppressAutoHyphens/>
              <w:ind w:right="78"/>
              <w:jc w:val="right"/>
              <w:rPr>
                <w:rFonts w:cs="Arial"/>
                <w:spacing w:val="-2"/>
              </w:rPr>
            </w:pPr>
            <w:r w:rsidRPr="00C279E9">
              <w:rPr>
                <w:rFonts w:cs="Arial"/>
                <w:spacing w:val="-2"/>
              </w:rPr>
              <w:t>5,284</w:t>
            </w:r>
          </w:p>
        </w:tc>
      </w:tr>
      <w:tr w:rsidR="004C6938" w:rsidRPr="00C328EF" w14:paraId="30603D30" w14:textId="77777777" w:rsidTr="00EC59DE">
        <w:tc>
          <w:tcPr>
            <w:tcW w:w="7479" w:type="dxa"/>
            <w:tcBorders>
              <w:top w:val="nil"/>
              <w:left w:val="nil"/>
              <w:bottom w:val="nil"/>
              <w:right w:val="nil"/>
            </w:tcBorders>
          </w:tcPr>
          <w:p w14:paraId="2BD7D446" w14:textId="77777777" w:rsidR="004C6938" w:rsidRPr="00C279E9" w:rsidRDefault="004C6938" w:rsidP="004C6938">
            <w:pPr>
              <w:suppressAutoHyphens/>
              <w:rPr>
                <w:rFonts w:cs="Arial"/>
                <w:spacing w:val="-2"/>
              </w:rPr>
            </w:pPr>
          </w:p>
        </w:tc>
        <w:tc>
          <w:tcPr>
            <w:tcW w:w="1418" w:type="dxa"/>
            <w:tcBorders>
              <w:top w:val="nil"/>
              <w:left w:val="nil"/>
              <w:bottom w:val="nil"/>
              <w:right w:val="nil"/>
            </w:tcBorders>
          </w:tcPr>
          <w:p w14:paraId="11F752F4" w14:textId="77777777" w:rsidR="004C6938" w:rsidRPr="00C328EF" w:rsidRDefault="004C6938" w:rsidP="004C6938">
            <w:pPr>
              <w:suppressAutoHyphens/>
              <w:ind w:right="78"/>
              <w:jc w:val="right"/>
              <w:rPr>
                <w:rFonts w:cs="Arial"/>
                <w:spacing w:val="-2"/>
                <w:highlight w:val="yellow"/>
              </w:rPr>
            </w:pPr>
            <w:r w:rsidRPr="00CE64EC">
              <w:rPr>
                <w:rFonts w:cs="Arial"/>
                <w:spacing w:val="-2"/>
              </w:rPr>
              <w:t>───────</w:t>
            </w:r>
          </w:p>
        </w:tc>
        <w:tc>
          <w:tcPr>
            <w:tcW w:w="1297" w:type="dxa"/>
            <w:tcBorders>
              <w:top w:val="nil"/>
              <w:left w:val="nil"/>
              <w:bottom w:val="nil"/>
              <w:right w:val="nil"/>
            </w:tcBorders>
          </w:tcPr>
          <w:p w14:paraId="58362618" w14:textId="77777777" w:rsidR="004C6938" w:rsidRPr="00C279E9" w:rsidRDefault="004C6938" w:rsidP="004C6938">
            <w:pPr>
              <w:suppressAutoHyphens/>
              <w:ind w:right="78"/>
              <w:jc w:val="right"/>
              <w:rPr>
                <w:rFonts w:cs="Arial"/>
                <w:spacing w:val="-2"/>
              </w:rPr>
            </w:pPr>
            <w:r w:rsidRPr="00C279E9">
              <w:rPr>
                <w:rFonts w:cs="Arial"/>
                <w:spacing w:val="-2"/>
              </w:rPr>
              <w:t>───────</w:t>
            </w:r>
          </w:p>
        </w:tc>
      </w:tr>
      <w:tr w:rsidR="004C6938" w:rsidRPr="00C328EF" w14:paraId="6FFCB0E9" w14:textId="77777777" w:rsidTr="00EC59DE">
        <w:tc>
          <w:tcPr>
            <w:tcW w:w="7479" w:type="dxa"/>
            <w:tcBorders>
              <w:top w:val="nil"/>
              <w:left w:val="nil"/>
              <w:bottom w:val="nil"/>
              <w:right w:val="nil"/>
            </w:tcBorders>
          </w:tcPr>
          <w:p w14:paraId="77182570" w14:textId="77777777" w:rsidR="004C6938" w:rsidRPr="00C328EF" w:rsidRDefault="004C6938" w:rsidP="004C6938">
            <w:pPr>
              <w:suppressAutoHyphens/>
              <w:rPr>
                <w:rFonts w:cs="Arial"/>
                <w:spacing w:val="-2"/>
                <w:highlight w:val="yellow"/>
              </w:rPr>
            </w:pPr>
          </w:p>
        </w:tc>
        <w:tc>
          <w:tcPr>
            <w:tcW w:w="1418" w:type="dxa"/>
            <w:tcBorders>
              <w:top w:val="nil"/>
              <w:left w:val="nil"/>
              <w:bottom w:val="nil"/>
              <w:right w:val="nil"/>
            </w:tcBorders>
          </w:tcPr>
          <w:p w14:paraId="74613312" w14:textId="77777777" w:rsidR="004C6938" w:rsidRPr="00C328EF" w:rsidRDefault="004C6938" w:rsidP="004C6938">
            <w:pPr>
              <w:suppressAutoHyphens/>
              <w:ind w:right="78"/>
              <w:jc w:val="right"/>
              <w:rPr>
                <w:rFonts w:cs="Arial"/>
                <w:spacing w:val="-2"/>
                <w:highlight w:val="yellow"/>
              </w:rPr>
            </w:pPr>
            <w:r w:rsidRPr="00CE64EC">
              <w:rPr>
                <w:rFonts w:cs="Arial"/>
                <w:spacing w:val="-2"/>
              </w:rPr>
              <w:t>2,255</w:t>
            </w:r>
          </w:p>
        </w:tc>
        <w:tc>
          <w:tcPr>
            <w:tcW w:w="1297" w:type="dxa"/>
            <w:tcBorders>
              <w:top w:val="nil"/>
              <w:left w:val="nil"/>
              <w:bottom w:val="nil"/>
              <w:right w:val="nil"/>
            </w:tcBorders>
          </w:tcPr>
          <w:p w14:paraId="4FF11D45" w14:textId="77777777" w:rsidR="004C6938" w:rsidRPr="00C279E9" w:rsidRDefault="004C6938" w:rsidP="004C6938">
            <w:pPr>
              <w:suppressAutoHyphens/>
              <w:ind w:right="78"/>
              <w:jc w:val="right"/>
              <w:rPr>
                <w:rFonts w:cs="Arial"/>
                <w:spacing w:val="-2"/>
              </w:rPr>
            </w:pPr>
            <w:r w:rsidRPr="00C279E9">
              <w:rPr>
                <w:rFonts w:cs="Arial"/>
                <w:spacing w:val="-2"/>
              </w:rPr>
              <w:t>(2,549)</w:t>
            </w:r>
          </w:p>
        </w:tc>
      </w:tr>
      <w:tr w:rsidR="004C6938" w:rsidRPr="00C328EF" w14:paraId="6E9C4C9A" w14:textId="77777777" w:rsidTr="00EC59DE">
        <w:tc>
          <w:tcPr>
            <w:tcW w:w="7479" w:type="dxa"/>
            <w:tcBorders>
              <w:top w:val="nil"/>
              <w:left w:val="nil"/>
              <w:bottom w:val="nil"/>
              <w:right w:val="nil"/>
            </w:tcBorders>
          </w:tcPr>
          <w:p w14:paraId="4C1BDA79" w14:textId="77777777" w:rsidR="004C6938" w:rsidRPr="00C328EF" w:rsidRDefault="004C6938" w:rsidP="004C6938">
            <w:pPr>
              <w:suppressAutoHyphens/>
              <w:rPr>
                <w:rFonts w:cs="Arial"/>
                <w:spacing w:val="-2"/>
                <w:highlight w:val="yellow"/>
              </w:rPr>
            </w:pPr>
          </w:p>
        </w:tc>
        <w:tc>
          <w:tcPr>
            <w:tcW w:w="1418" w:type="dxa"/>
            <w:tcBorders>
              <w:top w:val="nil"/>
              <w:left w:val="nil"/>
              <w:bottom w:val="nil"/>
              <w:right w:val="nil"/>
            </w:tcBorders>
          </w:tcPr>
          <w:p w14:paraId="6399294C" w14:textId="77777777" w:rsidR="004C6938" w:rsidRPr="00C328EF" w:rsidRDefault="004C6938" w:rsidP="004C6938">
            <w:pPr>
              <w:suppressAutoHyphens/>
              <w:ind w:right="78"/>
              <w:jc w:val="right"/>
              <w:rPr>
                <w:rFonts w:cs="Arial"/>
                <w:spacing w:val="-2"/>
                <w:highlight w:val="yellow"/>
              </w:rPr>
            </w:pPr>
            <w:r w:rsidRPr="00CE64EC">
              <w:rPr>
                <w:rFonts w:cs="Arial"/>
                <w:spacing w:val="-2"/>
              </w:rPr>
              <w:t>═══════</w:t>
            </w:r>
          </w:p>
        </w:tc>
        <w:tc>
          <w:tcPr>
            <w:tcW w:w="1297" w:type="dxa"/>
            <w:tcBorders>
              <w:top w:val="nil"/>
              <w:left w:val="nil"/>
              <w:bottom w:val="nil"/>
              <w:right w:val="nil"/>
            </w:tcBorders>
          </w:tcPr>
          <w:p w14:paraId="05D2448B" w14:textId="77777777" w:rsidR="004C6938" w:rsidRPr="00C279E9" w:rsidRDefault="004C6938" w:rsidP="004C6938">
            <w:pPr>
              <w:suppressAutoHyphens/>
              <w:ind w:right="78"/>
              <w:jc w:val="right"/>
              <w:rPr>
                <w:rFonts w:cs="Arial"/>
                <w:spacing w:val="-2"/>
              </w:rPr>
            </w:pPr>
            <w:r w:rsidRPr="00C279E9">
              <w:rPr>
                <w:rFonts w:cs="Arial"/>
                <w:spacing w:val="-2"/>
              </w:rPr>
              <w:t>═══════</w:t>
            </w:r>
          </w:p>
        </w:tc>
      </w:tr>
    </w:tbl>
    <w:p w14:paraId="7D33B46A" w14:textId="77777777" w:rsidR="00AC6293" w:rsidRPr="00631312" w:rsidRDefault="009E1679" w:rsidP="00AC6293">
      <w:pPr>
        <w:ind w:left="78"/>
        <w:jc w:val="center"/>
        <w:rPr>
          <w:b/>
        </w:rPr>
      </w:pPr>
      <w:r w:rsidRPr="00C328EF">
        <w:rPr>
          <w:b/>
          <w:highlight w:val="yellow"/>
        </w:rPr>
        <w:br w:type="page"/>
      </w:r>
      <w:r w:rsidR="00AC6293" w:rsidRPr="00631312">
        <w:rPr>
          <w:b/>
        </w:rPr>
        <w:lastRenderedPageBreak/>
        <w:t>TRANSPORT FOR EDINBURGH LIMITED</w:t>
      </w:r>
    </w:p>
    <w:p w14:paraId="439D4C1B" w14:textId="77777777" w:rsidR="00AC6293" w:rsidRPr="00631312" w:rsidRDefault="00AC6293" w:rsidP="00AC6293">
      <w:pPr>
        <w:jc w:val="center"/>
        <w:rPr>
          <w:b/>
        </w:rPr>
      </w:pPr>
    </w:p>
    <w:p w14:paraId="047D7C8E" w14:textId="77777777" w:rsidR="00AC6293" w:rsidRPr="00631312" w:rsidRDefault="00AC6293" w:rsidP="00AC6293">
      <w:pPr>
        <w:jc w:val="center"/>
        <w:rPr>
          <w:b/>
        </w:rPr>
      </w:pPr>
      <w:r w:rsidRPr="00631312">
        <w:rPr>
          <w:b/>
        </w:rPr>
        <w:t>Notes to the Financial Statements (continued)</w:t>
      </w:r>
    </w:p>
    <w:p w14:paraId="5D2017C5" w14:textId="77777777" w:rsidR="00AC6293" w:rsidRPr="00631312" w:rsidRDefault="00AC6293" w:rsidP="00AC6293">
      <w:pPr>
        <w:jc w:val="center"/>
        <w:rPr>
          <w:b/>
        </w:rPr>
      </w:pPr>
    </w:p>
    <w:p w14:paraId="333CC5A5" w14:textId="77777777" w:rsidR="00AC6293" w:rsidRPr="00AE607B" w:rsidRDefault="00D90B89" w:rsidP="00AC6293">
      <w:pPr>
        <w:jc w:val="center"/>
      </w:pPr>
      <w:r w:rsidRPr="00AE607B">
        <w:rPr>
          <w:b/>
        </w:rPr>
        <w:t>For the period ended 28 December 2024</w:t>
      </w:r>
    </w:p>
    <w:p w14:paraId="3D77260E" w14:textId="77777777" w:rsidR="004740F6" w:rsidRPr="00AE607B" w:rsidRDefault="004740F6" w:rsidP="00994C62">
      <w:pPr>
        <w:jc w:val="both"/>
      </w:pPr>
    </w:p>
    <w:p w14:paraId="1EFBBC22" w14:textId="77777777" w:rsidR="00D851AF" w:rsidRPr="00AE607B" w:rsidRDefault="00C159C0" w:rsidP="002B6DE4">
      <w:pPr>
        <w:tabs>
          <w:tab w:val="left" w:pos="546"/>
          <w:tab w:val="left" w:pos="624"/>
        </w:tabs>
        <w:jc w:val="both"/>
        <w:rPr>
          <w:b/>
        </w:rPr>
      </w:pPr>
      <w:r w:rsidRPr="00AE607B">
        <w:rPr>
          <w:b/>
        </w:rPr>
        <w:t>2</w:t>
      </w:r>
      <w:r w:rsidR="00AE607B">
        <w:rPr>
          <w:b/>
        </w:rPr>
        <w:t>4</w:t>
      </w:r>
      <w:r w:rsidR="006214DB" w:rsidRPr="00AE607B">
        <w:rPr>
          <w:b/>
        </w:rPr>
        <w:t xml:space="preserve">.  </w:t>
      </w:r>
      <w:r w:rsidR="00C83D6C" w:rsidRPr="00AE607B">
        <w:rPr>
          <w:b/>
        </w:rPr>
        <w:t xml:space="preserve"> </w:t>
      </w:r>
      <w:r w:rsidR="004740F6" w:rsidRPr="00AE607B">
        <w:rPr>
          <w:b/>
        </w:rPr>
        <w:t>Retirement benefits obligation (continued)</w:t>
      </w:r>
    </w:p>
    <w:p w14:paraId="3A6D1E0C" w14:textId="77777777" w:rsidR="00994C62" w:rsidRPr="00AE607B" w:rsidRDefault="00994C62" w:rsidP="00994C62">
      <w:pPr>
        <w:jc w:val="both"/>
      </w:pPr>
    </w:p>
    <w:p w14:paraId="072686F5" w14:textId="77777777" w:rsidR="00F65D12" w:rsidRPr="000E4F59" w:rsidRDefault="00F65D12" w:rsidP="00994C62">
      <w:pPr>
        <w:jc w:val="both"/>
      </w:pPr>
      <w:r w:rsidRPr="000E4F59">
        <w:t xml:space="preserve">Amounts </w:t>
      </w:r>
      <w:r w:rsidR="00512608" w:rsidRPr="000E4F59">
        <w:t>recognised</w:t>
      </w:r>
      <w:r w:rsidRPr="000E4F59">
        <w:t xml:space="preserve"> in other comprehensive income</w:t>
      </w:r>
      <w:r w:rsidR="00512608" w:rsidRPr="000E4F59">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126"/>
        <w:gridCol w:w="1276"/>
      </w:tblGrid>
      <w:tr w:rsidR="00EC59DE" w:rsidRPr="000E4F59" w14:paraId="111D4561" w14:textId="77777777" w:rsidTr="000D23EA">
        <w:tc>
          <w:tcPr>
            <w:tcW w:w="6629" w:type="dxa"/>
            <w:tcBorders>
              <w:top w:val="nil"/>
              <w:left w:val="nil"/>
              <w:bottom w:val="nil"/>
              <w:right w:val="nil"/>
            </w:tcBorders>
          </w:tcPr>
          <w:p w14:paraId="6C141B40" w14:textId="77777777" w:rsidR="00EC59DE" w:rsidRPr="000E4F59" w:rsidRDefault="00EC59DE" w:rsidP="00EC59DE">
            <w:pPr>
              <w:suppressAutoHyphens/>
              <w:ind w:right="78"/>
              <w:jc w:val="right"/>
              <w:rPr>
                <w:rFonts w:cs="Arial"/>
                <w:spacing w:val="-2"/>
              </w:rPr>
            </w:pPr>
          </w:p>
        </w:tc>
        <w:tc>
          <w:tcPr>
            <w:tcW w:w="2126" w:type="dxa"/>
            <w:tcBorders>
              <w:top w:val="nil"/>
              <w:left w:val="nil"/>
              <w:bottom w:val="nil"/>
              <w:right w:val="nil"/>
            </w:tcBorders>
          </w:tcPr>
          <w:p w14:paraId="5A665392" w14:textId="77777777" w:rsidR="00EC59DE" w:rsidRPr="000E4F59" w:rsidRDefault="003B7A8B" w:rsidP="00EC59DE">
            <w:pPr>
              <w:suppressAutoHyphens/>
              <w:ind w:right="78"/>
              <w:jc w:val="right"/>
              <w:rPr>
                <w:rFonts w:cs="Arial"/>
                <w:b/>
                <w:spacing w:val="-2"/>
              </w:rPr>
            </w:pPr>
            <w:r>
              <w:rPr>
                <w:rFonts w:cs="Arial"/>
                <w:b/>
                <w:spacing w:val="-2"/>
              </w:rPr>
              <w:t>28/12/</w:t>
            </w:r>
            <w:r w:rsidR="00EC59DE" w:rsidRPr="000E4F59">
              <w:rPr>
                <w:rFonts w:cs="Arial"/>
                <w:b/>
                <w:spacing w:val="-2"/>
              </w:rPr>
              <w:t>20</w:t>
            </w:r>
            <w:r w:rsidR="003068AC" w:rsidRPr="000E4F59">
              <w:rPr>
                <w:rFonts w:cs="Arial"/>
                <w:b/>
                <w:spacing w:val="-2"/>
              </w:rPr>
              <w:t>2</w:t>
            </w:r>
            <w:r w:rsidR="000E4F59">
              <w:rPr>
                <w:rFonts w:cs="Arial"/>
                <w:b/>
                <w:spacing w:val="-2"/>
              </w:rPr>
              <w:t>4</w:t>
            </w:r>
          </w:p>
        </w:tc>
        <w:tc>
          <w:tcPr>
            <w:tcW w:w="1276" w:type="dxa"/>
            <w:tcBorders>
              <w:top w:val="nil"/>
              <w:left w:val="nil"/>
              <w:bottom w:val="nil"/>
              <w:right w:val="nil"/>
            </w:tcBorders>
          </w:tcPr>
          <w:p w14:paraId="22A0E27B" w14:textId="77777777" w:rsidR="00EC59DE" w:rsidRPr="000E4F59" w:rsidRDefault="003B7A8B" w:rsidP="00EC59DE">
            <w:pPr>
              <w:suppressAutoHyphens/>
              <w:ind w:right="78"/>
              <w:jc w:val="right"/>
              <w:rPr>
                <w:rFonts w:cs="Arial"/>
                <w:b/>
                <w:spacing w:val="-2"/>
              </w:rPr>
            </w:pPr>
            <w:r>
              <w:rPr>
                <w:rFonts w:cs="Arial"/>
                <w:b/>
                <w:spacing w:val="-2"/>
              </w:rPr>
              <w:t>30/12/</w:t>
            </w:r>
            <w:r w:rsidR="00EC59DE" w:rsidRPr="000E4F59">
              <w:rPr>
                <w:rFonts w:cs="Arial"/>
                <w:b/>
                <w:spacing w:val="-2"/>
              </w:rPr>
              <w:t>20</w:t>
            </w:r>
            <w:r w:rsidR="00CB6EE1" w:rsidRPr="000E4F59">
              <w:rPr>
                <w:rFonts w:cs="Arial"/>
                <w:b/>
                <w:spacing w:val="-2"/>
              </w:rPr>
              <w:t>2</w:t>
            </w:r>
            <w:r w:rsidR="000E4F59">
              <w:rPr>
                <w:rFonts w:cs="Arial"/>
                <w:b/>
                <w:spacing w:val="-2"/>
              </w:rPr>
              <w:t>3</w:t>
            </w:r>
          </w:p>
        </w:tc>
      </w:tr>
      <w:tr w:rsidR="00EC59DE" w:rsidRPr="000E4F59" w14:paraId="7D4E658E" w14:textId="77777777" w:rsidTr="000D23EA">
        <w:tc>
          <w:tcPr>
            <w:tcW w:w="6629" w:type="dxa"/>
            <w:tcBorders>
              <w:top w:val="nil"/>
              <w:left w:val="nil"/>
              <w:bottom w:val="nil"/>
              <w:right w:val="nil"/>
            </w:tcBorders>
          </w:tcPr>
          <w:p w14:paraId="2AFB52A9" w14:textId="77777777" w:rsidR="00EC59DE" w:rsidRPr="000E4F59" w:rsidRDefault="00EC59DE" w:rsidP="00EC59DE">
            <w:pPr>
              <w:suppressAutoHyphens/>
              <w:rPr>
                <w:rFonts w:cs="Arial"/>
                <w:spacing w:val="-2"/>
              </w:rPr>
            </w:pPr>
          </w:p>
        </w:tc>
        <w:tc>
          <w:tcPr>
            <w:tcW w:w="2126" w:type="dxa"/>
            <w:tcBorders>
              <w:top w:val="nil"/>
              <w:left w:val="nil"/>
              <w:bottom w:val="nil"/>
              <w:right w:val="nil"/>
            </w:tcBorders>
          </w:tcPr>
          <w:p w14:paraId="069EEE9F" w14:textId="77777777" w:rsidR="00EC59DE" w:rsidRPr="000E4F59" w:rsidRDefault="00EC59DE" w:rsidP="00EC59DE">
            <w:pPr>
              <w:suppressAutoHyphens/>
              <w:ind w:right="78"/>
              <w:jc w:val="right"/>
              <w:rPr>
                <w:rFonts w:cs="Arial"/>
                <w:b/>
                <w:spacing w:val="-2"/>
              </w:rPr>
            </w:pPr>
            <w:r w:rsidRPr="000E4F59">
              <w:rPr>
                <w:rFonts w:cs="Arial"/>
                <w:b/>
                <w:spacing w:val="-2"/>
              </w:rPr>
              <w:t>£’000</w:t>
            </w:r>
          </w:p>
        </w:tc>
        <w:tc>
          <w:tcPr>
            <w:tcW w:w="1276" w:type="dxa"/>
            <w:tcBorders>
              <w:top w:val="nil"/>
              <w:left w:val="nil"/>
              <w:bottom w:val="nil"/>
              <w:right w:val="nil"/>
            </w:tcBorders>
          </w:tcPr>
          <w:p w14:paraId="1A34F958" w14:textId="77777777" w:rsidR="00EC59DE" w:rsidRPr="000E4F59" w:rsidRDefault="00EC59DE" w:rsidP="00EC59DE">
            <w:pPr>
              <w:suppressAutoHyphens/>
              <w:ind w:right="78"/>
              <w:jc w:val="right"/>
              <w:rPr>
                <w:rFonts w:cs="Arial"/>
                <w:b/>
                <w:spacing w:val="-2"/>
              </w:rPr>
            </w:pPr>
            <w:r w:rsidRPr="000E4F59">
              <w:rPr>
                <w:rFonts w:cs="Arial"/>
                <w:b/>
                <w:spacing w:val="-2"/>
              </w:rPr>
              <w:t>£’000</w:t>
            </w:r>
          </w:p>
        </w:tc>
      </w:tr>
      <w:tr w:rsidR="00EC59DE" w:rsidRPr="00C328EF" w14:paraId="605A053B" w14:textId="77777777" w:rsidTr="000D23EA">
        <w:tc>
          <w:tcPr>
            <w:tcW w:w="6629" w:type="dxa"/>
            <w:tcBorders>
              <w:top w:val="nil"/>
              <w:left w:val="nil"/>
              <w:bottom w:val="nil"/>
              <w:right w:val="nil"/>
            </w:tcBorders>
          </w:tcPr>
          <w:p w14:paraId="439AE874" w14:textId="77777777" w:rsidR="00EC59DE" w:rsidRPr="00C328EF" w:rsidRDefault="00EC59DE" w:rsidP="00EC59DE">
            <w:pPr>
              <w:suppressAutoHyphens/>
              <w:rPr>
                <w:rFonts w:cs="Arial"/>
                <w:spacing w:val="-2"/>
                <w:highlight w:val="yellow"/>
              </w:rPr>
            </w:pPr>
          </w:p>
        </w:tc>
        <w:tc>
          <w:tcPr>
            <w:tcW w:w="2126" w:type="dxa"/>
            <w:tcBorders>
              <w:top w:val="nil"/>
              <w:left w:val="nil"/>
              <w:bottom w:val="nil"/>
              <w:right w:val="nil"/>
            </w:tcBorders>
          </w:tcPr>
          <w:p w14:paraId="28D48B53" w14:textId="77777777" w:rsidR="00EC59DE" w:rsidRPr="00C328EF" w:rsidRDefault="00EC59DE" w:rsidP="00EC59DE">
            <w:pPr>
              <w:suppressAutoHyphens/>
              <w:ind w:right="78"/>
              <w:jc w:val="right"/>
              <w:rPr>
                <w:rFonts w:cs="Arial"/>
                <w:b/>
                <w:spacing w:val="-2"/>
                <w:highlight w:val="yellow"/>
              </w:rPr>
            </w:pPr>
          </w:p>
        </w:tc>
        <w:tc>
          <w:tcPr>
            <w:tcW w:w="1276" w:type="dxa"/>
            <w:tcBorders>
              <w:top w:val="nil"/>
              <w:left w:val="nil"/>
              <w:bottom w:val="nil"/>
              <w:right w:val="nil"/>
            </w:tcBorders>
          </w:tcPr>
          <w:p w14:paraId="7CF1B92E" w14:textId="77777777" w:rsidR="00EC59DE" w:rsidRPr="00C328EF" w:rsidRDefault="00EC59DE" w:rsidP="00EC59DE">
            <w:pPr>
              <w:suppressAutoHyphens/>
              <w:ind w:right="78"/>
              <w:jc w:val="right"/>
              <w:rPr>
                <w:rFonts w:cs="Arial"/>
                <w:b/>
                <w:spacing w:val="-2"/>
                <w:highlight w:val="yellow"/>
              </w:rPr>
            </w:pPr>
          </w:p>
        </w:tc>
      </w:tr>
      <w:tr w:rsidR="000E4F59" w:rsidRPr="00C328EF" w14:paraId="0A7A7AD7" w14:textId="77777777" w:rsidTr="000D23EA">
        <w:tc>
          <w:tcPr>
            <w:tcW w:w="6629" w:type="dxa"/>
            <w:tcBorders>
              <w:top w:val="nil"/>
              <w:left w:val="nil"/>
              <w:bottom w:val="nil"/>
              <w:right w:val="nil"/>
            </w:tcBorders>
          </w:tcPr>
          <w:p w14:paraId="78879B72" w14:textId="77777777" w:rsidR="000E4F59" w:rsidRPr="007121F8" w:rsidRDefault="000E4F59" w:rsidP="000E4F59">
            <w:pPr>
              <w:suppressAutoHyphens/>
              <w:rPr>
                <w:rFonts w:cs="Arial"/>
                <w:spacing w:val="-2"/>
              </w:rPr>
            </w:pPr>
            <w:r w:rsidRPr="007121F8">
              <w:rPr>
                <w:rFonts w:cs="Arial"/>
                <w:spacing w:val="-2"/>
              </w:rPr>
              <w:t xml:space="preserve">Actuarial </w:t>
            </w:r>
            <w:r w:rsidR="007121F8" w:rsidRPr="007121F8">
              <w:rPr>
                <w:rFonts w:cs="Arial"/>
                <w:spacing w:val="-2"/>
              </w:rPr>
              <w:t>gains/</w:t>
            </w:r>
            <w:r w:rsidRPr="007121F8">
              <w:rPr>
                <w:rFonts w:cs="Arial"/>
                <w:spacing w:val="-2"/>
              </w:rPr>
              <w:t>(losses) in the defined benefit obligation</w:t>
            </w:r>
          </w:p>
        </w:tc>
        <w:tc>
          <w:tcPr>
            <w:tcW w:w="2126" w:type="dxa"/>
            <w:tcBorders>
              <w:top w:val="nil"/>
              <w:left w:val="nil"/>
              <w:bottom w:val="nil"/>
              <w:right w:val="nil"/>
            </w:tcBorders>
          </w:tcPr>
          <w:p w14:paraId="05635DA7" w14:textId="77777777" w:rsidR="000E4F59" w:rsidRPr="000A1337" w:rsidRDefault="000A1337" w:rsidP="000E4F59">
            <w:pPr>
              <w:suppressAutoHyphens/>
              <w:ind w:right="78"/>
              <w:jc w:val="right"/>
              <w:rPr>
                <w:rFonts w:cs="Arial"/>
                <w:spacing w:val="-2"/>
              </w:rPr>
            </w:pPr>
            <w:r w:rsidRPr="000A1337">
              <w:rPr>
                <w:rFonts w:cs="Arial"/>
                <w:spacing w:val="-2"/>
              </w:rPr>
              <w:t>49</w:t>
            </w:r>
            <w:r w:rsidR="000E4F59" w:rsidRPr="000A1337">
              <w:rPr>
                <w:rFonts w:cs="Arial"/>
                <w:spacing w:val="-2"/>
              </w:rPr>
              <w:t>,</w:t>
            </w:r>
            <w:r w:rsidRPr="000A1337">
              <w:rPr>
                <w:rFonts w:cs="Arial"/>
                <w:spacing w:val="-2"/>
              </w:rPr>
              <w:t>653</w:t>
            </w:r>
          </w:p>
        </w:tc>
        <w:tc>
          <w:tcPr>
            <w:tcW w:w="1276" w:type="dxa"/>
            <w:tcBorders>
              <w:top w:val="nil"/>
              <w:left w:val="nil"/>
              <w:bottom w:val="nil"/>
              <w:right w:val="nil"/>
            </w:tcBorders>
          </w:tcPr>
          <w:p w14:paraId="500C7F3F" w14:textId="77777777" w:rsidR="000E4F59" w:rsidRPr="000A1337" w:rsidRDefault="000E4F59" w:rsidP="000E4F59">
            <w:pPr>
              <w:suppressAutoHyphens/>
              <w:ind w:right="78"/>
              <w:jc w:val="right"/>
              <w:rPr>
                <w:rFonts w:cs="Arial"/>
                <w:spacing w:val="-2"/>
              </w:rPr>
            </w:pPr>
            <w:r w:rsidRPr="000A1337">
              <w:rPr>
                <w:rFonts w:cs="Arial"/>
                <w:spacing w:val="-2"/>
              </w:rPr>
              <w:t>(40,546)</w:t>
            </w:r>
          </w:p>
        </w:tc>
      </w:tr>
      <w:tr w:rsidR="000E4F59" w:rsidRPr="00C328EF" w14:paraId="7CA0F31F" w14:textId="77777777" w:rsidTr="000D23EA">
        <w:tc>
          <w:tcPr>
            <w:tcW w:w="6629" w:type="dxa"/>
            <w:tcBorders>
              <w:top w:val="nil"/>
              <w:left w:val="nil"/>
              <w:bottom w:val="nil"/>
              <w:right w:val="nil"/>
            </w:tcBorders>
          </w:tcPr>
          <w:p w14:paraId="17C7539D" w14:textId="77777777" w:rsidR="000E4F59" w:rsidRPr="007121F8" w:rsidRDefault="000E4F59" w:rsidP="000E4F59">
            <w:pPr>
              <w:suppressAutoHyphens/>
              <w:rPr>
                <w:rFonts w:cs="Arial"/>
                <w:spacing w:val="-2"/>
              </w:rPr>
            </w:pPr>
            <w:r w:rsidRPr="007121F8">
              <w:rPr>
                <w:rFonts w:cs="Arial"/>
                <w:spacing w:val="-2"/>
              </w:rPr>
              <w:t>Actuarial losses in the fair value of defined benefit assets</w:t>
            </w:r>
          </w:p>
        </w:tc>
        <w:tc>
          <w:tcPr>
            <w:tcW w:w="2126" w:type="dxa"/>
            <w:tcBorders>
              <w:top w:val="nil"/>
              <w:left w:val="nil"/>
              <w:bottom w:val="nil"/>
              <w:right w:val="nil"/>
            </w:tcBorders>
          </w:tcPr>
          <w:p w14:paraId="54DF68C7" w14:textId="77777777" w:rsidR="000E4F59" w:rsidRPr="00C328EF" w:rsidRDefault="000A1337" w:rsidP="000E4F59">
            <w:pPr>
              <w:suppressAutoHyphens/>
              <w:ind w:right="78"/>
              <w:jc w:val="right"/>
              <w:rPr>
                <w:rFonts w:cs="Arial"/>
                <w:spacing w:val="-2"/>
                <w:highlight w:val="yellow"/>
              </w:rPr>
            </w:pPr>
            <w:r w:rsidRPr="000A1337">
              <w:rPr>
                <w:rFonts w:cs="Arial"/>
                <w:spacing w:val="-2"/>
              </w:rPr>
              <w:t>(31</w:t>
            </w:r>
            <w:r w:rsidR="000E4F59" w:rsidRPr="000A1337">
              <w:rPr>
                <w:rFonts w:cs="Arial"/>
                <w:spacing w:val="-2"/>
              </w:rPr>
              <w:t>,</w:t>
            </w:r>
            <w:r w:rsidRPr="000A1337">
              <w:rPr>
                <w:rFonts w:cs="Arial"/>
                <w:spacing w:val="-2"/>
              </w:rPr>
              <w:t>474)</w:t>
            </w:r>
          </w:p>
        </w:tc>
        <w:tc>
          <w:tcPr>
            <w:tcW w:w="1276" w:type="dxa"/>
            <w:tcBorders>
              <w:top w:val="nil"/>
              <w:left w:val="nil"/>
              <w:bottom w:val="nil"/>
              <w:right w:val="nil"/>
            </w:tcBorders>
          </w:tcPr>
          <w:p w14:paraId="19C383B8" w14:textId="77777777" w:rsidR="000E4F59" w:rsidRPr="000E4F59" w:rsidRDefault="000E4F59" w:rsidP="000E4F59">
            <w:pPr>
              <w:suppressAutoHyphens/>
              <w:ind w:right="78"/>
              <w:jc w:val="right"/>
              <w:rPr>
                <w:rFonts w:cs="Arial"/>
                <w:spacing w:val="-2"/>
              </w:rPr>
            </w:pPr>
            <w:r w:rsidRPr="000E4F59">
              <w:rPr>
                <w:rFonts w:cs="Arial"/>
                <w:spacing w:val="-2"/>
              </w:rPr>
              <w:t>(18,176)</w:t>
            </w:r>
          </w:p>
        </w:tc>
      </w:tr>
      <w:tr w:rsidR="000E4F59" w:rsidRPr="00C328EF" w14:paraId="131036EA" w14:textId="77777777" w:rsidTr="000D23EA">
        <w:tc>
          <w:tcPr>
            <w:tcW w:w="6629" w:type="dxa"/>
            <w:tcBorders>
              <w:top w:val="nil"/>
              <w:left w:val="nil"/>
              <w:bottom w:val="nil"/>
              <w:right w:val="nil"/>
            </w:tcBorders>
          </w:tcPr>
          <w:p w14:paraId="459BDED4" w14:textId="77777777" w:rsidR="000E4F59" w:rsidRPr="00C328EF" w:rsidRDefault="000E4F59" w:rsidP="000E4F59">
            <w:pPr>
              <w:suppressAutoHyphens/>
              <w:rPr>
                <w:rFonts w:cs="Arial"/>
                <w:spacing w:val="-2"/>
                <w:highlight w:val="yellow"/>
              </w:rPr>
            </w:pPr>
            <w:r w:rsidRPr="000E4F59">
              <w:t xml:space="preserve">Restrictions on assets recognised movement in </w:t>
            </w:r>
            <w:r w:rsidR="00366ADE">
              <w:t>period</w:t>
            </w:r>
          </w:p>
        </w:tc>
        <w:tc>
          <w:tcPr>
            <w:tcW w:w="2126" w:type="dxa"/>
            <w:tcBorders>
              <w:top w:val="nil"/>
              <w:left w:val="nil"/>
              <w:bottom w:val="nil"/>
              <w:right w:val="nil"/>
            </w:tcBorders>
          </w:tcPr>
          <w:p w14:paraId="07C03A85" w14:textId="77777777" w:rsidR="000E4F59" w:rsidRPr="000A1337" w:rsidRDefault="000A1337" w:rsidP="000E4F59">
            <w:pPr>
              <w:suppressAutoHyphens/>
              <w:ind w:right="78"/>
              <w:jc w:val="right"/>
              <w:rPr>
                <w:rFonts w:cs="Arial"/>
                <w:spacing w:val="-2"/>
              </w:rPr>
            </w:pPr>
            <w:r w:rsidRPr="000A1337">
              <w:rPr>
                <w:rFonts w:cs="Arial"/>
                <w:spacing w:val="-2"/>
              </w:rPr>
              <w:t>(36</w:t>
            </w:r>
            <w:r w:rsidR="000E4F59" w:rsidRPr="000A1337">
              <w:rPr>
                <w:rFonts w:cs="Arial"/>
                <w:spacing w:val="-2"/>
              </w:rPr>
              <w:t>,</w:t>
            </w:r>
            <w:r w:rsidRPr="000A1337">
              <w:rPr>
                <w:rFonts w:cs="Arial"/>
                <w:spacing w:val="-2"/>
              </w:rPr>
              <w:t>939)</w:t>
            </w:r>
          </w:p>
        </w:tc>
        <w:tc>
          <w:tcPr>
            <w:tcW w:w="1276" w:type="dxa"/>
            <w:tcBorders>
              <w:top w:val="nil"/>
              <w:left w:val="nil"/>
              <w:bottom w:val="nil"/>
              <w:right w:val="nil"/>
            </w:tcBorders>
          </w:tcPr>
          <w:p w14:paraId="7491A913" w14:textId="77777777" w:rsidR="000E4F59" w:rsidRPr="000E4F59" w:rsidRDefault="000E4F59" w:rsidP="000E4F59">
            <w:pPr>
              <w:suppressAutoHyphens/>
              <w:ind w:right="78"/>
              <w:jc w:val="right"/>
              <w:rPr>
                <w:rFonts w:cs="Arial"/>
                <w:spacing w:val="-2"/>
              </w:rPr>
            </w:pPr>
            <w:r w:rsidRPr="000E4F59">
              <w:rPr>
                <w:rFonts w:cs="Arial"/>
                <w:spacing w:val="-2"/>
              </w:rPr>
              <w:t>79,425</w:t>
            </w:r>
          </w:p>
        </w:tc>
      </w:tr>
      <w:tr w:rsidR="000E4F59" w:rsidRPr="00C328EF" w14:paraId="19752C44" w14:textId="77777777" w:rsidTr="000D23EA">
        <w:tc>
          <w:tcPr>
            <w:tcW w:w="6629" w:type="dxa"/>
            <w:tcBorders>
              <w:top w:val="nil"/>
              <w:left w:val="nil"/>
              <w:bottom w:val="nil"/>
              <w:right w:val="nil"/>
            </w:tcBorders>
          </w:tcPr>
          <w:p w14:paraId="70176FF8" w14:textId="77777777" w:rsidR="000E4F59" w:rsidRPr="00C328EF" w:rsidRDefault="000E4F59" w:rsidP="000E4F59">
            <w:pPr>
              <w:suppressAutoHyphens/>
              <w:rPr>
                <w:rFonts w:cs="Arial"/>
                <w:spacing w:val="-2"/>
                <w:highlight w:val="yellow"/>
              </w:rPr>
            </w:pPr>
          </w:p>
        </w:tc>
        <w:tc>
          <w:tcPr>
            <w:tcW w:w="2126" w:type="dxa"/>
            <w:tcBorders>
              <w:top w:val="nil"/>
              <w:left w:val="nil"/>
              <w:bottom w:val="nil"/>
              <w:right w:val="nil"/>
            </w:tcBorders>
          </w:tcPr>
          <w:p w14:paraId="4E2F6971" w14:textId="77777777" w:rsidR="000E4F59" w:rsidRPr="000A1337" w:rsidRDefault="000E4F59" w:rsidP="000E4F59">
            <w:pPr>
              <w:suppressAutoHyphens/>
              <w:ind w:right="78"/>
              <w:jc w:val="right"/>
              <w:rPr>
                <w:rFonts w:cs="Arial"/>
                <w:spacing w:val="-2"/>
              </w:rPr>
            </w:pPr>
            <w:r w:rsidRPr="000A1337">
              <w:rPr>
                <w:rFonts w:cs="Arial"/>
                <w:spacing w:val="-2"/>
              </w:rPr>
              <w:t>───────</w:t>
            </w:r>
          </w:p>
        </w:tc>
        <w:tc>
          <w:tcPr>
            <w:tcW w:w="1276" w:type="dxa"/>
            <w:tcBorders>
              <w:top w:val="nil"/>
              <w:left w:val="nil"/>
              <w:bottom w:val="nil"/>
              <w:right w:val="nil"/>
            </w:tcBorders>
          </w:tcPr>
          <w:p w14:paraId="0BECE0B5" w14:textId="77777777" w:rsidR="000E4F59" w:rsidRPr="000E4F59" w:rsidRDefault="000E4F59" w:rsidP="000E4F59">
            <w:pPr>
              <w:suppressAutoHyphens/>
              <w:ind w:right="78"/>
              <w:jc w:val="right"/>
              <w:rPr>
                <w:rFonts w:cs="Arial"/>
                <w:spacing w:val="-2"/>
              </w:rPr>
            </w:pPr>
            <w:r w:rsidRPr="000E4F59">
              <w:rPr>
                <w:rFonts w:cs="Arial"/>
                <w:spacing w:val="-2"/>
              </w:rPr>
              <w:t>───────</w:t>
            </w:r>
          </w:p>
        </w:tc>
      </w:tr>
      <w:tr w:rsidR="000E4F59" w:rsidRPr="00C328EF" w14:paraId="3511A18D" w14:textId="77777777" w:rsidTr="000D23EA">
        <w:tc>
          <w:tcPr>
            <w:tcW w:w="6629" w:type="dxa"/>
            <w:tcBorders>
              <w:top w:val="nil"/>
              <w:left w:val="nil"/>
              <w:bottom w:val="nil"/>
              <w:right w:val="nil"/>
            </w:tcBorders>
          </w:tcPr>
          <w:p w14:paraId="3F2FDC22" w14:textId="77777777" w:rsidR="000E4F59" w:rsidRPr="00C328EF" w:rsidRDefault="000E4F59" w:rsidP="000E4F59">
            <w:pPr>
              <w:suppressAutoHyphens/>
              <w:rPr>
                <w:rFonts w:cs="Arial"/>
                <w:spacing w:val="-2"/>
                <w:highlight w:val="yellow"/>
              </w:rPr>
            </w:pPr>
          </w:p>
        </w:tc>
        <w:tc>
          <w:tcPr>
            <w:tcW w:w="2126" w:type="dxa"/>
            <w:tcBorders>
              <w:top w:val="nil"/>
              <w:left w:val="nil"/>
              <w:bottom w:val="nil"/>
              <w:right w:val="nil"/>
            </w:tcBorders>
          </w:tcPr>
          <w:p w14:paraId="2A1CDD5E" w14:textId="77777777" w:rsidR="000E4F59" w:rsidRPr="000A1337" w:rsidRDefault="000A1337" w:rsidP="000E4F59">
            <w:pPr>
              <w:suppressAutoHyphens/>
              <w:ind w:right="78"/>
              <w:jc w:val="right"/>
              <w:rPr>
                <w:rFonts w:cs="Arial"/>
                <w:spacing w:val="-2"/>
              </w:rPr>
            </w:pPr>
            <w:r w:rsidRPr="000A1337">
              <w:rPr>
                <w:rFonts w:cs="Arial"/>
                <w:spacing w:val="-2"/>
              </w:rPr>
              <w:t>(18</w:t>
            </w:r>
            <w:r w:rsidR="000E4F59" w:rsidRPr="000A1337">
              <w:rPr>
                <w:rFonts w:cs="Arial"/>
                <w:spacing w:val="-2"/>
              </w:rPr>
              <w:t>,</w:t>
            </w:r>
            <w:r w:rsidRPr="000A1337">
              <w:rPr>
                <w:rFonts w:cs="Arial"/>
                <w:spacing w:val="-2"/>
              </w:rPr>
              <w:t>760)</w:t>
            </w:r>
          </w:p>
        </w:tc>
        <w:tc>
          <w:tcPr>
            <w:tcW w:w="1276" w:type="dxa"/>
            <w:tcBorders>
              <w:top w:val="nil"/>
              <w:left w:val="nil"/>
              <w:bottom w:val="nil"/>
              <w:right w:val="nil"/>
            </w:tcBorders>
          </w:tcPr>
          <w:p w14:paraId="306530E5" w14:textId="77777777" w:rsidR="000E4F59" w:rsidRPr="000E4F59" w:rsidRDefault="000E4F59" w:rsidP="000E4F59">
            <w:pPr>
              <w:suppressAutoHyphens/>
              <w:ind w:right="78"/>
              <w:jc w:val="right"/>
              <w:rPr>
                <w:rFonts w:cs="Arial"/>
                <w:spacing w:val="-2"/>
              </w:rPr>
            </w:pPr>
            <w:r w:rsidRPr="000E4F59">
              <w:rPr>
                <w:rFonts w:cs="Arial"/>
                <w:spacing w:val="-2"/>
              </w:rPr>
              <w:t>20,703</w:t>
            </w:r>
          </w:p>
        </w:tc>
      </w:tr>
      <w:tr w:rsidR="000E4F59" w:rsidRPr="00C328EF" w14:paraId="6EBD54CB" w14:textId="77777777" w:rsidTr="000D23EA">
        <w:tc>
          <w:tcPr>
            <w:tcW w:w="6629" w:type="dxa"/>
            <w:tcBorders>
              <w:top w:val="nil"/>
              <w:left w:val="nil"/>
              <w:bottom w:val="nil"/>
              <w:right w:val="nil"/>
            </w:tcBorders>
          </w:tcPr>
          <w:p w14:paraId="006F6855" w14:textId="77777777" w:rsidR="000E4F59" w:rsidRPr="00C328EF" w:rsidRDefault="000E4F59" w:rsidP="000E4F59">
            <w:pPr>
              <w:suppressAutoHyphens/>
              <w:rPr>
                <w:rFonts w:cs="Arial"/>
                <w:spacing w:val="-2"/>
                <w:highlight w:val="yellow"/>
              </w:rPr>
            </w:pPr>
          </w:p>
        </w:tc>
        <w:tc>
          <w:tcPr>
            <w:tcW w:w="2126" w:type="dxa"/>
            <w:tcBorders>
              <w:top w:val="nil"/>
              <w:left w:val="nil"/>
              <w:bottom w:val="nil"/>
              <w:right w:val="nil"/>
            </w:tcBorders>
          </w:tcPr>
          <w:p w14:paraId="4D022AA4" w14:textId="77777777" w:rsidR="000E4F59" w:rsidRPr="000A1337" w:rsidRDefault="000E4F59" w:rsidP="000E4F59">
            <w:pPr>
              <w:suppressAutoHyphens/>
              <w:ind w:right="78"/>
              <w:jc w:val="right"/>
              <w:rPr>
                <w:rFonts w:cs="Arial"/>
                <w:spacing w:val="-2"/>
              </w:rPr>
            </w:pPr>
            <w:r w:rsidRPr="000A1337">
              <w:rPr>
                <w:rFonts w:cs="Arial"/>
                <w:spacing w:val="-2"/>
              </w:rPr>
              <w:t>══════</w:t>
            </w:r>
          </w:p>
        </w:tc>
        <w:tc>
          <w:tcPr>
            <w:tcW w:w="1276" w:type="dxa"/>
            <w:tcBorders>
              <w:top w:val="nil"/>
              <w:left w:val="nil"/>
              <w:bottom w:val="nil"/>
              <w:right w:val="nil"/>
            </w:tcBorders>
          </w:tcPr>
          <w:p w14:paraId="672AC465" w14:textId="77777777" w:rsidR="000E4F59" w:rsidRPr="000E4F59" w:rsidRDefault="000E4F59" w:rsidP="000E4F59">
            <w:pPr>
              <w:suppressAutoHyphens/>
              <w:ind w:right="78"/>
              <w:jc w:val="right"/>
              <w:rPr>
                <w:rFonts w:cs="Arial"/>
                <w:spacing w:val="-2"/>
              </w:rPr>
            </w:pPr>
            <w:r w:rsidRPr="000E4F59">
              <w:rPr>
                <w:rFonts w:cs="Arial"/>
                <w:spacing w:val="-2"/>
              </w:rPr>
              <w:t>══════</w:t>
            </w:r>
          </w:p>
        </w:tc>
      </w:tr>
      <w:tr w:rsidR="00842A3B" w:rsidRPr="00C328EF" w14:paraId="20F687FA" w14:textId="77777777" w:rsidTr="000D23EA">
        <w:tc>
          <w:tcPr>
            <w:tcW w:w="6629" w:type="dxa"/>
            <w:tcBorders>
              <w:top w:val="nil"/>
              <w:left w:val="nil"/>
              <w:bottom w:val="nil"/>
              <w:right w:val="nil"/>
            </w:tcBorders>
          </w:tcPr>
          <w:p w14:paraId="706AE47B" w14:textId="77777777" w:rsidR="00842A3B" w:rsidRPr="00C328EF" w:rsidRDefault="00842A3B" w:rsidP="00842A3B">
            <w:pPr>
              <w:suppressAutoHyphens/>
              <w:rPr>
                <w:rFonts w:cs="Arial"/>
                <w:spacing w:val="-2"/>
                <w:highlight w:val="yellow"/>
              </w:rPr>
            </w:pPr>
          </w:p>
        </w:tc>
        <w:tc>
          <w:tcPr>
            <w:tcW w:w="2126" w:type="dxa"/>
            <w:tcBorders>
              <w:top w:val="nil"/>
              <w:left w:val="nil"/>
              <w:bottom w:val="nil"/>
              <w:right w:val="nil"/>
            </w:tcBorders>
          </w:tcPr>
          <w:p w14:paraId="4FCC42E3" w14:textId="77777777" w:rsidR="00842A3B" w:rsidRPr="00C328EF" w:rsidRDefault="00842A3B" w:rsidP="00842A3B">
            <w:pPr>
              <w:suppressAutoHyphens/>
              <w:ind w:right="78"/>
              <w:jc w:val="right"/>
              <w:rPr>
                <w:rFonts w:cs="Arial"/>
                <w:spacing w:val="-2"/>
                <w:highlight w:val="yellow"/>
              </w:rPr>
            </w:pPr>
          </w:p>
        </w:tc>
        <w:tc>
          <w:tcPr>
            <w:tcW w:w="1276" w:type="dxa"/>
            <w:tcBorders>
              <w:top w:val="nil"/>
              <w:left w:val="nil"/>
              <w:bottom w:val="nil"/>
              <w:right w:val="nil"/>
            </w:tcBorders>
          </w:tcPr>
          <w:p w14:paraId="6A2ED036" w14:textId="77777777" w:rsidR="00842A3B" w:rsidRPr="00C328EF" w:rsidRDefault="00842A3B" w:rsidP="00842A3B">
            <w:pPr>
              <w:suppressAutoHyphens/>
              <w:ind w:right="78"/>
              <w:jc w:val="right"/>
              <w:rPr>
                <w:rFonts w:cs="Arial"/>
                <w:spacing w:val="-2"/>
                <w:highlight w:val="yellow"/>
              </w:rPr>
            </w:pPr>
          </w:p>
        </w:tc>
      </w:tr>
    </w:tbl>
    <w:p w14:paraId="2CCB4BED" w14:textId="77777777" w:rsidR="00741125" w:rsidRPr="000E4F59" w:rsidRDefault="00741125" w:rsidP="00741125">
      <w:pPr>
        <w:jc w:val="both"/>
      </w:pPr>
      <w:r w:rsidRPr="000E4F59">
        <w:t>The principal actuarial assumptions used in this valuation were: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126"/>
        <w:gridCol w:w="1276"/>
      </w:tblGrid>
      <w:tr w:rsidR="00936BEF" w:rsidRPr="000E4F59" w14:paraId="35EA772F" w14:textId="77777777" w:rsidTr="00936BEF">
        <w:tc>
          <w:tcPr>
            <w:tcW w:w="6629" w:type="dxa"/>
            <w:tcBorders>
              <w:top w:val="nil"/>
              <w:left w:val="nil"/>
              <w:bottom w:val="nil"/>
              <w:right w:val="nil"/>
            </w:tcBorders>
          </w:tcPr>
          <w:p w14:paraId="0E2C8F3A" w14:textId="77777777" w:rsidR="00936BEF" w:rsidRPr="000E4F59" w:rsidRDefault="00936BEF" w:rsidP="00936BEF">
            <w:pPr>
              <w:suppressAutoHyphens/>
              <w:rPr>
                <w:rFonts w:cs="Arial"/>
                <w:spacing w:val="-2"/>
              </w:rPr>
            </w:pPr>
          </w:p>
        </w:tc>
        <w:tc>
          <w:tcPr>
            <w:tcW w:w="2126" w:type="dxa"/>
            <w:tcBorders>
              <w:top w:val="nil"/>
              <w:left w:val="nil"/>
              <w:bottom w:val="nil"/>
              <w:right w:val="nil"/>
            </w:tcBorders>
          </w:tcPr>
          <w:p w14:paraId="5E7F6C86" w14:textId="77777777" w:rsidR="00936BEF" w:rsidRPr="000E4F59" w:rsidRDefault="00936BEF" w:rsidP="00936BEF">
            <w:pPr>
              <w:ind w:left="188" w:right="-57" w:hanging="188"/>
              <w:jc w:val="right"/>
              <w:rPr>
                <w:b/>
              </w:rPr>
            </w:pPr>
            <w:r>
              <w:rPr>
                <w:rFonts w:cs="Arial"/>
                <w:b/>
                <w:spacing w:val="-2"/>
              </w:rPr>
              <w:t>28/12/</w:t>
            </w:r>
            <w:r w:rsidRPr="000E4F59">
              <w:rPr>
                <w:rFonts w:cs="Arial"/>
                <w:b/>
                <w:spacing w:val="-2"/>
              </w:rPr>
              <w:t>202</w:t>
            </w:r>
            <w:r>
              <w:rPr>
                <w:rFonts w:cs="Arial"/>
                <w:b/>
                <w:spacing w:val="-2"/>
              </w:rPr>
              <w:t>4</w:t>
            </w:r>
          </w:p>
        </w:tc>
        <w:tc>
          <w:tcPr>
            <w:tcW w:w="1276" w:type="dxa"/>
            <w:tcBorders>
              <w:top w:val="nil"/>
              <w:left w:val="nil"/>
              <w:bottom w:val="nil"/>
              <w:right w:val="nil"/>
            </w:tcBorders>
          </w:tcPr>
          <w:p w14:paraId="59734352" w14:textId="77777777" w:rsidR="00936BEF" w:rsidRPr="000E4F59" w:rsidRDefault="00936BEF" w:rsidP="00936BEF">
            <w:pPr>
              <w:ind w:right="-57"/>
              <w:jc w:val="right"/>
              <w:rPr>
                <w:b/>
              </w:rPr>
            </w:pPr>
            <w:r>
              <w:rPr>
                <w:rFonts w:cs="Arial"/>
                <w:b/>
                <w:spacing w:val="-2"/>
              </w:rPr>
              <w:t>30/12/</w:t>
            </w:r>
            <w:r w:rsidRPr="000E4F59">
              <w:rPr>
                <w:rFonts w:cs="Arial"/>
                <w:b/>
                <w:spacing w:val="-2"/>
              </w:rPr>
              <w:t>202</w:t>
            </w:r>
            <w:r>
              <w:rPr>
                <w:rFonts w:cs="Arial"/>
                <w:b/>
                <w:spacing w:val="-2"/>
              </w:rPr>
              <w:t>3</w:t>
            </w:r>
          </w:p>
        </w:tc>
      </w:tr>
      <w:tr w:rsidR="000E4F59" w:rsidRPr="000E4F59" w14:paraId="07D5600A" w14:textId="77777777" w:rsidTr="00936BEF">
        <w:tc>
          <w:tcPr>
            <w:tcW w:w="6629" w:type="dxa"/>
            <w:tcBorders>
              <w:top w:val="nil"/>
              <w:left w:val="nil"/>
              <w:bottom w:val="nil"/>
              <w:right w:val="nil"/>
            </w:tcBorders>
          </w:tcPr>
          <w:p w14:paraId="7EEB0A1B" w14:textId="77777777" w:rsidR="000E4F59" w:rsidRPr="000E4F59" w:rsidRDefault="000E4F59" w:rsidP="000E4F59">
            <w:pPr>
              <w:jc w:val="both"/>
            </w:pPr>
            <w:r w:rsidRPr="000E4F59">
              <w:t>Inflation/pension increase rate</w:t>
            </w:r>
          </w:p>
        </w:tc>
        <w:tc>
          <w:tcPr>
            <w:tcW w:w="2126" w:type="dxa"/>
            <w:tcBorders>
              <w:top w:val="nil"/>
              <w:left w:val="nil"/>
              <w:bottom w:val="nil"/>
              <w:right w:val="nil"/>
            </w:tcBorders>
          </w:tcPr>
          <w:p w14:paraId="19EFAB51" w14:textId="77777777" w:rsidR="000E4F59" w:rsidRPr="000E4F59" w:rsidRDefault="000E4F59" w:rsidP="000E4F59">
            <w:pPr>
              <w:suppressAutoHyphens/>
              <w:ind w:right="78"/>
              <w:jc w:val="right"/>
              <w:rPr>
                <w:rFonts w:cs="Arial"/>
                <w:spacing w:val="-2"/>
              </w:rPr>
            </w:pPr>
            <w:r w:rsidRPr="000E4F59">
              <w:rPr>
                <w:rFonts w:cs="Arial"/>
                <w:spacing w:val="-2"/>
              </w:rPr>
              <w:t>2.75%</w:t>
            </w:r>
          </w:p>
        </w:tc>
        <w:tc>
          <w:tcPr>
            <w:tcW w:w="1276" w:type="dxa"/>
            <w:tcBorders>
              <w:top w:val="nil"/>
              <w:left w:val="nil"/>
              <w:bottom w:val="nil"/>
              <w:right w:val="nil"/>
            </w:tcBorders>
          </w:tcPr>
          <w:p w14:paraId="1A8BFF7F" w14:textId="77777777" w:rsidR="000E4F59" w:rsidRPr="000E4F59" w:rsidRDefault="000E4F59" w:rsidP="000E4F59">
            <w:pPr>
              <w:suppressAutoHyphens/>
              <w:ind w:right="78"/>
              <w:jc w:val="right"/>
              <w:rPr>
                <w:rFonts w:cs="Arial"/>
                <w:spacing w:val="-2"/>
              </w:rPr>
            </w:pPr>
            <w:r w:rsidRPr="000E4F59">
              <w:rPr>
                <w:rFonts w:cs="Arial"/>
                <w:spacing w:val="-2"/>
              </w:rPr>
              <w:t>2.85%</w:t>
            </w:r>
          </w:p>
        </w:tc>
      </w:tr>
      <w:tr w:rsidR="000E4F59" w:rsidRPr="000E4F59" w14:paraId="36A7B3E3" w14:textId="77777777" w:rsidTr="00936BEF">
        <w:tc>
          <w:tcPr>
            <w:tcW w:w="6629" w:type="dxa"/>
            <w:tcBorders>
              <w:top w:val="nil"/>
              <w:left w:val="nil"/>
              <w:bottom w:val="nil"/>
              <w:right w:val="nil"/>
            </w:tcBorders>
          </w:tcPr>
          <w:p w14:paraId="1FD21C41" w14:textId="77777777" w:rsidR="000E4F59" w:rsidRPr="000E4F59" w:rsidRDefault="000E4F59" w:rsidP="000E4F59">
            <w:pPr>
              <w:jc w:val="both"/>
            </w:pPr>
            <w:r w:rsidRPr="000E4F59">
              <w:t>Salary increase rate</w:t>
            </w:r>
          </w:p>
        </w:tc>
        <w:tc>
          <w:tcPr>
            <w:tcW w:w="2126" w:type="dxa"/>
            <w:tcBorders>
              <w:top w:val="nil"/>
              <w:left w:val="nil"/>
              <w:bottom w:val="nil"/>
              <w:right w:val="nil"/>
            </w:tcBorders>
          </w:tcPr>
          <w:p w14:paraId="5A929B11" w14:textId="77777777" w:rsidR="000E4F59" w:rsidRPr="000E4F59" w:rsidRDefault="000E4F59" w:rsidP="000E4F59">
            <w:pPr>
              <w:suppressAutoHyphens/>
              <w:ind w:right="78"/>
              <w:jc w:val="right"/>
              <w:rPr>
                <w:rFonts w:cs="Arial"/>
                <w:spacing w:val="-2"/>
              </w:rPr>
            </w:pPr>
            <w:r w:rsidRPr="000E4F59">
              <w:rPr>
                <w:rFonts w:cs="Arial"/>
                <w:spacing w:val="-2"/>
              </w:rPr>
              <w:t>3.45%</w:t>
            </w:r>
          </w:p>
        </w:tc>
        <w:tc>
          <w:tcPr>
            <w:tcW w:w="1276" w:type="dxa"/>
            <w:tcBorders>
              <w:top w:val="nil"/>
              <w:left w:val="nil"/>
              <w:bottom w:val="nil"/>
              <w:right w:val="nil"/>
            </w:tcBorders>
          </w:tcPr>
          <w:p w14:paraId="4553B085" w14:textId="77777777" w:rsidR="000E4F59" w:rsidRPr="000E4F59" w:rsidRDefault="000E4F59" w:rsidP="000E4F59">
            <w:pPr>
              <w:suppressAutoHyphens/>
              <w:ind w:right="78"/>
              <w:jc w:val="right"/>
              <w:rPr>
                <w:rFonts w:cs="Arial"/>
                <w:spacing w:val="-2"/>
              </w:rPr>
            </w:pPr>
            <w:r w:rsidRPr="000E4F59">
              <w:rPr>
                <w:rFonts w:cs="Arial"/>
                <w:spacing w:val="-2"/>
              </w:rPr>
              <w:t>3.35%</w:t>
            </w:r>
          </w:p>
        </w:tc>
      </w:tr>
      <w:tr w:rsidR="000E4F59" w:rsidRPr="000E4F59" w14:paraId="1989CB53" w14:textId="77777777" w:rsidTr="00936BEF">
        <w:trPr>
          <w:trHeight w:val="87"/>
        </w:trPr>
        <w:tc>
          <w:tcPr>
            <w:tcW w:w="6629" w:type="dxa"/>
            <w:tcBorders>
              <w:top w:val="nil"/>
              <w:left w:val="nil"/>
              <w:bottom w:val="nil"/>
              <w:right w:val="nil"/>
            </w:tcBorders>
          </w:tcPr>
          <w:p w14:paraId="5AACCF93" w14:textId="77777777" w:rsidR="000E4F59" w:rsidRPr="000E4F59" w:rsidRDefault="000E4F59" w:rsidP="000E4F59">
            <w:pPr>
              <w:jc w:val="both"/>
            </w:pPr>
            <w:r w:rsidRPr="000E4F59">
              <w:t>Discount rate</w:t>
            </w:r>
          </w:p>
        </w:tc>
        <w:tc>
          <w:tcPr>
            <w:tcW w:w="2126" w:type="dxa"/>
            <w:tcBorders>
              <w:top w:val="nil"/>
              <w:left w:val="nil"/>
              <w:bottom w:val="nil"/>
              <w:right w:val="nil"/>
            </w:tcBorders>
          </w:tcPr>
          <w:p w14:paraId="32A41883" w14:textId="77777777" w:rsidR="000E4F59" w:rsidRPr="000E4F59" w:rsidRDefault="000E4F59" w:rsidP="000E4F59">
            <w:pPr>
              <w:suppressAutoHyphens/>
              <w:ind w:right="78"/>
              <w:jc w:val="right"/>
              <w:rPr>
                <w:rFonts w:cs="Arial"/>
                <w:spacing w:val="-2"/>
              </w:rPr>
            </w:pPr>
            <w:r w:rsidRPr="000E4F59">
              <w:rPr>
                <w:rFonts w:cs="Arial"/>
                <w:spacing w:val="-2"/>
              </w:rPr>
              <w:t>5.50%</w:t>
            </w:r>
          </w:p>
        </w:tc>
        <w:tc>
          <w:tcPr>
            <w:tcW w:w="1276" w:type="dxa"/>
            <w:tcBorders>
              <w:top w:val="nil"/>
              <w:left w:val="nil"/>
              <w:bottom w:val="nil"/>
              <w:right w:val="nil"/>
            </w:tcBorders>
          </w:tcPr>
          <w:p w14:paraId="5C4D38D3" w14:textId="77777777" w:rsidR="000E4F59" w:rsidRPr="000E4F59" w:rsidRDefault="000E4F59" w:rsidP="000E4F59">
            <w:pPr>
              <w:suppressAutoHyphens/>
              <w:ind w:right="78"/>
              <w:jc w:val="right"/>
              <w:rPr>
                <w:rFonts w:cs="Arial"/>
                <w:spacing w:val="-2"/>
              </w:rPr>
            </w:pPr>
            <w:r w:rsidRPr="000E4F59">
              <w:rPr>
                <w:rFonts w:cs="Arial"/>
                <w:spacing w:val="-2"/>
              </w:rPr>
              <w:t>4.55%</w:t>
            </w:r>
          </w:p>
        </w:tc>
      </w:tr>
    </w:tbl>
    <w:p w14:paraId="5649EC5E" w14:textId="77777777" w:rsidR="00741125" w:rsidRPr="000E4F59" w:rsidRDefault="00741125" w:rsidP="00741125">
      <w:pPr>
        <w:jc w:val="both"/>
      </w:pPr>
    </w:p>
    <w:p w14:paraId="6CFDBB58" w14:textId="77777777" w:rsidR="00F31584" w:rsidRPr="000E4F59" w:rsidRDefault="00F31584" w:rsidP="00F31584">
      <w:pPr>
        <w:jc w:val="both"/>
      </w:pPr>
      <w:r w:rsidRPr="000E4F59">
        <w:t>The assumptions used by the actuary are the best estimates chosen from a range of possible actuarial assumptions which, due to the timescale covered, may not necessarily be borne out in practice. Best estimate has been interpreted to mean that the proposed assumptions are ‘neutral’ – there is an equal chance of actual experience being better or worse than the assumptions proposed.</w:t>
      </w:r>
    </w:p>
    <w:p w14:paraId="5D092012" w14:textId="77777777" w:rsidR="00F31584" w:rsidRPr="000E4F59" w:rsidRDefault="00F31584" w:rsidP="00F31584">
      <w:pPr>
        <w:jc w:val="both"/>
      </w:pPr>
    </w:p>
    <w:p w14:paraId="42202B2E" w14:textId="77777777" w:rsidR="00F31584" w:rsidRPr="00C328EF" w:rsidRDefault="00F31584" w:rsidP="00F31584">
      <w:pPr>
        <w:jc w:val="both"/>
        <w:rPr>
          <w:highlight w:val="yellow"/>
        </w:rPr>
      </w:pPr>
      <w:r w:rsidRPr="000E4F59">
        <w:t xml:space="preserve">The pension increase assumption is in line with the Consumer Price Index (CPI). </w:t>
      </w:r>
      <w:r w:rsidR="00260366" w:rsidRPr="000E4F59">
        <w:t>The CPI assumption is calculated as RPI less 0.3</w:t>
      </w:r>
      <w:r w:rsidR="000E4F59" w:rsidRPr="000E4F59">
        <w:t>0</w:t>
      </w:r>
      <w:r w:rsidR="00260366" w:rsidRPr="000E4F59">
        <w:t>% over medium durations (202</w:t>
      </w:r>
      <w:r w:rsidR="000E4F59" w:rsidRPr="000E4F59">
        <w:t>3</w:t>
      </w:r>
      <w:r w:rsidR="00260366" w:rsidRPr="000E4F59">
        <w:t>: 0.</w:t>
      </w:r>
      <w:r w:rsidR="009E1679" w:rsidRPr="000E4F59">
        <w:t>3</w:t>
      </w:r>
      <w:r w:rsidR="00260366" w:rsidRPr="000E4F59">
        <w:t>5%).</w:t>
      </w:r>
    </w:p>
    <w:p w14:paraId="672558FA" w14:textId="77777777" w:rsidR="00C95FAF" w:rsidRPr="000E4F59" w:rsidRDefault="00C95FAF" w:rsidP="00356E0A">
      <w:pPr>
        <w:rPr>
          <w:b/>
        </w:rPr>
      </w:pPr>
    </w:p>
    <w:p w14:paraId="1ED363C9" w14:textId="77777777" w:rsidR="00C95FAF" w:rsidRPr="000E4F59" w:rsidRDefault="00C95FAF" w:rsidP="00C95FAF">
      <w:pPr>
        <w:jc w:val="both"/>
      </w:pPr>
      <w:r w:rsidRPr="000E4F59">
        <w:t xml:space="preserve">The sensitivity of the overall pension liability to changes in the weighted principal assumptions is: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418"/>
        <w:gridCol w:w="1701"/>
        <w:gridCol w:w="1559"/>
        <w:gridCol w:w="1418"/>
      </w:tblGrid>
      <w:tr w:rsidR="00496903" w:rsidRPr="000E4F59" w14:paraId="3CF8F8AE" w14:textId="77777777" w:rsidTr="000D23EA">
        <w:tc>
          <w:tcPr>
            <w:tcW w:w="4077" w:type="dxa"/>
            <w:tcBorders>
              <w:top w:val="nil"/>
              <w:left w:val="nil"/>
              <w:bottom w:val="nil"/>
              <w:right w:val="nil"/>
            </w:tcBorders>
          </w:tcPr>
          <w:p w14:paraId="2EA7DE40" w14:textId="77777777" w:rsidR="00496903" w:rsidRPr="000E4F59" w:rsidRDefault="00496903" w:rsidP="00496903">
            <w:pPr>
              <w:suppressAutoHyphens/>
              <w:rPr>
                <w:rFonts w:cs="Arial"/>
                <w:spacing w:val="-2"/>
              </w:rPr>
            </w:pPr>
          </w:p>
          <w:p w14:paraId="79061AFB" w14:textId="77777777" w:rsidR="00496903" w:rsidRPr="000E4F59" w:rsidRDefault="00496903" w:rsidP="00496903">
            <w:pPr>
              <w:suppressAutoHyphens/>
              <w:rPr>
                <w:rFonts w:cs="Arial"/>
                <w:spacing w:val="-2"/>
              </w:rPr>
            </w:pPr>
            <w:r w:rsidRPr="000E4F59">
              <w:rPr>
                <w:rFonts w:cs="Arial"/>
                <w:b/>
                <w:spacing w:val="-2"/>
              </w:rPr>
              <w:t>Change in assumption</w:t>
            </w:r>
          </w:p>
        </w:tc>
        <w:tc>
          <w:tcPr>
            <w:tcW w:w="3119" w:type="dxa"/>
            <w:gridSpan w:val="2"/>
            <w:tcBorders>
              <w:top w:val="nil"/>
              <w:left w:val="nil"/>
              <w:bottom w:val="nil"/>
              <w:right w:val="nil"/>
            </w:tcBorders>
          </w:tcPr>
          <w:p w14:paraId="7A46184D" w14:textId="77777777" w:rsidR="00496903" w:rsidRPr="000E4F59" w:rsidRDefault="00496903" w:rsidP="00496903">
            <w:pPr>
              <w:suppressAutoHyphens/>
              <w:jc w:val="center"/>
              <w:rPr>
                <w:rFonts w:cs="Arial"/>
                <w:b/>
                <w:spacing w:val="-2"/>
              </w:rPr>
            </w:pPr>
          </w:p>
          <w:p w14:paraId="6E1F2B65" w14:textId="77777777" w:rsidR="002A6B26" w:rsidRPr="000E4F59" w:rsidRDefault="00496903" w:rsidP="002A6B26">
            <w:pPr>
              <w:suppressAutoHyphens/>
              <w:jc w:val="center"/>
              <w:rPr>
                <w:rFonts w:cs="Arial"/>
                <w:b/>
                <w:spacing w:val="-2"/>
              </w:rPr>
            </w:pPr>
            <w:r w:rsidRPr="000E4F59">
              <w:rPr>
                <w:rFonts w:cs="Arial"/>
                <w:b/>
                <w:spacing w:val="-2"/>
              </w:rPr>
              <w:t>Approximate increase to employer asset</w:t>
            </w:r>
          </w:p>
          <w:p w14:paraId="3CD0B169" w14:textId="77777777" w:rsidR="00496903" w:rsidRPr="000E4F59" w:rsidRDefault="002A6B26" w:rsidP="002A6B26">
            <w:pPr>
              <w:suppressAutoHyphens/>
              <w:jc w:val="center"/>
              <w:rPr>
                <w:rFonts w:cs="Arial"/>
                <w:b/>
                <w:spacing w:val="-2"/>
              </w:rPr>
            </w:pPr>
            <w:r w:rsidRPr="000E4F59">
              <w:rPr>
                <w:rFonts w:cs="Arial"/>
                <w:b/>
                <w:spacing w:val="-2"/>
              </w:rPr>
              <w:t>%</w:t>
            </w:r>
          </w:p>
        </w:tc>
        <w:tc>
          <w:tcPr>
            <w:tcW w:w="2977" w:type="dxa"/>
            <w:gridSpan w:val="2"/>
            <w:tcBorders>
              <w:top w:val="nil"/>
              <w:left w:val="nil"/>
              <w:bottom w:val="nil"/>
              <w:right w:val="nil"/>
            </w:tcBorders>
          </w:tcPr>
          <w:p w14:paraId="2D32DC64" w14:textId="77777777" w:rsidR="00496903" w:rsidRPr="000E4F59" w:rsidRDefault="00496903" w:rsidP="00496903">
            <w:pPr>
              <w:suppressAutoHyphens/>
              <w:jc w:val="center"/>
              <w:rPr>
                <w:rFonts w:cs="Arial"/>
                <w:b/>
                <w:spacing w:val="-2"/>
              </w:rPr>
            </w:pPr>
          </w:p>
          <w:p w14:paraId="133DBA9A" w14:textId="77777777" w:rsidR="002A6B26" w:rsidRPr="000E4F59" w:rsidRDefault="00496903" w:rsidP="002A6B26">
            <w:pPr>
              <w:suppressAutoHyphens/>
              <w:jc w:val="center"/>
              <w:rPr>
                <w:rFonts w:cs="Arial"/>
                <w:b/>
                <w:spacing w:val="-2"/>
              </w:rPr>
            </w:pPr>
            <w:r w:rsidRPr="000E4F59">
              <w:rPr>
                <w:rFonts w:cs="Arial"/>
                <w:b/>
                <w:spacing w:val="-2"/>
              </w:rPr>
              <w:t>Approximate increase to employer asset</w:t>
            </w:r>
          </w:p>
          <w:p w14:paraId="422C6A5B" w14:textId="77777777" w:rsidR="00496903" w:rsidRPr="000E4F59" w:rsidRDefault="00496903" w:rsidP="002A6B26">
            <w:pPr>
              <w:suppressAutoHyphens/>
              <w:jc w:val="center"/>
              <w:rPr>
                <w:rFonts w:cs="Arial"/>
                <w:b/>
                <w:spacing w:val="-2"/>
              </w:rPr>
            </w:pPr>
            <w:r w:rsidRPr="000E4F59">
              <w:rPr>
                <w:rFonts w:cs="Arial"/>
                <w:b/>
                <w:spacing w:val="-2"/>
              </w:rPr>
              <w:t xml:space="preserve"> £’000</w:t>
            </w:r>
          </w:p>
        </w:tc>
      </w:tr>
      <w:tr w:rsidR="0018475F" w:rsidRPr="00C328EF" w14:paraId="2B48E9C7" w14:textId="77777777" w:rsidTr="000D23EA">
        <w:tc>
          <w:tcPr>
            <w:tcW w:w="4077" w:type="dxa"/>
            <w:tcBorders>
              <w:top w:val="nil"/>
              <w:left w:val="nil"/>
              <w:bottom w:val="nil"/>
              <w:right w:val="nil"/>
            </w:tcBorders>
          </w:tcPr>
          <w:p w14:paraId="3668F9F6" w14:textId="77777777" w:rsidR="0018475F" w:rsidRPr="004D6B9E" w:rsidRDefault="0018475F" w:rsidP="0018475F">
            <w:pPr>
              <w:suppressAutoHyphens/>
              <w:rPr>
                <w:rFonts w:cs="Arial"/>
                <w:spacing w:val="-2"/>
              </w:rPr>
            </w:pPr>
          </w:p>
        </w:tc>
        <w:tc>
          <w:tcPr>
            <w:tcW w:w="1418" w:type="dxa"/>
            <w:tcBorders>
              <w:top w:val="nil"/>
              <w:left w:val="nil"/>
              <w:bottom w:val="nil"/>
              <w:right w:val="nil"/>
            </w:tcBorders>
          </w:tcPr>
          <w:p w14:paraId="744A2888" w14:textId="77777777" w:rsidR="0018475F" w:rsidRPr="004D6B9E" w:rsidRDefault="003B7A8B" w:rsidP="0018475F">
            <w:pPr>
              <w:suppressAutoHyphens/>
              <w:jc w:val="right"/>
              <w:rPr>
                <w:rFonts w:cs="Arial"/>
                <w:b/>
                <w:spacing w:val="-2"/>
              </w:rPr>
            </w:pPr>
            <w:r>
              <w:rPr>
                <w:rFonts w:cs="Arial"/>
                <w:b/>
                <w:spacing w:val="-2"/>
              </w:rPr>
              <w:t>28/12/</w:t>
            </w:r>
            <w:r w:rsidR="0018475F" w:rsidRPr="004D6B9E">
              <w:rPr>
                <w:rFonts w:cs="Arial"/>
                <w:b/>
                <w:spacing w:val="-2"/>
              </w:rPr>
              <w:t>20</w:t>
            </w:r>
            <w:r w:rsidR="000B7766" w:rsidRPr="004D6B9E">
              <w:rPr>
                <w:rFonts w:cs="Arial"/>
                <w:b/>
                <w:spacing w:val="-2"/>
              </w:rPr>
              <w:t>2</w:t>
            </w:r>
            <w:r w:rsidR="004D6B9E" w:rsidRPr="004D6B9E">
              <w:rPr>
                <w:rFonts w:cs="Arial"/>
                <w:b/>
                <w:spacing w:val="-2"/>
              </w:rPr>
              <w:t>4</w:t>
            </w:r>
          </w:p>
        </w:tc>
        <w:tc>
          <w:tcPr>
            <w:tcW w:w="1701" w:type="dxa"/>
            <w:tcBorders>
              <w:top w:val="nil"/>
              <w:left w:val="nil"/>
              <w:bottom w:val="nil"/>
              <w:right w:val="nil"/>
            </w:tcBorders>
          </w:tcPr>
          <w:p w14:paraId="5C01E543" w14:textId="77777777" w:rsidR="0018475F" w:rsidRPr="004D6B9E" w:rsidRDefault="003B7A8B" w:rsidP="0018475F">
            <w:pPr>
              <w:suppressAutoHyphens/>
              <w:jc w:val="right"/>
              <w:rPr>
                <w:rFonts w:cs="Arial"/>
                <w:b/>
                <w:spacing w:val="-2"/>
              </w:rPr>
            </w:pPr>
            <w:r>
              <w:rPr>
                <w:rFonts w:cs="Arial"/>
                <w:b/>
                <w:spacing w:val="-2"/>
              </w:rPr>
              <w:t>30/12/</w:t>
            </w:r>
            <w:r w:rsidR="0018475F" w:rsidRPr="004D6B9E">
              <w:rPr>
                <w:rFonts w:cs="Arial"/>
                <w:b/>
                <w:spacing w:val="-2"/>
              </w:rPr>
              <w:t>20</w:t>
            </w:r>
            <w:r w:rsidR="00EA3087" w:rsidRPr="004D6B9E">
              <w:rPr>
                <w:rFonts w:cs="Arial"/>
                <w:b/>
                <w:spacing w:val="-2"/>
              </w:rPr>
              <w:t>2</w:t>
            </w:r>
            <w:r w:rsidR="004D6B9E" w:rsidRPr="004D6B9E">
              <w:rPr>
                <w:rFonts w:cs="Arial"/>
                <w:b/>
                <w:spacing w:val="-2"/>
              </w:rPr>
              <w:t>3</w:t>
            </w:r>
          </w:p>
        </w:tc>
        <w:tc>
          <w:tcPr>
            <w:tcW w:w="1559" w:type="dxa"/>
            <w:tcBorders>
              <w:top w:val="nil"/>
              <w:left w:val="nil"/>
              <w:bottom w:val="nil"/>
              <w:right w:val="nil"/>
            </w:tcBorders>
          </w:tcPr>
          <w:p w14:paraId="4FC51EEB" w14:textId="77777777" w:rsidR="0018475F" w:rsidRPr="004D6B9E" w:rsidRDefault="003B7A8B" w:rsidP="0018475F">
            <w:pPr>
              <w:suppressAutoHyphens/>
              <w:jc w:val="right"/>
              <w:rPr>
                <w:rFonts w:cs="Arial"/>
                <w:b/>
                <w:spacing w:val="-2"/>
              </w:rPr>
            </w:pPr>
            <w:r>
              <w:rPr>
                <w:rFonts w:cs="Arial"/>
                <w:b/>
                <w:spacing w:val="-2"/>
              </w:rPr>
              <w:t>28/12/</w:t>
            </w:r>
            <w:r w:rsidR="0018475F" w:rsidRPr="004D6B9E">
              <w:rPr>
                <w:rFonts w:cs="Arial"/>
                <w:b/>
                <w:spacing w:val="-2"/>
              </w:rPr>
              <w:t>20</w:t>
            </w:r>
            <w:r w:rsidR="000B7766" w:rsidRPr="004D6B9E">
              <w:rPr>
                <w:rFonts w:cs="Arial"/>
                <w:b/>
                <w:spacing w:val="-2"/>
              </w:rPr>
              <w:t>2</w:t>
            </w:r>
            <w:r w:rsidR="004D6B9E" w:rsidRPr="004D6B9E">
              <w:rPr>
                <w:rFonts w:cs="Arial"/>
                <w:b/>
                <w:spacing w:val="-2"/>
              </w:rPr>
              <w:t>4</w:t>
            </w:r>
          </w:p>
        </w:tc>
        <w:tc>
          <w:tcPr>
            <w:tcW w:w="1418" w:type="dxa"/>
            <w:tcBorders>
              <w:top w:val="nil"/>
              <w:left w:val="nil"/>
              <w:bottom w:val="nil"/>
              <w:right w:val="nil"/>
            </w:tcBorders>
          </w:tcPr>
          <w:p w14:paraId="58400692" w14:textId="77777777" w:rsidR="0018475F" w:rsidRPr="004D6B9E" w:rsidRDefault="003B7A8B" w:rsidP="0018475F">
            <w:pPr>
              <w:suppressAutoHyphens/>
              <w:jc w:val="right"/>
              <w:rPr>
                <w:rFonts w:cs="Arial"/>
                <w:b/>
                <w:spacing w:val="-2"/>
              </w:rPr>
            </w:pPr>
            <w:r>
              <w:rPr>
                <w:rFonts w:cs="Arial"/>
                <w:b/>
                <w:spacing w:val="-2"/>
              </w:rPr>
              <w:t>30/12/</w:t>
            </w:r>
            <w:r w:rsidR="0018475F" w:rsidRPr="004D6B9E">
              <w:rPr>
                <w:rFonts w:cs="Arial"/>
                <w:b/>
                <w:spacing w:val="-2"/>
              </w:rPr>
              <w:t>20</w:t>
            </w:r>
            <w:r w:rsidR="00EA3087" w:rsidRPr="004D6B9E">
              <w:rPr>
                <w:rFonts w:cs="Arial"/>
                <w:b/>
                <w:spacing w:val="-2"/>
              </w:rPr>
              <w:t>2</w:t>
            </w:r>
            <w:r w:rsidR="004D6B9E" w:rsidRPr="004D6B9E">
              <w:rPr>
                <w:rFonts w:cs="Arial"/>
                <w:b/>
                <w:spacing w:val="-2"/>
              </w:rPr>
              <w:t>3</w:t>
            </w:r>
          </w:p>
        </w:tc>
      </w:tr>
      <w:tr w:rsidR="00260366" w:rsidRPr="00C328EF" w14:paraId="31069813" w14:textId="77777777" w:rsidTr="000D23EA">
        <w:trPr>
          <w:trHeight w:val="87"/>
        </w:trPr>
        <w:tc>
          <w:tcPr>
            <w:tcW w:w="4077" w:type="dxa"/>
            <w:tcBorders>
              <w:top w:val="nil"/>
              <w:left w:val="nil"/>
              <w:bottom w:val="nil"/>
              <w:right w:val="nil"/>
            </w:tcBorders>
          </w:tcPr>
          <w:p w14:paraId="273D4FDC" w14:textId="77777777" w:rsidR="00260366" w:rsidRPr="004D6B9E" w:rsidRDefault="00260366" w:rsidP="004E0CDB">
            <w:pPr>
              <w:jc w:val="both"/>
            </w:pPr>
          </w:p>
        </w:tc>
        <w:tc>
          <w:tcPr>
            <w:tcW w:w="1418" w:type="dxa"/>
            <w:tcBorders>
              <w:top w:val="nil"/>
              <w:left w:val="nil"/>
              <w:bottom w:val="nil"/>
              <w:right w:val="nil"/>
            </w:tcBorders>
          </w:tcPr>
          <w:p w14:paraId="762D7938" w14:textId="77777777" w:rsidR="00260366" w:rsidRPr="004D6B9E" w:rsidRDefault="00260366" w:rsidP="004E0CDB">
            <w:pPr>
              <w:suppressAutoHyphens/>
              <w:jc w:val="right"/>
              <w:rPr>
                <w:rFonts w:cs="Arial"/>
                <w:spacing w:val="-2"/>
              </w:rPr>
            </w:pPr>
          </w:p>
        </w:tc>
        <w:tc>
          <w:tcPr>
            <w:tcW w:w="1701" w:type="dxa"/>
            <w:tcBorders>
              <w:top w:val="nil"/>
              <w:left w:val="nil"/>
              <w:bottom w:val="nil"/>
              <w:right w:val="nil"/>
            </w:tcBorders>
          </w:tcPr>
          <w:p w14:paraId="4990526D" w14:textId="77777777" w:rsidR="00260366" w:rsidRPr="004D6B9E" w:rsidRDefault="00260366" w:rsidP="004E0CDB">
            <w:pPr>
              <w:suppressAutoHyphens/>
              <w:jc w:val="right"/>
              <w:rPr>
                <w:rFonts w:cs="Arial"/>
                <w:spacing w:val="-2"/>
              </w:rPr>
            </w:pPr>
          </w:p>
        </w:tc>
        <w:tc>
          <w:tcPr>
            <w:tcW w:w="1559" w:type="dxa"/>
            <w:tcBorders>
              <w:top w:val="nil"/>
              <w:left w:val="nil"/>
              <w:bottom w:val="nil"/>
              <w:right w:val="nil"/>
            </w:tcBorders>
          </w:tcPr>
          <w:p w14:paraId="40B70DD1" w14:textId="77777777" w:rsidR="00260366" w:rsidRPr="00C328EF" w:rsidRDefault="00260366" w:rsidP="004E0CDB">
            <w:pPr>
              <w:suppressAutoHyphens/>
              <w:jc w:val="right"/>
              <w:rPr>
                <w:rFonts w:cs="Arial"/>
                <w:spacing w:val="-2"/>
                <w:highlight w:val="yellow"/>
              </w:rPr>
            </w:pPr>
          </w:p>
        </w:tc>
        <w:tc>
          <w:tcPr>
            <w:tcW w:w="1418" w:type="dxa"/>
            <w:tcBorders>
              <w:top w:val="nil"/>
              <w:left w:val="nil"/>
              <w:bottom w:val="nil"/>
              <w:right w:val="nil"/>
            </w:tcBorders>
          </w:tcPr>
          <w:p w14:paraId="4999EC2F" w14:textId="77777777" w:rsidR="00260366" w:rsidRPr="004D6B9E" w:rsidRDefault="00260366" w:rsidP="004E0CDB">
            <w:pPr>
              <w:suppressAutoHyphens/>
              <w:jc w:val="right"/>
              <w:rPr>
                <w:rFonts w:cs="Arial"/>
                <w:spacing w:val="-2"/>
              </w:rPr>
            </w:pPr>
          </w:p>
        </w:tc>
      </w:tr>
      <w:tr w:rsidR="009E1679" w:rsidRPr="00C328EF" w14:paraId="2E384CDF" w14:textId="77777777" w:rsidTr="000D23EA">
        <w:trPr>
          <w:trHeight w:val="87"/>
        </w:trPr>
        <w:tc>
          <w:tcPr>
            <w:tcW w:w="4077" w:type="dxa"/>
            <w:tcBorders>
              <w:top w:val="nil"/>
              <w:left w:val="nil"/>
              <w:bottom w:val="nil"/>
              <w:right w:val="nil"/>
            </w:tcBorders>
          </w:tcPr>
          <w:p w14:paraId="6504D1F0" w14:textId="77777777" w:rsidR="009E1679" w:rsidRPr="004D6B9E" w:rsidRDefault="009E1679" w:rsidP="009E1679">
            <w:pPr>
              <w:jc w:val="both"/>
            </w:pPr>
            <w:r w:rsidRPr="004D6B9E">
              <w:t>0.1% decrease in real discount rate</w:t>
            </w:r>
          </w:p>
        </w:tc>
        <w:tc>
          <w:tcPr>
            <w:tcW w:w="1418" w:type="dxa"/>
            <w:tcBorders>
              <w:top w:val="nil"/>
              <w:left w:val="nil"/>
              <w:bottom w:val="nil"/>
              <w:right w:val="nil"/>
            </w:tcBorders>
          </w:tcPr>
          <w:p w14:paraId="04F6D782" w14:textId="77777777" w:rsidR="009E1679" w:rsidRPr="004D6B9E" w:rsidRDefault="009E1679" w:rsidP="009E1679">
            <w:pPr>
              <w:suppressAutoHyphens/>
              <w:jc w:val="right"/>
              <w:rPr>
                <w:rFonts w:cs="Arial"/>
                <w:spacing w:val="-2"/>
              </w:rPr>
            </w:pPr>
            <w:r w:rsidRPr="004D6B9E">
              <w:rPr>
                <w:rFonts w:cs="Arial"/>
                <w:spacing w:val="-2"/>
              </w:rPr>
              <w:t>2%</w:t>
            </w:r>
          </w:p>
        </w:tc>
        <w:tc>
          <w:tcPr>
            <w:tcW w:w="1701" w:type="dxa"/>
            <w:tcBorders>
              <w:top w:val="nil"/>
              <w:left w:val="nil"/>
              <w:bottom w:val="nil"/>
              <w:right w:val="nil"/>
            </w:tcBorders>
          </w:tcPr>
          <w:p w14:paraId="0CB6383F" w14:textId="77777777" w:rsidR="009E1679" w:rsidRPr="004D6B9E" w:rsidRDefault="009E1679" w:rsidP="009E1679">
            <w:pPr>
              <w:suppressAutoHyphens/>
              <w:jc w:val="right"/>
              <w:rPr>
                <w:rFonts w:cs="Arial"/>
                <w:spacing w:val="-2"/>
              </w:rPr>
            </w:pPr>
            <w:r w:rsidRPr="004D6B9E">
              <w:rPr>
                <w:rFonts w:cs="Arial"/>
                <w:spacing w:val="-2"/>
              </w:rPr>
              <w:t>2%</w:t>
            </w:r>
          </w:p>
        </w:tc>
        <w:tc>
          <w:tcPr>
            <w:tcW w:w="1559" w:type="dxa"/>
            <w:tcBorders>
              <w:top w:val="nil"/>
              <w:left w:val="nil"/>
              <w:bottom w:val="nil"/>
              <w:right w:val="nil"/>
            </w:tcBorders>
          </w:tcPr>
          <w:p w14:paraId="45988E32" w14:textId="77777777" w:rsidR="009E1679" w:rsidRPr="000E4F59" w:rsidRDefault="004D6B9E" w:rsidP="009E1679">
            <w:pPr>
              <w:suppressAutoHyphens/>
              <w:jc w:val="right"/>
              <w:rPr>
                <w:rFonts w:cs="Arial"/>
                <w:spacing w:val="-2"/>
              </w:rPr>
            </w:pPr>
            <w:r w:rsidRPr="000E4F59">
              <w:rPr>
                <w:rFonts w:cs="Arial"/>
                <w:spacing w:val="-2"/>
              </w:rPr>
              <w:t>5,644</w:t>
            </w:r>
          </w:p>
        </w:tc>
        <w:tc>
          <w:tcPr>
            <w:tcW w:w="1418" w:type="dxa"/>
            <w:tcBorders>
              <w:top w:val="nil"/>
              <w:left w:val="nil"/>
              <w:bottom w:val="nil"/>
              <w:right w:val="nil"/>
            </w:tcBorders>
          </w:tcPr>
          <w:p w14:paraId="0893EEAE" w14:textId="77777777" w:rsidR="009E1679" w:rsidRPr="004D6B9E" w:rsidRDefault="004D6B9E" w:rsidP="009E1679">
            <w:pPr>
              <w:suppressAutoHyphens/>
              <w:jc w:val="right"/>
              <w:rPr>
                <w:rFonts w:cs="Arial"/>
                <w:spacing w:val="-2"/>
              </w:rPr>
            </w:pPr>
            <w:r w:rsidRPr="004D6B9E">
              <w:rPr>
                <w:rFonts w:cs="Arial"/>
                <w:spacing w:val="-2"/>
              </w:rPr>
              <w:t>6,512</w:t>
            </w:r>
          </w:p>
        </w:tc>
      </w:tr>
      <w:tr w:rsidR="004D6B9E" w:rsidRPr="00C328EF" w14:paraId="019216CD" w14:textId="77777777" w:rsidTr="000D23EA">
        <w:tc>
          <w:tcPr>
            <w:tcW w:w="4077" w:type="dxa"/>
            <w:tcBorders>
              <w:top w:val="nil"/>
              <w:left w:val="nil"/>
              <w:bottom w:val="nil"/>
              <w:right w:val="nil"/>
            </w:tcBorders>
          </w:tcPr>
          <w:p w14:paraId="40E9E1AD" w14:textId="77777777" w:rsidR="004D6B9E" w:rsidRPr="004D6B9E" w:rsidRDefault="004D6B9E" w:rsidP="004D6B9E">
            <w:pPr>
              <w:jc w:val="both"/>
            </w:pPr>
            <w:r>
              <w:t>1 year increase in member life expectancy</w:t>
            </w:r>
          </w:p>
        </w:tc>
        <w:tc>
          <w:tcPr>
            <w:tcW w:w="1418" w:type="dxa"/>
            <w:tcBorders>
              <w:top w:val="nil"/>
              <w:left w:val="nil"/>
              <w:bottom w:val="nil"/>
              <w:right w:val="nil"/>
            </w:tcBorders>
          </w:tcPr>
          <w:p w14:paraId="67837B71" w14:textId="77777777" w:rsidR="004D6B9E" w:rsidRPr="004D6B9E" w:rsidRDefault="004D6B9E" w:rsidP="004D6B9E">
            <w:pPr>
              <w:suppressAutoHyphens/>
              <w:jc w:val="right"/>
              <w:rPr>
                <w:rFonts w:cs="Arial"/>
                <w:spacing w:val="-2"/>
              </w:rPr>
            </w:pPr>
            <w:r w:rsidRPr="004D6B9E">
              <w:rPr>
                <w:rFonts w:cs="Arial"/>
                <w:spacing w:val="-2"/>
              </w:rPr>
              <w:t>4%</w:t>
            </w:r>
          </w:p>
        </w:tc>
        <w:tc>
          <w:tcPr>
            <w:tcW w:w="1701" w:type="dxa"/>
            <w:tcBorders>
              <w:top w:val="nil"/>
              <w:left w:val="nil"/>
              <w:bottom w:val="nil"/>
              <w:right w:val="nil"/>
            </w:tcBorders>
          </w:tcPr>
          <w:p w14:paraId="3A2396D6" w14:textId="77777777" w:rsidR="004D6B9E" w:rsidRPr="004D6B9E" w:rsidRDefault="004D6B9E" w:rsidP="004D6B9E">
            <w:pPr>
              <w:suppressAutoHyphens/>
              <w:jc w:val="right"/>
              <w:rPr>
                <w:rFonts w:cs="Arial"/>
                <w:spacing w:val="-2"/>
              </w:rPr>
            </w:pPr>
            <w:r w:rsidRPr="004D6B9E">
              <w:rPr>
                <w:rFonts w:cs="Arial"/>
                <w:spacing w:val="-2"/>
              </w:rPr>
              <w:t>4%</w:t>
            </w:r>
          </w:p>
        </w:tc>
        <w:tc>
          <w:tcPr>
            <w:tcW w:w="1559" w:type="dxa"/>
            <w:tcBorders>
              <w:top w:val="nil"/>
              <w:left w:val="nil"/>
              <w:bottom w:val="nil"/>
              <w:right w:val="nil"/>
            </w:tcBorders>
          </w:tcPr>
          <w:p w14:paraId="025E6218" w14:textId="77777777" w:rsidR="004D6B9E" w:rsidRPr="000E4F59" w:rsidRDefault="004D6B9E" w:rsidP="004D6B9E">
            <w:pPr>
              <w:suppressAutoHyphens/>
              <w:jc w:val="right"/>
              <w:rPr>
                <w:rFonts w:cs="Arial"/>
                <w:spacing w:val="-2"/>
              </w:rPr>
            </w:pPr>
            <w:r w:rsidRPr="000E4F59">
              <w:rPr>
                <w:rFonts w:cs="Arial"/>
                <w:spacing w:val="-2"/>
              </w:rPr>
              <w:t>14,666</w:t>
            </w:r>
          </w:p>
        </w:tc>
        <w:tc>
          <w:tcPr>
            <w:tcW w:w="1418" w:type="dxa"/>
            <w:tcBorders>
              <w:top w:val="nil"/>
              <w:left w:val="nil"/>
              <w:bottom w:val="nil"/>
              <w:right w:val="nil"/>
            </w:tcBorders>
          </w:tcPr>
          <w:p w14:paraId="79E5D7BB" w14:textId="77777777" w:rsidR="004D6B9E" w:rsidRPr="004D6B9E" w:rsidRDefault="004D6B9E" w:rsidP="004D6B9E">
            <w:pPr>
              <w:suppressAutoHyphens/>
              <w:jc w:val="right"/>
              <w:rPr>
                <w:rFonts w:cs="Arial"/>
                <w:spacing w:val="-2"/>
              </w:rPr>
            </w:pPr>
            <w:r w:rsidRPr="004D6B9E">
              <w:rPr>
                <w:rFonts w:cs="Arial"/>
                <w:spacing w:val="-2"/>
              </w:rPr>
              <w:t>16,228</w:t>
            </w:r>
          </w:p>
        </w:tc>
      </w:tr>
      <w:tr w:rsidR="004D6B9E" w:rsidRPr="00C328EF" w14:paraId="77D1FE4C" w14:textId="77777777" w:rsidTr="000D23EA">
        <w:tc>
          <w:tcPr>
            <w:tcW w:w="4077" w:type="dxa"/>
            <w:tcBorders>
              <w:top w:val="nil"/>
              <w:left w:val="nil"/>
              <w:bottom w:val="nil"/>
              <w:right w:val="nil"/>
            </w:tcBorders>
          </w:tcPr>
          <w:p w14:paraId="5C81763C" w14:textId="77777777" w:rsidR="004D6B9E" w:rsidRPr="004D6B9E" w:rsidRDefault="004D6B9E" w:rsidP="004D6B9E">
            <w:pPr>
              <w:jc w:val="both"/>
            </w:pPr>
            <w:r w:rsidRPr="004D6B9E">
              <w:t>0.1% increase in the salary increase rate</w:t>
            </w:r>
          </w:p>
        </w:tc>
        <w:tc>
          <w:tcPr>
            <w:tcW w:w="1418" w:type="dxa"/>
            <w:tcBorders>
              <w:top w:val="nil"/>
              <w:left w:val="nil"/>
              <w:bottom w:val="nil"/>
              <w:right w:val="nil"/>
            </w:tcBorders>
          </w:tcPr>
          <w:p w14:paraId="6DA1CBBD" w14:textId="77777777" w:rsidR="004D6B9E" w:rsidRPr="004D6B9E" w:rsidRDefault="004D6B9E" w:rsidP="004D6B9E">
            <w:pPr>
              <w:suppressAutoHyphens/>
              <w:jc w:val="right"/>
              <w:rPr>
                <w:rFonts w:cs="Arial"/>
                <w:spacing w:val="-2"/>
              </w:rPr>
            </w:pPr>
            <w:r w:rsidRPr="004D6B9E">
              <w:rPr>
                <w:rFonts w:cs="Arial"/>
                <w:spacing w:val="-2"/>
              </w:rPr>
              <w:t>0%</w:t>
            </w:r>
          </w:p>
        </w:tc>
        <w:tc>
          <w:tcPr>
            <w:tcW w:w="1701" w:type="dxa"/>
            <w:tcBorders>
              <w:top w:val="nil"/>
              <w:left w:val="nil"/>
              <w:bottom w:val="nil"/>
              <w:right w:val="nil"/>
            </w:tcBorders>
          </w:tcPr>
          <w:p w14:paraId="73120532" w14:textId="77777777" w:rsidR="004D6B9E" w:rsidRPr="004D6B9E" w:rsidRDefault="004D6B9E" w:rsidP="004D6B9E">
            <w:pPr>
              <w:suppressAutoHyphens/>
              <w:jc w:val="right"/>
              <w:rPr>
                <w:rFonts w:cs="Arial"/>
                <w:spacing w:val="-2"/>
              </w:rPr>
            </w:pPr>
            <w:r w:rsidRPr="004D6B9E">
              <w:rPr>
                <w:rFonts w:cs="Arial"/>
                <w:spacing w:val="-2"/>
              </w:rPr>
              <w:t>0%</w:t>
            </w:r>
          </w:p>
        </w:tc>
        <w:tc>
          <w:tcPr>
            <w:tcW w:w="1559" w:type="dxa"/>
            <w:tcBorders>
              <w:top w:val="nil"/>
              <w:left w:val="nil"/>
              <w:bottom w:val="nil"/>
              <w:right w:val="nil"/>
            </w:tcBorders>
          </w:tcPr>
          <w:p w14:paraId="155E52F7" w14:textId="77777777" w:rsidR="004D6B9E" w:rsidRPr="000E4F59" w:rsidRDefault="004D6B9E" w:rsidP="004D6B9E">
            <w:pPr>
              <w:suppressAutoHyphens/>
              <w:jc w:val="right"/>
              <w:rPr>
                <w:rFonts w:cs="Arial"/>
                <w:spacing w:val="-2"/>
              </w:rPr>
            </w:pPr>
            <w:r w:rsidRPr="000E4F59">
              <w:rPr>
                <w:rFonts w:cs="Arial"/>
                <w:spacing w:val="-2"/>
              </w:rPr>
              <w:t>377</w:t>
            </w:r>
          </w:p>
        </w:tc>
        <w:tc>
          <w:tcPr>
            <w:tcW w:w="1418" w:type="dxa"/>
            <w:tcBorders>
              <w:top w:val="nil"/>
              <w:left w:val="nil"/>
              <w:bottom w:val="nil"/>
              <w:right w:val="nil"/>
            </w:tcBorders>
          </w:tcPr>
          <w:p w14:paraId="5EA194B0" w14:textId="77777777" w:rsidR="004D6B9E" w:rsidRPr="004D6B9E" w:rsidRDefault="004D6B9E" w:rsidP="004D6B9E">
            <w:pPr>
              <w:suppressAutoHyphens/>
              <w:jc w:val="right"/>
              <w:rPr>
                <w:rFonts w:cs="Arial"/>
                <w:spacing w:val="-2"/>
              </w:rPr>
            </w:pPr>
            <w:r w:rsidRPr="004D6B9E">
              <w:rPr>
                <w:rFonts w:cs="Arial"/>
                <w:spacing w:val="-2"/>
              </w:rPr>
              <w:t>934</w:t>
            </w:r>
          </w:p>
        </w:tc>
      </w:tr>
      <w:tr w:rsidR="004D6B9E" w:rsidRPr="00C328EF" w14:paraId="4E1B9921" w14:textId="77777777" w:rsidTr="000D23EA">
        <w:trPr>
          <w:trHeight w:val="87"/>
        </w:trPr>
        <w:tc>
          <w:tcPr>
            <w:tcW w:w="4077" w:type="dxa"/>
            <w:tcBorders>
              <w:top w:val="nil"/>
              <w:left w:val="nil"/>
              <w:bottom w:val="nil"/>
              <w:right w:val="nil"/>
            </w:tcBorders>
          </w:tcPr>
          <w:p w14:paraId="4E15AC0F" w14:textId="77777777" w:rsidR="004D6B9E" w:rsidRPr="004D6B9E" w:rsidRDefault="004D6B9E" w:rsidP="004D6B9E">
            <w:pPr>
              <w:jc w:val="both"/>
            </w:pPr>
            <w:r w:rsidRPr="004D6B9E">
              <w:t>0.1% increase in the pension increase rate</w:t>
            </w:r>
          </w:p>
        </w:tc>
        <w:tc>
          <w:tcPr>
            <w:tcW w:w="1418" w:type="dxa"/>
            <w:tcBorders>
              <w:top w:val="nil"/>
              <w:left w:val="nil"/>
              <w:bottom w:val="nil"/>
              <w:right w:val="nil"/>
            </w:tcBorders>
          </w:tcPr>
          <w:p w14:paraId="30769E6E" w14:textId="77777777" w:rsidR="004D6B9E" w:rsidRPr="004D6B9E" w:rsidRDefault="004D6B9E" w:rsidP="004D6B9E">
            <w:pPr>
              <w:suppressAutoHyphens/>
              <w:jc w:val="right"/>
              <w:rPr>
                <w:rFonts w:cs="Arial"/>
                <w:spacing w:val="-2"/>
              </w:rPr>
            </w:pPr>
            <w:r w:rsidRPr="004D6B9E">
              <w:rPr>
                <w:rFonts w:cs="Arial"/>
                <w:spacing w:val="-2"/>
              </w:rPr>
              <w:t>1%</w:t>
            </w:r>
          </w:p>
        </w:tc>
        <w:tc>
          <w:tcPr>
            <w:tcW w:w="1701" w:type="dxa"/>
            <w:tcBorders>
              <w:top w:val="nil"/>
              <w:left w:val="nil"/>
              <w:bottom w:val="nil"/>
              <w:right w:val="nil"/>
            </w:tcBorders>
          </w:tcPr>
          <w:p w14:paraId="51A8B9C7" w14:textId="77777777" w:rsidR="004D6B9E" w:rsidRPr="004D6B9E" w:rsidRDefault="004D6B9E" w:rsidP="004D6B9E">
            <w:pPr>
              <w:suppressAutoHyphens/>
              <w:jc w:val="right"/>
              <w:rPr>
                <w:rFonts w:cs="Arial"/>
                <w:spacing w:val="-2"/>
              </w:rPr>
            </w:pPr>
            <w:r w:rsidRPr="004D6B9E">
              <w:rPr>
                <w:rFonts w:cs="Arial"/>
                <w:spacing w:val="-2"/>
              </w:rPr>
              <w:t>1%</w:t>
            </w:r>
          </w:p>
        </w:tc>
        <w:tc>
          <w:tcPr>
            <w:tcW w:w="1559" w:type="dxa"/>
            <w:tcBorders>
              <w:top w:val="nil"/>
              <w:left w:val="nil"/>
              <w:bottom w:val="nil"/>
              <w:right w:val="nil"/>
            </w:tcBorders>
          </w:tcPr>
          <w:p w14:paraId="50EBDCA3" w14:textId="77777777" w:rsidR="004D6B9E" w:rsidRPr="000E4F59" w:rsidRDefault="004D6B9E" w:rsidP="004D6B9E">
            <w:pPr>
              <w:suppressAutoHyphens/>
              <w:jc w:val="right"/>
              <w:rPr>
                <w:rFonts w:cs="Arial"/>
                <w:spacing w:val="-2"/>
              </w:rPr>
            </w:pPr>
            <w:r w:rsidRPr="000E4F59">
              <w:rPr>
                <w:rFonts w:cs="Arial"/>
                <w:spacing w:val="-2"/>
              </w:rPr>
              <w:t>5,404</w:t>
            </w:r>
          </w:p>
        </w:tc>
        <w:tc>
          <w:tcPr>
            <w:tcW w:w="1418" w:type="dxa"/>
            <w:tcBorders>
              <w:top w:val="nil"/>
              <w:left w:val="nil"/>
              <w:bottom w:val="nil"/>
              <w:right w:val="nil"/>
            </w:tcBorders>
          </w:tcPr>
          <w:p w14:paraId="037C2EC9" w14:textId="77777777" w:rsidR="004D6B9E" w:rsidRPr="004D6B9E" w:rsidRDefault="004D6B9E" w:rsidP="004D6B9E">
            <w:pPr>
              <w:suppressAutoHyphens/>
              <w:jc w:val="right"/>
              <w:rPr>
                <w:rFonts w:cs="Arial"/>
                <w:spacing w:val="-2"/>
              </w:rPr>
            </w:pPr>
            <w:r w:rsidRPr="004D6B9E">
              <w:rPr>
                <w:rFonts w:cs="Arial"/>
                <w:spacing w:val="-2"/>
              </w:rPr>
              <w:t>5,665</w:t>
            </w:r>
          </w:p>
        </w:tc>
      </w:tr>
    </w:tbl>
    <w:p w14:paraId="13CE651A" w14:textId="77777777" w:rsidR="00A1631F" w:rsidRPr="000E4F59" w:rsidRDefault="00A1631F" w:rsidP="00F31584">
      <w:pPr>
        <w:jc w:val="both"/>
      </w:pPr>
    </w:p>
    <w:p w14:paraId="70094F50" w14:textId="77777777" w:rsidR="00F31584" w:rsidRPr="000E4F59" w:rsidRDefault="00F31584" w:rsidP="00F31584">
      <w:pPr>
        <w:jc w:val="both"/>
      </w:pPr>
      <w:r w:rsidRPr="000E4F59">
        <w:t xml:space="preserve">The financial assumptions used for reporting under the Accounting Standard are the responsibility of the Employer. These assumptions are largely prescribed at any point and reflect market conditions at the reporting date. Changes in market conditions that result in changes in the net discount rate can have a significant effect on the value of the liabilities reported.  </w:t>
      </w:r>
    </w:p>
    <w:p w14:paraId="3034AB19" w14:textId="77777777" w:rsidR="00F31584" w:rsidRPr="000E4F59" w:rsidRDefault="00F31584" w:rsidP="00F31584">
      <w:pPr>
        <w:jc w:val="both"/>
      </w:pPr>
    </w:p>
    <w:p w14:paraId="6F949B72" w14:textId="77777777" w:rsidR="00F31584" w:rsidRPr="000E4F59" w:rsidRDefault="00F31584" w:rsidP="00F31584">
      <w:pPr>
        <w:jc w:val="both"/>
      </w:pPr>
      <w:r w:rsidRPr="000E4F59">
        <w:t xml:space="preserve">A reduction in the net discount rate will increase the assessed value of liabilities as a higher value is placed on benefits paid in the future. A rise in the net discount rate will have an opposite effect of a similar magnitude.  There is also uncertainty around life expectancy of the UK population – the value of current and future pension benefits will depend on how long they are assumed to be in payment.  </w:t>
      </w:r>
    </w:p>
    <w:p w14:paraId="331C5B8D" w14:textId="77777777" w:rsidR="00F31584" w:rsidRPr="00C328EF" w:rsidRDefault="00F31584" w:rsidP="00C95FAF">
      <w:pPr>
        <w:rPr>
          <w:b/>
          <w:highlight w:val="yellow"/>
        </w:rPr>
      </w:pPr>
    </w:p>
    <w:p w14:paraId="61F102DE" w14:textId="77777777" w:rsidR="00C44E52" w:rsidRPr="00631312" w:rsidRDefault="00C44E52" w:rsidP="00C44E52">
      <w:pPr>
        <w:jc w:val="center"/>
        <w:rPr>
          <w:b/>
        </w:rPr>
      </w:pPr>
      <w:r w:rsidRPr="00C328EF">
        <w:rPr>
          <w:b/>
          <w:highlight w:val="yellow"/>
        </w:rPr>
        <w:br w:type="page"/>
      </w:r>
      <w:r w:rsidRPr="00631312">
        <w:rPr>
          <w:b/>
        </w:rPr>
        <w:lastRenderedPageBreak/>
        <w:t>TRANSPORT FOR EDINBURGH LIMITED</w:t>
      </w:r>
    </w:p>
    <w:p w14:paraId="7607E5E6" w14:textId="77777777" w:rsidR="00C44E52" w:rsidRPr="00631312" w:rsidRDefault="00C44E52" w:rsidP="00C44E52">
      <w:pPr>
        <w:jc w:val="center"/>
        <w:rPr>
          <w:b/>
        </w:rPr>
      </w:pPr>
    </w:p>
    <w:p w14:paraId="280B8DEF" w14:textId="77777777" w:rsidR="00C44E52" w:rsidRPr="00631312" w:rsidRDefault="00C44E52" w:rsidP="00C44E52">
      <w:pPr>
        <w:jc w:val="center"/>
        <w:rPr>
          <w:b/>
        </w:rPr>
      </w:pPr>
      <w:r w:rsidRPr="00631312">
        <w:rPr>
          <w:b/>
        </w:rPr>
        <w:t>Notes to the Financial Statements (continued)</w:t>
      </w:r>
    </w:p>
    <w:p w14:paraId="5E50DA85" w14:textId="77777777" w:rsidR="00C44E52" w:rsidRPr="00631312" w:rsidRDefault="00C44E52" w:rsidP="00C44E52">
      <w:pPr>
        <w:jc w:val="center"/>
        <w:rPr>
          <w:b/>
        </w:rPr>
      </w:pPr>
    </w:p>
    <w:p w14:paraId="5EDC1235" w14:textId="77777777" w:rsidR="00C44E52" w:rsidRPr="00AE607B" w:rsidRDefault="00D90B89" w:rsidP="00C44E52">
      <w:pPr>
        <w:jc w:val="center"/>
      </w:pPr>
      <w:r w:rsidRPr="00820267">
        <w:rPr>
          <w:b/>
        </w:rPr>
        <w:t xml:space="preserve">For </w:t>
      </w:r>
      <w:r w:rsidRPr="00AE607B">
        <w:rPr>
          <w:b/>
        </w:rPr>
        <w:t>the period ended 28 December 2024</w:t>
      </w:r>
    </w:p>
    <w:p w14:paraId="3BB358B1" w14:textId="77777777" w:rsidR="00F31584" w:rsidRPr="00AE607B" w:rsidRDefault="00F31584" w:rsidP="00C95FAF">
      <w:pPr>
        <w:rPr>
          <w:b/>
        </w:rPr>
      </w:pPr>
    </w:p>
    <w:p w14:paraId="6A5E452E" w14:textId="77777777" w:rsidR="00F31584" w:rsidRPr="00AE607B" w:rsidRDefault="00C44E52" w:rsidP="00A5227C">
      <w:pPr>
        <w:numPr>
          <w:ilvl w:val="0"/>
          <w:numId w:val="42"/>
        </w:numPr>
        <w:ind w:left="360"/>
        <w:jc w:val="both"/>
        <w:rPr>
          <w:b/>
        </w:rPr>
      </w:pPr>
      <w:r w:rsidRPr="00AE607B">
        <w:rPr>
          <w:b/>
        </w:rPr>
        <w:t>R</w:t>
      </w:r>
      <w:r w:rsidR="00F31584" w:rsidRPr="00AE607B">
        <w:rPr>
          <w:b/>
        </w:rPr>
        <w:t>etirement benefits obligation (continued)</w:t>
      </w:r>
    </w:p>
    <w:p w14:paraId="3D90EF78" w14:textId="77777777" w:rsidR="00F31584" w:rsidRPr="00AE607B" w:rsidRDefault="00F31584" w:rsidP="00F31584">
      <w:pPr>
        <w:tabs>
          <w:tab w:val="left" w:pos="546"/>
          <w:tab w:val="left" w:pos="624"/>
        </w:tabs>
        <w:jc w:val="both"/>
        <w:rPr>
          <w:b/>
        </w:rPr>
      </w:pPr>
    </w:p>
    <w:p w14:paraId="7C3FAECC" w14:textId="77777777" w:rsidR="00F31584" w:rsidRPr="00A71518" w:rsidRDefault="00F31584" w:rsidP="00F31584">
      <w:pPr>
        <w:tabs>
          <w:tab w:val="left" w:pos="546"/>
          <w:tab w:val="left" w:pos="624"/>
        </w:tabs>
        <w:jc w:val="both"/>
      </w:pPr>
      <w:r w:rsidRPr="00AE607B">
        <w:t>Accounting standard</w:t>
      </w:r>
      <w:r w:rsidR="00F14100" w:rsidRPr="00AE607B">
        <w:t>s require</w:t>
      </w:r>
      <w:r w:rsidRPr="00AE607B">
        <w:t xml:space="preserve"> the discount</w:t>
      </w:r>
      <w:r w:rsidRPr="00A71518">
        <w:t xml:space="preserve"> rate to be set with reference to the yields on high quality corporate bonds irrespective of the actual investment strategy of the Fund.  As such</w:t>
      </w:r>
      <w:r w:rsidR="00211D84" w:rsidRPr="00A71518">
        <w:t>,</w:t>
      </w:r>
      <w:r w:rsidRPr="00A71518">
        <w:t xml:space="preserve"> the figures illustrated are unlikely to reflect either the actual eventual cost of providing the benefits or the likely level of contributions to fund the Employer’s obligations to the Fund.</w:t>
      </w:r>
    </w:p>
    <w:p w14:paraId="3221D101" w14:textId="77777777" w:rsidR="00F31584" w:rsidRPr="00A71518" w:rsidRDefault="00F31584" w:rsidP="00F31584">
      <w:pPr>
        <w:tabs>
          <w:tab w:val="left" w:pos="546"/>
          <w:tab w:val="left" w:pos="624"/>
        </w:tabs>
        <w:jc w:val="both"/>
      </w:pPr>
    </w:p>
    <w:p w14:paraId="565BE7CE" w14:textId="77777777" w:rsidR="00C95FAF" w:rsidRPr="00A71518" w:rsidRDefault="00C95FAF" w:rsidP="00C95FAF">
      <w:pPr>
        <w:rPr>
          <w:b/>
        </w:rPr>
      </w:pPr>
      <w:r w:rsidRPr="00A71518">
        <w:rPr>
          <w:b/>
        </w:rPr>
        <w:t>Mortality rates:</w:t>
      </w:r>
    </w:p>
    <w:p w14:paraId="1ED8BEE0" w14:textId="77777777" w:rsidR="00C95FAF" w:rsidRPr="00A71518" w:rsidRDefault="00C95FAF" w:rsidP="00C95FAF">
      <w:pPr>
        <w:jc w:val="both"/>
      </w:pPr>
    </w:p>
    <w:p w14:paraId="7C1F6692" w14:textId="77777777" w:rsidR="00F31584" w:rsidRPr="00A71518" w:rsidRDefault="00F31584" w:rsidP="00F31584">
      <w:pPr>
        <w:jc w:val="both"/>
      </w:pPr>
      <w:r w:rsidRPr="00A71518">
        <w:t>Baseline life expectancy is based in member specific Vita Curves that are tailored to each individual within the Fund.  Future longevity improvements are based on those inherent in the PFA 92 and PMA 92 tables using year of birth projections.  Based on these assumptions, the average future life expectancy at age 65 are summarised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8"/>
        <w:gridCol w:w="1274"/>
        <w:gridCol w:w="1189"/>
      </w:tblGrid>
      <w:tr w:rsidR="00C15FCE" w:rsidRPr="00A71518" w14:paraId="59B56734" w14:textId="77777777" w:rsidTr="00C15FCE">
        <w:tc>
          <w:tcPr>
            <w:tcW w:w="7568" w:type="dxa"/>
            <w:tcBorders>
              <w:top w:val="nil"/>
              <w:left w:val="nil"/>
              <w:bottom w:val="nil"/>
              <w:right w:val="nil"/>
            </w:tcBorders>
          </w:tcPr>
          <w:p w14:paraId="5BAEEF04" w14:textId="77777777" w:rsidR="00C15FCE" w:rsidRPr="00A71518" w:rsidRDefault="00C15FCE" w:rsidP="00C15FCE">
            <w:pPr>
              <w:suppressAutoHyphens/>
              <w:rPr>
                <w:rFonts w:cs="Arial"/>
                <w:spacing w:val="-2"/>
              </w:rPr>
            </w:pPr>
          </w:p>
        </w:tc>
        <w:tc>
          <w:tcPr>
            <w:tcW w:w="1274" w:type="dxa"/>
            <w:tcBorders>
              <w:top w:val="nil"/>
              <w:left w:val="nil"/>
              <w:bottom w:val="nil"/>
              <w:right w:val="nil"/>
            </w:tcBorders>
          </w:tcPr>
          <w:p w14:paraId="61144F95" w14:textId="77777777" w:rsidR="00C15FCE" w:rsidRPr="00E34E0C" w:rsidRDefault="00C15FCE" w:rsidP="00C15FCE">
            <w:pPr>
              <w:suppressAutoHyphens/>
              <w:ind w:right="78"/>
              <w:jc w:val="center"/>
              <w:rPr>
                <w:rFonts w:cs="Arial"/>
                <w:b/>
                <w:spacing w:val="-2"/>
              </w:rPr>
            </w:pPr>
            <w:r w:rsidRPr="00E34E0C">
              <w:rPr>
                <w:b/>
              </w:rPr>
              <w:t>Male</w:t>
            </w:r>
          </w:p>
        </w:tc>
        <w:tc>
          <w:tcPr>
            <w:tcW w:w="1189" w:type="dxa"/>
            <w:tcBorders>
              <w:top w:val="nil"/>
              <w:left w:val="nil"/>
              <w:bottom w:val="nil"/>
              <w:right w:val="nil"/>
            </w:tcBorders>
          </w:tcPr>
          <w:p w14:paraId="633DECE1" w14:textId="77777777" w:rsidR="00C15FCE" w:rsidRPr="00E34E0C" w:rsidRDefault="00C15FCE" w:rsidP="00C15FCE">
            <w:pPr>
              <w:suppressAutoHyphens/>
              <w:ind w:right="78"/>
              <w:jc w:val="center"/>
              <w:rPr>
                <w:rFonts w:cs="Arial"/>
                <w:b/>
                <w:spacing w:val="-2"/>
              </w:rPr>
            </w:pPr>
            <w:r w:rsidRPr="00E34E0C">
              <w:rPr>
                <w:b/>
              </w:rPr>
              <w:t>Female</w:t>
            </w:r>
          </w:p>
        </w:tc>
      </w:tr>
      <w:tr w:rsidR="00C15FCE" w:rsidRPr="00C328EF" w14:paraId="06EEE8BA" w14:textId="77777777" w:rsidTr="00C15FCE">
        <w:tc>
          <w:tcPr>
            <w:tcW w:w="7568" w:type="dxa"/>
            <w:tcBorders>
              <w:top w:val="nil"/>
              <w:left w:val="nil"/>
              <w:bottom w:val="nil"/>
              <w:right w:val="nil"/>
            </w:tcBorders>
          </w:tcPr>
          <w:p w14:paraId="1F450C36" w14:textId="77777777" w:rsidR="00C15FCE" w:rsidRPr="00A71518" w:rsidRDefault="00C15FCE" w:rsidP="00C15FCE">
            <w:pPr>
              <w:jc w:val="both"/>
            </w:pPr>
            <w:r w:rsidRPr="00A71518">
              <w:t>Current pensioners</w:t>
            </w:r>
          </w:p>
        </w:tc>
        <w:tc>
          <w:tcPr>
            <w:tcW w:w="1274" w:type="dxa"/>
            <w:tcBorders>
              <w:top w:val="nil"/>
              <w:left w:val="nil"/>
              <w:bottom w:val="nil"/>
              <w:right w:val="nil"/>
            </w:tcBorders>
          </w:tcPr>
          <w:p w14:paraId="36F230AF" w14:textId="77777777" w:rsidR="00C15FCE" w:rsidRPr="00E34E0C" w:rsidRDefault="00A85D25" w:rsidP="00C15FCE">
            <w:pPr>
              <w:suppressAutoHyphens/>
              <w:ind w:right="78"/>
              <w:jc w:val="center"/>
              <w:rPr>
                <w:rFonts w:cs="Arial"/>
                <w:spacing w:val="-2"/>
              </w:rPr>
            </w:pPr>
            <w:r w:rsidRPr="00E34E0C">
              <w:rPr>
                <w:rFonts w:cs="Arial"/>
                <w:spacing w:val="-2"/>
              </w:rPr>
              <w:t>19.</w:t>
            </w:r>
            <w:r w:rsidR="00E34E0C" w:rsidRPr="00E34E0C">
              <w:rPr>
                <w:rFonts w:cs="Arial"/>
                <w:spacing w:val="-2"/>
              </w:rPr>
              <w:t>0</w:t>
            </w:r>
          </w:p>
        </w:tc>
        <w:tc>
          <w:tcPr>
            <w:tcW w:w="1189" w:type="dxa"/>
            <w:tcBorders>
              <w:top w:val="nil"/>
              <w:left w:val="nil"/>
              <w:bottom w:val="nil"/>
              <w:right w:val="nil"/>
            </w:tcBorders>
          </w:tcPr>
          <w:p w14:paraId="044284D7" w14:textId="77777777" w:rsidR="00C15FCE" w:rsidRPr="00E34E0C" w:rsidRDefault="00C15FCE" w:rsidP="00C15FCE">
            <w:pPr>
              <w:suppressAutoHyphens/>
              <w:ind w:right="78"/>
              <w:jc w:val="center"/>
              <w:rPr>
                <w:rFonts w:cs="Arial"/>
                <w:spacing w:val="-2"/>
              </w:rPr>
            </w:pPr>
            <w:r w:rsidRPr="00E34E0C">
              <w:rPr>
                <w:rFonts w:cs="Arial"/>
                <w:spacing w:val="-2"/>
              </w:rPr>
              <w:t>2</w:t>
            </w:r>
            <w:r w:rsidR="00A85D25" w:rsidRPr="00E34E0C">
              <w:rPr>
                <w:rFonts w:cs="Arial"/>
                <w:spacing w:val="-2"/>
              </w:rPr>
              <w:t>1</w:t>
            </w:r>
            <w:r w:rsidRPr="00E34E0C">
              <w:rPr>
                <w:rFonts w:cs="Arial"/>
                <w:spacing w:val="-2"/>
              </w:rPr>
              <w:t>.</w:t>
            </w:r>
            <w:r w:rsidR="00E34E0C" w:rsidRPr="00E34E0C">
              <w:rPr>
                <w:rFonts w:cs="Arial"/>
                <w:spacing w:val="-2"/>
              </w:rPr>
              <w:t>3</w:t>
            </w:r>
          </w:p>
        </w:tc>
      </w:tr>
      <w:tr w:rsidR="00C15FCE" w:rsidRPr="00C328EF" w14:paraId="43146D5C" w14:textId="77777777" w:rsidTr="00C15FCE">
        <w:tc>
          <w:tcPr>
            <w:tcW w:w="7568" w:type="dxa"/>
            <w:tcBorders>
              <w:top w:val="nil"/>
              <w:left w:val="nil"/>
              <w:bottom w:val="nil"/>
              <w:right w:val="nil"/>
            </w:tcBorders>
          </w:tcPr>
          <w:p w14:paraId="1662D907" w14:textId="77777777" w:rsidR="00C15FCE" w:rsidRPr="00A71518" w:rsidRDefault="00C15FCE" w:rsidP="00C15FCE">
            <w:pPr>
              <w:jc w:val="both"/>
            </w:pPr>
            <w:r w:rsidRPr="00A71518">
              <w:t>Future pensioners</w:t>
            </w:r>
          </w:p>
        </w:tc>
        <w:tc>
          <w:tcPr>
            <w:tcW w:w="1274" w:type="dxa"/>
            <w:tcBorders>
              <w:top w:val="nil"/>
              <w:left w:val="nil"/>
              <w:bottom w:val="nil"/>
              <w:right w:val="nil"/>
            </w:tcBorders>
          </w:tcPr>
          <w:p w14:paraId="692C9085" w14:textId="77777777" w:rsidR="00C15FCE" w:rsidRPr="00E34E0C" w:rsidRDefault="00B25CEE" w:rsidP="00C15FCE">
            <w:pPr>
              <w:suppressAutoHyphens/>
              <w:ind w:right="78"/>
              <w:jc w:val="center"/>
              <w:rPr>
                <w:rFonts w:cs="Arial"/>
                <w:spacing w:val="-2"/>
              </w:rPr>
            </w:pPr>
            <w:r w:rsidRPr="00E34E0C">
              <w:rPr>
                <w:rFonts w:cs="Arial"/>
                <w:spacing w:val="-2"/>
              </w:rPr>
              <w:t>2</w:t>
            </w:r>
            <w:r w:rsidR="00A85D25" w:rsidRPr="00E34E0C">
              <w:rPr>
                <w:rFonts w:cs="Arial"/>
                <w:spacing w:val="-2"/>
              </w:rPr>
              <w:t>0</w:t>
            </w:r>
            <w:r w:rsidRPr="00E34E0C">
              <w:rPr>
                <w:rFonts w:cs="Arial"/>
                <w:spacing w:val="-2"/>
              </w:rPr>
              <w:t>.</w:t>
            </w:r>
            <w:r w:rsidR="00E34E0C" w:rsidRPr="00E34E0C">
              <w:rPr>
                <w:rFonts w:cs="Arial"/>
                <w:spacing w:val="-2"/>
              </w:rPr>
              <w:t>3</w:t>
            </w:r>
          </w:p>
        </w:tc>
        <w:tc>
          <w:tcPr>
            <w:tcW w:w="1189" w:type="dxa"/>
            <w:tcBorders>
              <w:top w:val="nil"/>
              <w:left w:val="nil"/>
              <w:bottom w:val="nil"/>
              <w:right w:val="nil"/>
            </w:tcBorders>
          </w:tcPr>
          <w:p w14:paraId="6DB13A3F" w14:textId="77777777" w:rsidR="00C15FCE" w:rsidRPr="00E34E0C" w:rsidRDefault="00C15FCE" w:rsidP="00C15FCE">
            <w:pPr>
              <w:suppressAutoHyphens/>
              <w:ind w:right="78"/>
              <w:jc w:val="center"/>
              <w:rPr>
                <w:rFonts w:cs="Arial"/>
                <w:spacing w:val="-2"/>
              </w:rPr>
            </w:pPr>
            <w:r w:rsidRPr="00E34E0C">
              <w:rPr>
                <w:rFonts w:cs="Arial"/>
                <w:spacing w:val="-2"/>
              </w:rPr>
              <w:t>2</w:t>
            </w:r>
            <w:r w:rsidR="00A85D25" w:rsidRPr="00E34E0C">
              <w:rPr>
                <w:rFonts w:cs="Arial"/>
                <w:spacing w:val="-2"/>
              </w:rPr>
              <w:t>4</w:t>
            </w:r>
            <w:r w:rsidRPr="00E34E0C">
              <w:rPr>
                <w:rFonts w:cs="Arial"/>
                <w:spacing w:val="-2"/>
              </w:rPr>
              <w:t>.</w:t>
            </w:r>
            <w:r w:rsidR="00E34E0C" w:rsidRPr="00E34E0C">
              <w:rPr>
                <w:rFonts w:cs="Arial"/>
                <w:spacing w:val="-2"/>
              </w:rPr>
              <w:t>1</w:t>
            </w:r>
          </w:p>
        </w:tc>
      </w:tr>
    </w:tbl>
    <w:p w14:paraId="01B4409C" w14:textId="77777777" w:rsidR="00C95FAF" w:rsidRPr="00C328EF" w:rsidRDefault="00C95FAF" w:rsidP="0018475F">
      <w:pPr>
        <w:rPr>
          <w:b/>
          <w:highlight w:val="yellow"/>
        </w:rPr>
      </w:pPr>
    </w:p>
    <w:p w14:paraId="7B1F6082" w14:textId="77777777" w:rsidR="00DF06BB" w:rsidRPr="00A71518" w:rsidRDefault="00DF06BB" w:rsidP="00DF06BB">
      <w:pPr>
        <w:jc w:val="both"/>
      </w:pPr>
      <w:r w:rsidRPr="00A71518">
        <w:t xml:space="preserve">The average duration of the benefit obligation at </w:t>
      </w:r>
      <w:r w:rsidR="00366ADE">
        <w:t>28</w:t>
      </w:r>
      <w:r w:rsidRPr="00A71518">
        <w:t xml:space="preserve"> December 20</w:t>
      </w:r>
      <w:r w:rsidR="003B269C" w:rsidRPr="00A71518">
        <w:t>2</w:t>
      </w:r>
      <w:r w:rsidR="00A71518" w:rsidRPr="00A71518">
        <w:t>4</w:t>
      </w:r>
      <w:r w:rsidRPr="00A71518">
        <w:t xml:space="preserve"> is 1</w:t>
      </w:r>
      <w:r w:rsidR="009E1679" w:rsidRPr="00A71518">
        <w:t>5</w:t>
      </w:r>
      <w:r w:rsidRPr="00A71518">
        <w:t xml:space="preserve"> years (20</w:t>
      </w:r>
      <w:r w:rsidR="00EA3087" w:rsidRPr="00A71518">
        <w:t>2</w:t>
      </w:r>
      <w:r w:rsidR="00A71518" w:rsidRPr="00A71518">
        <w:t>3</w:t>
      </w:r>
      <w:r w:rsidRPr="00A71518">
        <w:t>: 1</w:t>
      </w:r>
      <w:r w:rsidR="00A71518" w:rsidRPr="00A71518">
        <w:t>5</w:t>
      </w:r>
      <w:r w:rsidR="0018475F" w:rsidRPr="00A71518">
        <w:t xml:space="preserve"> years). </w:t>
      </w:r>
      <w:r w:rsidRPr="00A71518">
        <w:t xml:space="preserve">This number can be analysed as follows: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2"/>
        <w:gridCol w:w="1674"/>
        <w:gridCol w:w="2055"/>
      </w:tblGrid>
      <w:tr w:rsidR="0018475F" w:rsidRPr="00A71518" w14:paraId="6BA1F7E8" w14:textId="77777777" w:rsidTr="000D23EA">
        <w:tc>
          <w:tcPr>
            <w:tcW w:w="6302" w:type="dxa"/>
            <w:tcBorders>
              <w:top w:val="nil"/>
              <w:left w:val="nil"/>
              <w:bottom w:val="nil"/>
              <w:right w:val="nil"/>
            </w:tcBorders>
          </w:tcPr>
          <w:p w14:paraId="7DC65223" w14:textId="77777777" w:rsidR="0018475F" w:rsidRPr="00A71518" w:rsidRDefault="0018475F" w:rsidP="00832A9E">
            <w:pPr>
              <w:suppressAutoHyphens/>
              <w:rPr>
                <w:rFonts w:cs="Arial"/>
                <w:spacing w:val="-2"/>
              </w:rPr>
            </w:pPr>
          </w:p>
        </w:tc>
        <w:tc>
          <w:tcPr>
            <w:tcW w:w="1674" w:type="dxa"/>
            <w:tcBorders>
              <w:top w:val="nil"/>
              <w:left w:val="nil"/>
              <w:bottom w:val="nil"/>
              <w:right w:val="nil"/>
            </w:tcBorders>
          </w:tcPr>
          <w:p w14:paraId="3C4A03AC" w14:textId="77777777" w:rsidR="0018475F" w:rsidRPr="00A71518" w:rsidRDefault="003B7A8B" w:rsidP="005566E9">
            <w:pPr>
              <w:ind w:right="340"/>
              <w:jc w:val="right"/>
              <w:rPr>
                <w:b/>
              </w:rPr>
            </w:pPr>
            <w:r>
              <w:rPr>
                <w:b/>
              </w:rPr>
              <w:t>28/12/</w:t>
            </w:r>
            <w:r w:rsidR="0018475F" w:rsidRPr="00A71518">
              <w:rPr>
                <w:b/>
              </w:rPr>
              <w:t>20</w:t>
            </w:r>
            <w:r w:rsidR="003B269C" w:rsidRPr="00A71518">
              <w:rPr>
                <w:b/>
              </w:rPr>
              <w:t>2</w:t>
            </w:r>
            <w:r w:rsidR="00A71518">
              <w:rPr>
                <w:b/>
              </w:rPr>
              <w:t>4</w:t>
            </w:r>
          </w:p>
        </w:tc>
        <w:tc>
          <w:tcPr>
            <w:tcW w:w="2055" w:type="dxa"/>
            <w:tcBorders>
              <w:top w:val="nil"/>
              <w:left w:val="nil"/>
              <w:bottom w:val="nil"/>
              <w:right w:val="nil"/>
            </w:tcBorders>
          </w:tcPr>
          <w:p w14:paraId="7E7BBA2B" w14:textId="77777777" w:rsidR="0018475F" w:rsidRPr="00A71518" w:rsidRDefault="003B7A8B" w:rsidP="00FB5058">
            <w:pPr>
              <w:ind w:left="312" w:right="340"/>
              <w:jc w:val="center"/>
              <w:rPr>
                <w:b/>
              </w:rPr>
            </w:pPr>
            <w:r>
              <w:rPr>
                <w:b/>
              </w:rPr>
              <w:t>30/12/</w:t>
            </w:r>
            <w:r w:rsidR="0018475F" w:rsidRPr="00A71518">
              <w:rPr>
                <w:b/>
              </w:rPr>
              <w:t>20</w:t>
            </w:r>
            <w:r w:rsidR="00102B11" w:rsidRPr="00A71518">
              <w:rPr>
                <w:b/>
              </w:rPr>
              <w:t>2</w:t>
            </w:r>
            <w:r w:rsidR="00A71518">
              <w:rPr>
                <w:b/>
              </w:rPr>
              <w:t>3</w:t>
            </w:r>
          </w:p>
        </w:tc>
      </w:tr>
      <w:tr w:rsidR="00A71518" w:rsidRPr="00C328EF" w14:paraId="2B63F955" w14:textId="77777777" w:rsidTr="000D23EA">
        <w:tc>
          <w:tcPr>
            <w:tcW w:w="6302" w:type="dxa"/>
            <w:tcBorders>
              <w:top w:val="nil"/>
              <w:left w:val="nil"/>
              <w:bottom w:val="nil"/>
              <w:right w:val="nil"/>
            </w:tcBorders>
          </w:tcPr>
          <w:p w14:paraId="3FB07BE3" w14:textId="77777777" w:rsidR="00A71518" w:rsidRPr="00A71518" w:rsidRDefault="00A71518" w:rsidP="00A71518">
            <w:pPr>
              <w:jc w:val="both"/>
            </w:pPr>
            <w:r w:rsidRPr="00A71518">
              <w:t>Active members</w:t>
            </w:r>
          </w:p>
        </w:tc>
        <w:tc>
          <w:tcPr>
            <w:tcW w:w="1674" w:type="dxa"/>
            <w:tcBorders>
              <w:top w:val="nil"/>
              <w:left w:val="nil"/>
              <w:bottom w:val="nil"/>
              <w:right w:val="nil"/>
            </w:tcBorders>
          </w:tcPr>
          <w:p w14:paraId="708D9000" w14:textId="77777777" w:rsidR="00A71518" w:rsidRPr="00A71518" w:rsidRDefault="00A71518" w:rsidP="00A71518">
            <w:pPr>
              <w:suppressAutoHyphens/>
              <w:ind w:right="78"/>
              <w:jc w:val="center"/>
              <w:rPr>
                <w:rFonts w:cs="Arial"/>
                <w:spacing w:val="-2"/>
              </w:rPr>
            </w:pPr>
            <w:r w:rsidRPr="00A71518">
              <w:rPr>
                <w:rFonts w:cs="Arial"/>
                <w:spacing w:val="-2"/>
              </w:rPr>
              <w:t>21 years</w:t>
            </w:r>
          </w:p>
        </w:tc>
        <w:tc>
          <w:tcPr>
            <w:tcW w:w="2055" w:type="dxa"/>
            <w:tcBorders>
              <w:top w:val="nil"/>
              <w:left w:val="nil"/>
              <w:bottom w:val="nil"/>
              <w:right w:val="nil"/>
            </w:tcBorders>
          </w:tcPr>
          <w:p w14:paraId="01DA365B" w14:textId="77777777" w:rsidR="00A71518" w:rsidRPr="00A71518" w:rsidRDefault="00A71518" w:rsidP="00A71518">
            <w:pPr>
              <w:suppressAutoHyphens/>
              <w:ind w:right="78"/>
              <w:jc w:val="center"/>
              <w:rPr>
                <w:rFonts w:cs="Arial"/>
                <w:spacing w:val="-2"/>
              </w:rPr>
            </w:pPr>
            <w:r w:rsidRPr="00A71518">
              <w:rPr>
                <w:rFonts w:cs="Arial"/>
                <w:spacing w:val="-2"/>
              </w:rPr>
              <w:t>21 years</w:t>
            </w:r>
          </w:p>
        </w:tc>
      </w:tr>
      <w:tr w:rsidR="00A71518" w:rsidRPr="00C328EF" w14:paraId="5898E598" w14:textId="77777777" w:rsidTr="000D23EA">
        <w:tc>
          <w:tcPr>
            <w:tcW w:w="6302" w:type="dxa"/>
            <w:tcBorders>
              <w:top w:val="nil"/>
              <w:left w:val="nil"/>
              <w:bottom w:val="nil"/>
              <w:right w:val="nil"/>
            </w:tcBorders>
          </w:tcPr>
          <w:p w14:paraId="3560F52B" w14:textId="77777777" w:rsidR="00A71518" w:rsidRPr="00A71518" w:rsidRDefault="00A71518" w:rsidP="00A71518">
            <w:pPr>
              <w:jc w:val="both"/>
            </w:pPr>
            <w:r w:rsidRPr="00A71518">
              <w:t>Deferred members</w:t>
            </w:r>
          </w:p>
        </w:tc>
        <w:tc>
          <w:tcPr>
            <w:tcW w:w="1674" w:type="dxa"/>
            <w:tcBorders>
              <w:top w:val="nil"/>
              <w:left w:val="nil"/>
              <w:bottom w:val="nil"/>
              <w:right w:val="nil"/>
            </w:tcBorders>
          </w:tcPr>
          <w:p w14:paraId="63AA4172" w14:textId="77777777" w:rsidR="00A71518" w:rsidRPr="00A71518" w:rsidRDefault="00A71518" w:rsidP="00A71518">
            <w:pPr>
              <w:suppressAutoHyphens/>
              <w:ind w:right="78"/>
              <w:jc w:val="center"/>
              <w:rPr>
                <w:rFonts w:cs="Arial"/>
                <w:spacing w:val="-2"/>
              </w:rPr>
            </w:pPr>
            <w:r w:rsidRPr="00A71518">
              <w:rPr>
                <w:rFonts w:cs="Arial"/>
                <w:spacing w:val="-2"/>
              </w:rPr>
              <w:t>20 years</w:t>
            </w:r>
          </w:p>
        </w:tc>
        <w:tc>
          <w:tcPr>
            <w:tcW w:w="2055" w:type="dxa"/>
            <w:tcBorders>
              <w:top w:val="nil"/>
              <w:left w:val="nil"/>
              <w:bottom w:val="nil"/>
              <w:right w:val="nil"/>
            </w:tcBorders>
          </w:tcPr>
          <w:p w14:paraId="159D8F8E" w14:textId="77777777" w:rsidR="00A71518" w:rsidRPr="00A71518" w:rsidRDefault="00A71518" w:rsidP="00A71518">
            <w:pPr>
              <w:suppressAutoHyphens/>
              <w:ind w:right="78"/>
              <w:jc w:val="center"/>
              <w:rPr>
                <w:rFonts w:cs="Arial"/>
                <w:spacing w:val="-2"/>
              </w:rPr>
            </w:pPr>
            <w:r w:rsidRPr="00A71518">
              <w:rPr>
                <w:rFonts w:cs="Arial"/>
                <w:spacing w:val="-2"/>
              </w:rPr>
              <w:t>20 years</w:t>
            </w:r>
          </w:p>
        </w:tc>
      </w:tr>
      <w:tr w:rsidR="00A71518" w:rsidRPr="00C328EF" w14:paraId="59F80910" w14:textId="77777777" w:rsidTr="000D23EA">
        <w:tc>
          <w:tcPr>
            <w:tcW w:w="6302" w:type="dxa"/>
            <w:tcBorders>
              <w:top w:val="nil"/>
              <w:left w:val="nil"/>
              <w:bottom w:val="nil"/>
              <w:right w:val="nil"/>
            </w:tcBorders>
          </w:tcPr>
          <w:p w14:paraId="7CACDC18" w14:textId="77777777" w:rsidR="00A71518" w:rsidRPr="00A71518" w:rsidRDefault="00A71518" w:rsidP="00A71518">
            <w:pPr>
              <w:jc w:val="both"/>
            </w:pPr>
            <w:r w:rsidRPr="00A71518">
              <w:t>Retired members</w:t>
            </w:r>
          </w:p>
        </w:tc>
        <w:tc>
          <w:tcPr>
            <w:tcW w:w="1674" w:type="dxa"/>
            <w:tcBorders>
              <w:top w:val="nil"/>
              <w:left w:val="nil"/>
              <w:bottom w:val="nil"/>
              <w:right w:val="nil"/>
            </w:tcBorders>
          </w:tcPr>
          <w:p w14:paraId="0E8489CB" w14:textId="77777777" w:rsidR="00A71518" w:rsidRPr="00A71518" w:rsidRDefault="00A71518" w:rsidP="00A71518">
            <w:pPr>
              <w:suppressAutoHyphens/>
              <w:ind w:right="78"/>
              <w:jc w:val="center"/>
              <w:rPr>
                <w:rFonts w:cs="Arial"/>
                <w:spacing w:val="-2"/>
              </w:rPr>
            </w:pPr>
            <w:r w:rsidRPr="00A71518">
              <w:rPr>
                <w:rFonts w:cs="Arial"/>
                <w:spacing w:val="-2"/>
              </w:rPr>
              <w:t>11 years</w:t>
            </w:r>
          </w:p>
        </w:tc>
        <w:tc>
          <w:tcPr>
            <w:tcW w:w="2055" w:type="dxa"/>
            <w:tcBorders>
              <w:top w:val="nil"/>
              <w:left w:val="nil"/>
              <w:bottom w:val="nil"/>
              <w:right w:val="nil"/>
            </w:tcBorders>
          </w:tcPr>
          <w:p w14:paraId="0DA6FB01" w14:textId="77777777" w:rsidR="00A71518" w:rsidRPr="00A71518" w:rsidRDefault="00A71518" w:rsidP="00A71518">
            <w:pPr>
              <w:suppressAutoHyphens/>
              <w:ind w:right="78"/>
              <w:jc w:val="center"/>
              <w:rPr>
                <w:rFonts w:cs="Arial"/>
                <w:spacing w:val="-2"/>
              </w:rPr>
            </w:pPr>
            <w:r w:rsidRPr="00A71518">
              <w:rPr>
                <w:rFonts w:cs="Arial"/>
                <w:spacing w:val="-2"/>
              </w:rPr>
              <w:t>11 years</w:t>
            </w:r>
          </w:p>
        </w:tc>
      </w:tr>
    </w:tbl>
    <w:p w14:paraId="1B809164" w14:textId="77777777" w:rsidR="00DF06BB" w:rsidRPr="00C328EF" w:rsidRDefault="00DF06BB" w:rsidP="00DF06BB">
      <w:pPr>
        <w:jc w:val="both"/>
        <w:rPr>
          <w:highlight w:val="yellow"/>
        </w:rPr>
      </w:pPr>
    </w:p>
    <w:p w14:paraId="2E56765B" w14:textId="77777777" w:rsidR="00F31584" w:rsidRPr="00A71518" w:rsidRDefault="00C15FCE" w:rsidP="00A54227">
      <w:pPr>
        <w:jc w:val="both"/>
      </w:pPr>
      <w:r w:rsidRPr="00A71518">
        <w:t>C</w:t>
      </w:r>
      <w:r w:rsidR="00F31584" w:rsidRPr="00A71518">
        <w:t xml:space="preserve">ontributions to post employment benefit plans for the </w:t>
      </w:r>
      <w:r w:rsidR="00366ADE">
        <w:t>period</w:t>
      </w:r>
      <w:r w:rsidR="00F31584" w:rsidRPr="00A71518">
        <w:t xml:space="preserve"> ended </w:t>
      </w:r>
      <w:r w:rsidR="00366ADE">
        <w:t>27</w:t>
      </w:r>
      <w:r w:rsidR="00F31584" w:rsidRPr="00A71518">
        <w:t xml:space="preserve"> December 20</w:t>
      </w:r>
      <w:r w:rsidR="0018475F" w:rsidRPr="00A71518">
        <w:t>2</w:t>
      </w:r>
      <w:r w:rsidR="00A71518" w:rsidRPr="00A71518">
        <w:t>5</w:t>
      </w:r>
      <w:r w:rsidR="00F31584" w:rsidRPr="00A71518">
        <w:t xml:space="preserve"> are </w:t>
      </w:r>
      <w:r w:rsidRPr="00A71518">
        <w:t xml:space="preserve">expected to be </w:t>
      </w:r>
      <w:r w:rsidR="00F31584" w:rsidRPr="00A71518">
        <w:t>£</w:t>
      </w:r>
      <w:r w:rsidR="00B25CEE" w:rsidRPr="00A71518">
        <w:t>2</w:t>
      </w:r>
      <w:r w:rsidR="00F31584" w:rsidRPr="00A71518">
        <w:t>,</w:t>
      </w:r>
      <w:r w:rsidR="00A71518" w:rsidRPr="00A71518">
        <w:t>010</w:t>
      </w:r>
      <w:r w:rsidR="00A54227" w:rsidRPr="00A71518">
        <w:t>,</w:t>
      </w:r>
      <w:r w:rsidR="00F31584" w:rsidRPr="00A71518">
        <w:t>000.</w:t>
      </w:r>
    </w:p>
    <w:p w14:paraId="46075068" w14:textId="77777777" w:rsidR="00C95FAF" w:rsidRPr="00C328EF" w:rsidRDefault="00C95FAF" w:rsidP="000D4732">
      <w:pPr>
        <w:rPr>
          <w:highlight w:val="yellow"/>
        </w:rPr>
      </w:pPr>
    </w:p>
    <w:p w14:paraId="21A48D56" w14:textId="77777777" w:rsidR="004E0CDB" w:rsidRPr="00AE607B" w:rsidRDefault="004E0CDB" w:rsidP="000D4732"/>
    <w:p w14:paraId="40CED0C4" w14:textId="77777777" w:rsidR="00C94628" w:rsidRPr="00AE607B" w:rsidRDefault="00C94628" w:rsidP="00A5227C">
      <w:pPr>
        <w:numPr>
          <w:ilvl w:val="0"/>
          <w:numId w:val="42"/>
        </w:numPr>
        <w:ind w:left="502" w:hanging="502"/>
        <w:rPr>
          <w:b/>
        </w:rPr>
      </w:pPr>
      <w:r w:rsidRPr="00AE607B">
        <w:rPr>
          <w:b/>
        </w:rPr>
        <w:t>Operating leases</w:t>
      </w:r>
    </w:p>
    <w:p w14:paraId="592BD5B4" w14:textId="77777777" w:rsidR="00C94628" w:rsidRPr="00AE607B" w:rsidRDefault="00C94628" w:rsidP="00C94628">
      <w:pPr>
        <w:jc w:val="both"/>
      </w:pPr>
    </w:p>
    <w:p w14:paraId="01B246D1" w14:textId="77777777" w:rsidR="00C15FCE" w:rsidRPr="001265E9" w:rsidRDefault="00C15FCE" w:rsidP="00C15FCE">
      <w:pPr>
        <w:jc w:val="both"/>
      </w:pPr>
      <w:r w:rsidRPr="00AE607B">
        <w:rPr>
          <w:b/>
        </w:rPr>
        <w:t>As a lessor</w:t>
      </w:r>
    </w:p>
    <w:p w14:paraId="2F536D09" w14:textId="77777777" w:rsidR="00C15FCE" w:rsidRPr="001265E9" w:rsidRDefault="00C15FCE" w:rsidP="00C15FCE">
      <w:pPr>
        <w:jc w:val="both"/>
      </w:pPr>
      <w:r w:rsidRPr="001265E9">
        <w:t xml:space="preserve">Lease arrangements, where the Group acts as the Lessor, are for properties which are leased for periods of up to fifteen years. Property lease arrangements generally contain clauses for periodic reassessment of rentals payable, typically each three or five years. </w:t>
      </w:r>
    </w:p>
    <w:p w14:paraId="2E8AB316" w14:textId="77777777" w:rsidR="00C15FCE" w:rsidRPr="001265E9" w:rsidRDefault="00C15FCE" w:rsidP="00C15FCE">
      <w:pPr>
        <w:tabs>
          <w:tab w:val="left" w:pos="567"/>
          <w:tab w:val="left" w:pos="1134"/>
        </w:tabs>
        <w:rPr>
          <w:b/>
        </w:rPr>
      </w:pPr>
    </w:p>
    <w:tbl>
      <w:tblPr>
        <w:tblW w:w="10173" w:type="dxa"/>
        <w:tblLayout w:type="fixed"/>
        <w:tblLook w:val="0000" w:firstRow="0" w:lastRow="0" w:firstColumn="0" w:lastColumn="0" w:noHBand="0" w:noVBand="0"/>
      </w:tblPr>
      <w:tblGrid>
        <w:gridCol w:w="4503"/>
        <w:gridCol w:w="1559"/>
        <w:gridCol w:w="1417"/>
        <w:gridCol w:w="1276"/>
        <w:gridCol w:w="1418"/>
      </w:tblGrid>
      <w:tr w:rsidR="00C15FCE" w:rsidRPr="001265E9" w14:paraId="15533FBF" w14:textId="77777777" w:rsidTr="000D23EA">
        <w:tc>
          <w:tcPr>
            <w:tcW w:w="4503" w:type="dxa"/>
          </w:tcPr>
          <w:p w14:paraId="1A05220B" w14:textId="77777777" w:rsidR="00C15FCE" w:rsidRPr="001265E9" w:rsidRDefault="00C15FCE" w:rsidP="005D329C">
            <w:pPr>
              <w:rPr>
                <w:b/>
              </w:rPr>
            </w:pPr>
            <w:r w:rsidRPr="001265E9">
              <w:rPr>
                <w:rFonts w:cs="Arial"/>
                <w:b/>
                <w:lang w:eastAsia="en-GB"/>
              </w:rPr>
              <w:t>Gross lease receipts:</w:t>
            </w:r>
          </w:p>
        </w:tc>
        <w:tc>
          <w:tcPr>
            <w:tcW w:w="2976" w:type="dxa"/>
            <w:gridSpan w:val="2"/>
          </w:tcPr>
          <w:p w14:paraId="51F7CBAC" w14:textId="77777777" w:rsidR="00C15FCE" w:rsidRPr="001265E9" w:rsidRDefault="00C15FCE" w:rsidP="005D329C">
            <w:pPr>
              <w:ind w:left="-108"/>
              <w:jc w:val="center"/>
              <w:rPr>
                <w:b/>
              </w:rPr>
            </w:pPr>
            <w:r w:rsidRPr="001265E9">
              <w:rPr>
                <w:b/>
              </w:rPr>
              <w:t xml:space="preserve">Consolidated </w:t>
            </w:r>
          </w:p>
          <w:p w14:paraId="2A4D70DC" w14:textId="77777777" w:rsidR="00C15FCE" w:rsidRPr="001265E9" w:rsidRDefault="00C15FCE" w:rsidP="005D329C">
            <w:pPr>
              <w:ind w:left="-108"/>
              <w:jc w:val="center"/>
              <w:rPr>
                <w:b/>
              </w:rPr>
            </w:pPr>
            <w:r w:rsidRPr="001265E9">
              <w:rPr>
                <w:b/>
              </w:rPr>
              <w:t>Group</w:t>
            </w:r>
          </w:p>
        </w:tc>
        <w:tc>
          <w:tcPr>
            <w:tcW w:w="2694" w:type="dxa"/>
            <w:gridSpan w:val="2"/>
          </w:tcPr>
          <w:p w14:paraId="77EF668F" w14:textId="77777777" w:rsidR="00C15FCE" w:rsidRPr="001265E9" w:rsidRDefault="00C15FCE" w:rsidP="005D329C">
            <w:pPr>
              <w:ind w:left="-108"/>
              <w:jc w:val="center"/>
              <w:rPr>
                <w:b/>
              </w:rPr>
            </w:pPr>
            <w:r w:rsidRPr="001265E9">
              <w:rPr>
                <w:b/>
              </w:rPr>
              <w:t xml:space="preserve">Parent </w:t>
            </w:r>
          </w:p>
          <w:p w14:paraId="363E7675" w14:textId="77777777" w:rsidR="00C15FCE" w:rsidRPr="001265E9" w:rsidRDefault="00C15FCE" w:rsidP="005D329C">
            <w:pPr>
              <w:ind w:left="-108"/>
              <w:jc w:val="center"/>
              <w:rPr>
                <w:b/>
              </w:rPr>
            </w:pPr>
            <w:r w:rsidRPr="001265E9">
              <w:rPr>
                <w:b/>
              </w:rPr>
              <w:t>Entity</w:t>
            </w:r>
          </w:p>
        </w:tc>
      </w:tr>
      <w:tr w:rsidR="00C15FCE" w:rsidRPr="00C328EF" w14:paraId="1A4DCF9B" w14:textId="77777777" w:rsidTr="000D23EA">
        <w:tc>
          <w:tcPr>
            <w:tcW w:w="4503" w:type="dxa"/>
          </w:tcPr>
          <w:p w14:paraId="35C142AD" w14:textId="77777777" w:rsidR="00C15FCE" w:rsidRPr="00C328EF" w:rsidRDefault="00C15FCE" w:rsidP="005D329C">
            <w:pPr>
              <w:ind w:left="546"/>
              <w:jc w:val="both"/>
              <w:rPr>
                <w:b/>
                <w:highlight w:val="yellow"/>
              </w:rPr>
            </w:pPr>
          </w:p>
        </w:tc>
        <w:tc>
          <w:tcPr>
            <w:tcW w:w="1559" w:type="dxa"/>
          </w:tcPr>
          <w:p w14:paraId="5227BAD7" w14:textId="77777777" w:rsidR="00C15FCE" w:rsidRPr="001265E9" w:rsidRDefault="003B7A8B" w:rsidP="005D329C">
            <w:pPr>
              <w:suppressAutoHyphens/>
              <w:ind w:right="138"/>
              <w:jc w:val="center"/>
              <w:rPr>
                <w:rFonts w:cs="Arial"/>
                <w:b/>
                <w:spacing w:val="-2"/>
              </w:rPr>
            </w:pPr>
            <w:r>
              <w:rPr>
                <w:rFonts w:cs="Arial"/>
                <w:b/>
                <w:spacing w:val="-2"/>
              </w:rPr>
              <w:t>28/12/</w:t>
            </w:r>
            <w:r w:rsidR="00C15FCE" w:rsidRPr="001265E9">
              <w:rPr>
                <w:rFonts w:cs="Arial"/>
                <w:b/>
                <w:spacing w:val="-2"/>
              </w:rPr>
              <w:t>20</w:t>
            </w:r>
            <w:r w:rsidR="003B269C" w:rsidRPr="001265E9">
              <w:rPr>
                <w:rFonts w:cs="Arial"/>
                <w:b/>
                <w:spacing w:val="-2"/>
              </w:rPr>
              <w:t>2</w:t>
            </w:r>
            <w:r w:rsidR="001265E9" w:rsidRPr="001265E9">
              <w:rPr>
                <w:rFonts w:cs="Arial"/>
                <w:b/>
                <w:spacing w:val="-2"/>
              </w:rPr>
              <w:t>4</w:t>
            </w:r>
          </w:p>
        </w:tc>
        <w:tc>
          <w:tcPr>
            <w:tcW w:w="1417" w:type="dxa"/>
          </w:tcPr>
          <w:p w14:paraId="5937BBB2" w14:textId="77777777" w:rsidR="00C15FCE" w:rsidRPr="001265E9" w:rsidRDefault="003B7A8B" w:rsidP="005D329C">
            <w:pPr>
              <w:suppressAutoHyphens/>
              <w:ind w:right="138"/>
              <w:jc w:val="center"/>
              <w:rPr>
                <w:rFonts w:cs="Arial"/>
                <w:b/>
                <w:spacing w:val="-2"/>
              </w:rPr>
            </w:pPr>
            <w:r>
              <w:rPr>
                <w:rFonts w:cs="Arial"/>
                <w:b/>
                <w:spacing w:val="-2"/>
              </w:rPr>
              <w:t>30/12</w:t>
            </w:r>
            <w:r w:rsidR="009A2E20">
              <w:rPr>
                <w:rFonts w:cs="Arial"/>
                <w:b/>
                <w:spacing w:val="-2"/>
              </w:rPr>
              <w:t>/</w:t>
            </w:r>
            <w:r w:rsidR="00C15FCE" w:rsidRPr="001265E9">
              <w:rPr>
                <w:rFonts w:cs="Arial"/>
                <w:b/>
                <w:spacing w:val="-2"/>
              </w:rPr>
              <w:t>20</w:t>
            </w:r>
            <w:r w:rsidR="00EA3087" w:rsidRPr="001265E9">
              <w:rPr>
                <w:rFonts w:cs="Arial"/>
                <w:b/>
                <w:spacing w:val="-2"/>
              </w:rPr>
              <w:t>2</w:t>
            </w:r>
            <w:r w:rsidR="001265E9" w:rsidRPr="001265E9">
              <w:rPr>
                <w:rFonts w:cs="Arial"/>
                <w:b/>
                <w:spacing w:val="-2"/>
              </w:rPr>
              <w:t>3</w:t>
            </w:r>
          </w:p>
        </w:tc>
        <w:tc>
          <w:tcPr>
            <w:tcW w:w="1276" w:type="dxa"/>
          </w:tcPr>
          <w:p w14:paraId="4A288397" w14:textId="77777777" w:rsidR="00C15FCE" w:rsidRPr="001265E9" w:rsidRDefault="003B7A8B" w:rsidP="00BF72BA">
            <w:pPr>
              <w:suppressAutoHyphens/>
              <w:ind w:right="30"/>
              <w:jc w:val="center"/>
              <w:rPr>
                <w:rFonts w:cs="Arial"/>
                <w:b/>
                <w:spacing w:val="-2"/>
              </w:rPr>
            </w:pPr>
            <w:r>
              <w:rPr>
                <w:rFonts w:cs="Arial"/>
                <w:b/>
                <w:spacing w:val="-2"/>
              </w:rPr>
              <w:t>28/12/</w:t>
            </w:r>
            <w:r w:rsidR="00C15FCE" w:rsidRPr="001265E9">
              <w:rPr>
                <w:rFonts w:cs="Arial"/>
                <w:b/>
                <w:spacing w:val="-2"/>
              </w:rPr>
              <w:t>20</w:t>
            </w:r>
            <w:r w:rsidR="003B269C" w:rsidRPr="001265E9">
              <w:rPr>
                <w:rFonts w:cs="Arial"/>
                <w:b/>
                <w:spacing w:val="-2"/>
              </w:rPr>
              <w:t>2</w:t>
            </w:r>
            <w:r w:rsidR="001265E9" w:rsidRPr="001265E9">
              <w:rPr>
                <w:rFonts w:cs="Arial"/>
                <w:b/>
                <w:spacing w:val="-2"/>
              </w:rPr>
              <w:t>4</w:t>
            </w:r>
          </w:p>
        </w:tc>
        <w:tc>
          <w:tcPr>
            <w:tcW w:w="1418" w:type="dxa"/>
          </w:tcPr>
          <w:p w14:paraId="0F4D0F3A" w14:textId="77777777" w:rsidR="00C15FCE" w:rsidRPr="001265E9" w:rsidRDefault="003B7A8B" w:rsidP="005D329C">
            <w:pPr>
              <w:suppressAutoHyphens/>
              <w:ind w:right="138"/>
              <w:jc w:val="center"/>
              <w:rPr>
                <w:rFonts w:cs="Arial"/>
                <w:b/>
                <w:spacing w:val="-2"/>
              </w:rPr>
            </w:pPr>
            <w:r>
              <w:rPr>
                <w:rFonts w:cs="Arial"/>
                <w:b/>
                <w:spacing w:val="-2"/>
              </w:rPr>
              <w:t>30/12</w:t>
            </w:r>
            <w:r w:rsidR="009A2E20">
              <w:rPr>
                <w:rFonts w:cs="Arial"/>
                <w:b/>
                <w:spacing w:val="-2"/>
              </w:rPr>
              <w:t>/</w:t>
            </w:r>
            <w:r w:rsidR="00C15FCE" w:rsidRPr="001265E9">
              <w:rPr>
                <w:rFonts w:cs="Arial"/>
                <w:b/>
                <w:spacing w:val="-2"/>
              </w:rPr>
              <w:t>20</w:t>
            </w:r>
            <w:r w:rsidR="00EA3087" w:rsidRPr="001265E9">
              <w:rPr>
                <w:rFonts w:cs="Arial"/>
                <w:b/>
                <w:spacing w:val="-2"/>
              </w:rPr>
              <w:t>2</w:t>
            </w:r>
            <w:r w:rsidR="001265E9" w:rsidRPr="001265E9">
              <w:rPr>
                <w:rFonts w:cs="Arial"/>
                <w:b/>
                <w:spacing w:val="-2"/>
              </w:rPr>
              <w:t>3</w:t>
            </w:r>
          </w:p>
        </w:tc>
      </w:tr>
      <w:tr w:rsidR="00C15FCE" w:rsidRPr="00C328EF" w14:paraId="11B3448C" w14:textId="77777777" w:rsidTr="000D23EA">
        <w:tc>
          <w:tcPr>
            <w:tcW w:w="4503" w:type="dxa"/>
          </w:tcPr>
          <w:p w14:paraId="3622353E" w14:textId="77777777" w:rsidR="00C15FCE" w:rsidRPr="00C328EF" w:rsidRDefault="00C15FCE" w:rsidP="005D329C">
            <w:pPr>
              <w:ind w:left="546"/>
              <w:jc w:val="both"/>
              <w:rPr>
                <w:b/>
                <w:highlight w:val="yellow"/>
              </w:rPr>
            </w:pPr>
          </w:p>
        </w:tc>
        <w:tc>
          <w:tcPr>
            <w:tcW w:w="1559" w:type="dxa"/>
          </w:tcPr>
          <w:p w14:paraId="59614D62" w14:textId="77777777" w:rsidR="00C15FCE" w:rsidRPr="001265E9" w:rsidRDefault="00C15FCE" w:rsidP="005D329C">
            <w:pPr>
              <w:suppressAutoHyphens/>
              <w:ind w:right="138"/>
              <w:jc w:val="center"/>
              <w:rPr>
                <w:rFonts w:cs="Arial"/>
                <w:b/>
                <w:spacing w:val="-2"/>
              </w:rPr>
            </w:pPr>
            <w:r w:rsidRPr="001265E9">
              <w:rPr>
                <w:rFonts w:cs="Arial"/>
                <w:b/>
                <w:spacing w:val="-2"/>
              </w:rPr>
              <w:t>£’000</w:t>
            </w:r>
          </w:p>
        </w:tc>
        <w:tc>
          <w:tcPr>
            <w:tcW w:w="1417" w:type="dxa"/>
          </w:tcPr>
          <w:p w14:paraId="04E29BD8" w14:textId="77777777" w:rsidR="00C15FCE" w:rsidRPr="001265E9" w:rsidRDefault="00C15FCE" w:rsidP="005D329C">
            <w:pPr>
              <w:suppressAutoHyphens/>
              <w:ind w:right="138"/>
              <w:jc w:val="center"/>
              <w:rPr>
                <w:rFonts w:cs="Arial"/>
                <w:b/>
                <w:spacing w:val="-2"/>
              </w:rPr>
            </w:pPr>
            <w:r w:rsidRPr="001265E9">
              <w:rPr>
                <w:rFonts w:cs="Arial"/>
                <w:b/>
                <w:spacing w:val="-2"/>
              </w:rPr>
              <w:t>£’000</w:t>
            </w:r>
          </w:p>
        </w:tc>
        <w:tc>
          <w:tcPr>
            <w:tcW w:w="1276" w:type="dxa"/>
          </w:tcPr>
          <w:p w14:paraId="04816EE3" w14:textId="77777777" w:rsidR="00C15FCE" w:rsidRPr="001265E9" w:rsidRDefault="00C15FCE" w:rsidP="005D329C">
            <w:pPr>
              <w:suppressAutoHyphens/>
              <w:ind w:right="138"/>
              <w:jc w:val="center"/>
              <w:rPr>
                <w:rFonts w:cs="Arial"/>
                <w:b/>
                <w:spacing w:val="-2"/>
              </w:rPr>
            </w:pPr>
            <w:r w:rsidRPr="001265E9">
              <w:rPr>
                <w:rFonts w:cs="Arial"/>
                <w:b/>
                <w:spacing w:val="-2"/>
              </w:rPr>
              <w:t>£’000</w:t>
            </w:r>
          </w:p>
        </w:tc>
        <w:tc>
          <w:tcPr>
            <w:tcW w:w="1418" w:type="dxa"/>
          </w:tcPr>
          <w:p w14:paraId="74879D87" w14:textId="77777777" w:rsidR="00C15FCE" w:rsidRPr="001265E9" w:rsidRDefault="00C15FCE" w:rsidP="005D329C">
            <w:pPr>
              <w:suppressAutoHyphens/>
              <w:ind w:right="138"/>
              <w:jc w:val="center"/>
              <w:rPr>
                <w:rFonts w:cs="Arial"/>
                <w:b/>
                <w:spacing w:val="-2"/>
              </w:rPr>
            </w:pPr>
            <w:r w:rsidRPr="001265E9">
              <w:rPr>
                <w:rFonts w:cs="Arial"/>
                <w:b/>
                <w:spacing w:val="-2"/>
              </w:rPr>
              <w:t>£’000</w:t>
            </w:r>
          </w:p>
        </w:tc>
      </w:tr>
      <w:tr w:rsidR="00C15FCE" w:rsidRPr="00C328EF" w14:paraId="59856FAF" w14:textId="77777777" w:rsidTr="000D23EA">
        <w:tc>
          <w:tcPr>
            <w:tcW w:w="4503" w:type="dxa"/>
          </w:tcPr>
          <w:p w14:paraId="2559761E" w14:textId="77777777" w:rsidR="00C15FCE" w:rsidRPr="001265E9" w:rsidRDefault="00C15FCE" w:rsidP="005D329C">
            <w:pPr>
              <w:jc w:val="both"/>
            </w:pPr>
            <w:r w:rsidRPr="001265E9">
              <w:t>Minimum lease receipts under non-cancellable leases due:</w:t>
            </w:r>
          </w:p>
        </w:tc>
        <w:tc>
          <w:tcPr>
            <w:tcW w:w="1559" w:type="dxa"/>
          </w:tcPr>
          <w:p w14:paraId="74152CC5" w14:textId="77777777" w:rsidR="00C15FCE" w:rsidRPr="00C328EF" w:rsidRDefault="00C15FCE" w:rsidP="005D329C">
            <w:pPr>
              <w:suppressAutoHyphens/>
              <w:ind w:right="138"/>
              <w:jc w:val="right"/>
              <w:rPr>
                <w:rFonts w:cs="Arial"/>
                <w:spacing w:val="-2"/>
                <w:highlight w:val="yellow"/>
              </w:rPr>
            </w:pPr>
          </w:p>
        </w:tc>
        <w:tc>
          <w:tcPr>
            <w:tcW w:w="1417" w:type="dxa"/>
          </w:tcPr>
          <w:p w14:paraId="6B637388" w14:textId="77777777" w:rsidR="00C15FCE" w:rsidRPr="00C328EF" w:rsidRDefault="00C15FCE" w:rsidP="005D329C">
            <w:pPr>
              <w:suppressAutoHyphens/>
              <w:ind w:right="138"/>
              <w:jc w:val="right"/>
              <w:rPr>
                <w:rFonts w:cs="Arial"/>
                <w:spacing w:val="-2"/>
                <w:highlight w:val="yellow"/>
              </w:rPr>
            </w:pPr>
          </w:p>
        </w:tc>
        <w:tc>
          <w:tcPr>
            <w:tcW w:w="1276" w:type="dxa"/>
          </w:tcPr>
          <w:p w14:paraId="61540CE2" w14:textId="77777777" w:rsidR="00C15FCE" w:rsidRPr="001265E9" w:rsidRDefault="00C15FCE" w:rsidP="005D329C">
            <w:pPr>
              <w:suppressAutoHyphens/>
              <w:ind w:right="138"/>
              <w:jc w:val="right"/>
              <w:rPr>
                <w:rFonts w:cs="Arial"/>
                <w:spacing w:val="-2"/>
              </w:rPr>
            </w:pPr>
          </w:p>
        </w:tc>
        <w:tc>
          <w:tcPr>
            <w:tcW w:w="1418" w:type="dxa"/>
          </w:tcPr>
          <w:p w14:paraId="707F2A44" w14:textId="77777777" w:rsidR="00C15FCE" w:rsidRPr="001265E9" w:rsidRDefault="00C15FCE" w:rsidP="005D329C">
            <w:pPr>
              <w:suppressAutoHyphens/>
              <w:ind w:right="138"/>
              <w:jc w:val="right"/>
              <w:rPr>
                <w:rFonts w:cs="Arial"/>
                <w:spacing w:val="-2"/>
              </w:rPr>
            </w:pPr>
          </w:p>
        </w:tc>
      </w:tr>
      <w:tr w:rsidR="00C15FCE" w:rsidRPr="00C328EF" w14:paraId="43DC1AAA" w14:textId="77777777" w:rsidTr="000D23EA">
        <w:tc>
          <w:tcPr>
            <w:tcW w:w="4503" w:type="dxa"/>
          </w:tcPr>
          <w:p w14:paraId="6F1A6583" w14:textId="77777777" w:rsidR="00C15FCE" w:rsidRPr="001265E9" w:rsidRDefault="00C15FCE" w:rsidP="005D329C">
            <w:pPr>
              <w:jc w:val="both"/>
            </w:pPr>
          </w:p>
        </w:tc>
        <w:tc>
          <w:tcPr>
            <w:tcW w:w="1559" w:type="dxa"/>
          </w:tcPr>
          <w:p w14:paraId="62B543BB" w14:textId="77777777" w:rsidR="00C15FCE" w:rsidRPr="00C328EF" w:rsidRDefault="00C15FCE" w:rsidP="005D329C">
            <w:pPr>
              <w:suppressAutoHyphens/>
              <w:ind w:right="138"/>
              <w:jc w:val="right"/>
              <w:rPr>
                <w:rFonts w:cs="Arial"/>
                <w:spacing w:val="-2"/>
                <w:highlight w:val="yellow"/>
              </w:rPr>
            </w:pPr>
          </w:p>
        </w:tc>
        <w:tc>
          <w:tcPr>
            <w:tcW w:w="1417" w:type="dxa"/>
          </w:tcPr>
          <w:p w14:paraId="5EF44190" w14:textId="77777777" w:rsidR="00C15FCE" w:rsidRPr="00C328EF" w:rsidRDefault="00C15FCE" w:rsidP="005D329C">
            <w:pPr>
              <w:suppressAutoHyphens/>
              <w:ind w:right="138"/>
              <w:jc w:val="right"/>
              <w:rPr>
                <w:rFonts w:cs="Arial"/>
                <w:spacing w:val="-2"/>
                <w:highlight w:val="yellow"/>
              </w:rPr>
            </w:pPr>
          </w:p>
        </w:tc>
        <w:tc>
          <w:tcPr>
            <w:tcW w:w="1276" w:type="dxa"/>
          </w:tcPr>
          <w:p w14:paraId="5B8408FA" w14:textId="77777777" w:rsidR="00C15FCE" w:rsidRPr="001265E9" w:rsidRDefault="00C15FCE" w:rsidP="005D329C">
            <w:pPr>
              <w:suppressAutoHyphens/>
              <w:ind w:right="138"/>
              <w:jc w:val="right"/>
              <w:rPr>
                <w:rFonts w:cs="Arial"/>
                <w:spacing w:val="-2"/>
              </w:rPr>
            </w:pPr>
          </w:p>
        </w:tc>
        <w:tc>
          <w:tcPr>
            <w:tcW w:w="1418" w:type="dxa"/>
          </w:tcPr>
          <w:p w14:paraId="73594C96" w14:textId="77777777" w:rsidR="00C15FCE" w:rsidRPr="001265E9" w:rsidRDefault="00C15FCE" w:rsidP="005D329C">
            <w:pPr>
              <w:suppressAutoHyphens/>
              <w:ind w:right="138"/>
              <w:jc w:val="right"/>
              <w:rPr>
                <w:rFonts w:cs="Arial"/>
                <w:spacing w:val="-2"/>
              </w:rPr>
            </w:pPr>
          </w:p>
        </w:tc>
      </w:tr>
      <w:tr w:rsidR="001265E9" w:rsidRPr="00C328EF" w14:paraId="43204838" w14:textId="77777777" w:rsidTr="000D23EA">
        <w:tc>
          <w:tcPr>
            <w:tcW w:w="4503" w:type="dxa"/>
          </w:tcPr>
          <w:p w14:paraId="6DF7D57B" w14:textId="77777777" w:rsidR="001265E9" w:rsidRPr="001265E9" w:rsidRDefault="001265E9" w:rsidP="001265E9">
            <w:pPr>
              <w:jc w:val="both"/>
            </w:pPr>
            <w:r w:rsidRPr="001265E9">
              <w:t>No later than one year</w:t>
            </w:r>
          </w:p>
        </w:tc>
        <w:tc>
          <w:tcPr>
            <w:tcW w:w="1559" w:type="dxa"/>
          </w:tcPr>
          <w:p w14:paraId="57C5B4D6" w14:textId="77777777" w:rsidR="001265E9" w:rsidRPr="00F622FC" w:rsidRDefault="00F622FC" w:rsidP="001265E9">
            <w:pPr>
              <w:suppressAutoHyphens/>
              <w:ind w:right="138"/>
              <w:jc w:val="right"/>
              <w:rPr>
                <w:rFonts w:cs="Arial"/>
                <w:spacing w:val="-2"/>
              </w:rPr>
            </w:pPr>
            <w:r w:rsidRPr="00F622FC">
              <w:rPr>
                <w:rFonts w:cs="Arial"/>
                <w:spacing w:val="-2"/>
              </w:rPr>
              <w:t>111</w:t>
            </w:r>
          </w:p>
        </w:tc>
        <w:tc>
          <w:tcPr>
            <w:tcW w:w="1417" w:type="dxa"/>
          </w:tcPr>
          <w:p w14:paraId="56B757F9" w14:textId="77777777" w:rsidR="001265E9" w:rsidRPr="001265E9" w:rsidRDefault="001265E9" w:rsidP="001265E9">
            <w:pPr>
              <w:suppressAutoHyphens/>
              <w:ind w:right="138"/>
              <w:jc w:val="right"/>
              <w:rPr>
                <w:rFonts w:cs="Arial"/>
                <w:spacing w:val="-2"/>
              </w:rPr>
            </w:pPr>
            <w:r w:rsidRPr="001265E9">
              <w:rPr>
                <w:rFonts w:cs="Arial"/>
                <w:spacing w:val="-2"/>
              </w:rPr>
              <w:t>76</w:t>
            </w:r>
          </w:p>
        </w:tc>
        <w:tc>
          <w:tcPr>
            <w:tcW w:w="1276" w:type="dxa"/>
          </w:tcPr>
          <w:p w14:paraId="52B6CA51" w14:textId="77777777" w:rsidR="001265E9" w:rsidRPr="001265E9" w:rsidRDefault="001265E9" w:rsidP="001265E9">
            <w:pPr>
              <w:suppressAutoHyphens/>
              <w:ind w:right="138"/>
              <w:jc w:val="right"/>
              <w:rPr>
                <w:rFonts w:cs="Arial"/>
                <w:spacing w:val="-2"/>
              </w:rPr>
            </w:pPr>
            <w:r w:rsidRPr="001265E9">
              <w:rPr>
                <w:rFonts w:cs="Arial"/>
                <w:spacing w:val="-2"/>
              </w:rPr>
              <w:t>-</w:t>
            </w:r>
          </w:p>
        </w:tc>
        <w:tc>
          <w:tcPr>
            <w:tcW w:w="1418" w:type="dxa"/>
          </w:tcPr>
          <w:p w14:paraId="497C5D9E" w14:textId="77777777" w:rsidR="001265E9" w:rsidRPr="001265E9" w:rsidRDefault="001265E9" w:rsidP="001265E9">
            <w:pPr>
              <w:suppressAutoHyphens/>
              <w:ind w:right="138"/>
              <w:jc w:val="right"/>
              <w:rPr>
                <w:rFonts w:cs="Arial"/>
                <w:spacing w:val="-2"/>
              </w:rPr>
            </w:pPr>
            <w:r w:rsidRPr="001265E9">
              <w:rPr>
                <w:rFonts w:cs="Arial"/>
                <w:spacing w:val="-2"/>
              </w:rPr>
              <w:t>-</w:t>
            </w:r>
          </w:p>
        </w:tc>
      </w:tr>
      <w:tr w:rsidR="001265E9" w:rsidRPr="00C328EF" w14:paraId="553134AB" w14:textId="77777777" w:rsidTr="000D23EA">
        <w:tc>
          <w:tcPr>
            <w:tcW w:w="4503" w:type="dxa"/>
          </w:tcPr>
          <w:p w14:paraId="487F73AB" w14:textId="77777777" w:rsidR="001265E9" w:rsidRPr="001265E9" w:rsidRDefault="001265E9" w:rsidP="001265E9">
            <w:pPr>
              <w:jc w:val="both"/>
            </w:pPr>
            <w:r w:rsidRPr="001265E9">
              <w:t>Later than one year but no later than five years</w:t>
            </w:r>
          </w:p>
        </w:tc>
        <w:tc>
          <w:tcPr>
            <w:tcW w:w="1559" w:type="dxa"/>
          </w:tcPr>
          <w:p w14:paraId="5C855377" w14:textId="77777777" w:rsidR="001265E9" w:rsidRPr="00F622FC" w:rsidRDefault="00D46E3D" w:rsidP="001265E9">
            <w:pPr>
              <w:suppressAutoHyphens/>
              <w:ind w:right="138"/>
              <w:jc w:val="right"/>
              <w:rPr>
                <w:rFonts w:cs="Arial"/>
                <w:spacing w:val="-2"/>
              </w:rPr>
            </w:pPr>
            <w:r>
              <w:rPr>
                <w:rFonts w:cs="Arial"/>
                <w:spacing w:val="-2"/>
              </w:rPr>
              <w:t>142</w:t>
            </w:r>
          </w:p>
        </w:tc>
        <w:tc>
          <w:tcPr>
            <w:tcW w:w="1417" w:type="dxa"/>
          </w:tcPr>
          <w:p w14:paraId="01DFEF1A" w14:textId="77777777" w:rsidR="001265E9" w:rsidRPr="001265E9" w:rsidRDefault="001265E9" w:rsidP="001265E9">
            <w:pPr>
              <w:suppressAutoHyphens/>
              <w:ind w:right="138"/>
              <w:jc w:val="right"/>
              <w:rPr>
                <w:rFonts w:cs="Arial"/>
                <w:spacing w:val="-2"/>
              </w:rPr>
            </w:pPr>
            <w:r w:rsidRPr="001265E9">
              <w:rPr>
                <w:rFonts w:cs="Arial"/>
                <w:spacing w:val="-2"/>
              </w:rPr>
              <w:t>249</w:t>
            </w:r>
          </w:p>
        </w:tc>
        <w:tc>
          <w:tcPr>
            <w:tcW w:w="1276" w:type="dxa"/>
          </w:tcPr>
          <w:p w14:paraId="06E45705" w14:textId="77777777" w:rsidR="001265E9" w:rsidRPr="001265E9" w:rsidRDefault="001265E9" w:rsidP="001265E9">
            <w:pPr>
              <w:suppressAutoHyphens/>
              <w:ind w:right="138"/>
              <w:jc w:val="right"/>
              <w:rPr>
                <w:rFonts w:cs="Arial"/>
                <w:spacing w:val="-2"/>
              </w:rPr>
            </w:pPr>
            <w:r w:rsidRPr="001265E9">
              <w:rPr>
                <w:rFonts w:cs="Arial"/>
                <w:spacing w:val="-2"/>
              </w:rPr>
              <w:t>-</w:t>
            </w:r>
          </w:p>
        </w:tc>
        <w:tc>
          <w:tcPr>
            <w:tcW w:w="1418" w:type="dxa"/>
          </w:tcPr>
          <w:p w14:paraId="00EB127F" w14:textId="77777777" w:rsidR="001265E9" w:rsidRPr="001265E9" w:rsidRDefault="001265E9" w:rsidP="001265E9">
            <w:pPr>
              <w:suppressAutoHyphens/>
              <w:ind w:right="138"/>
              <w:jc w:val="right"/>
              <w:rPr>
                <w:rFonts w:cs="Arial"/>
                <w:spacing w:val="-2"/>
              </w:rPr>
            </w:pPr>
            <w:r w:rsidRPr="001265E9">
              <w:rPr>
                <w:rFonts w:cs="Arial"/>
                <w:spacing w:val="-2"/>
              </w:rPr>
              <w:t>-</w:t>
            </w:r>
          </w:p>
        </w:tc>
      </w:tr>
      <w:tr w:rsidR="001265E9" w:rsidRPr="00C328EF" w14:paraId="2C04131C" w14:textId="77777777" w:rsidTr="000D23EA">
        <w:tc>
          <w:tcPr>
            <w:tcW w:w="4503" w:type="dxa"/>
          </w:tcPr>
          <w:p w14:paraId="5BBE6AF3" w14:textId="77777777" w:rsidR="001265E9" w:rsidRPr="001265E9" w:rsidRDefault="001265E9" w:rsidP="001265E9">
            <w:pPr>
              <w:jc w:val="both"/>
            </w:pPr>
            <w:r w:rsidRPr="001265E9">
              <w:t>Later than five years</w:t>
            </w:r>
          </w:p>
        </w:tc>
        <w:tc>
          <w:tcPr>
            <w:tcW w:w="1559" w:type="dxa"/>
          </w:tcPr>
          <w:p w14:paraId="3319E117" w14:textId="77777777" w:rsidR="001265E9" w:rsidRPr="00F622FC" w:rsidRDefault="001265E9" w:rsidP="001265E9">
            <w:pPr>
              <w:suppressAutoHyphens/>
              <w:ind w:right="138"/>
              <w:jc w:val="right"/>
              <w:rPr>
                <w:rFonts w:cs="Arial"/>
                <w:spacing w:val="-2"/>
              </w:rPr>
            </w:pPr>
            <w:r w:rsidRPr="00F622FC">
              <w:rPr>
                <w:rFonts w:cs="Arial"/>
                <w:spacing w:val="-2"/>
              </w:rPr>
              <w:t>-</w:t>
            </w:r>
          </w:p>
        </w:tc>
        <w:tc>
          <w:tcPr>
            <w:tcW w:w="1417" w:type="dxa"/>
          </w:tcPr>
          <w:p w14:paraId="02DD1004" w14:textId="77777777" w:rsidR="001265E9" w:rsidRPr="001265E9" w:rsidRDefault="001265E9" w:rsidP="001265E9">
            <w:pPr>
              <w:suppressAutoHyphens/>
              <w:ind w:right="138"/>
              <w:jc w:val="right"/>
              <w:rPr>
                <w:rFonts w:cs="Arial"/>
                <w:spacing w:val="-2"/>
              </w:rPr>
            </w:pPr>
            <w:r w:rsidRPr="001265E9">
              <w:rPr>
                <w:rFonts w:cs="Arial"/>
                <w:spacing w:val="-2"/>
              </w:rPr>
              <w:t>-</w:t>
            </w:r>
          </w:p>
        </w:tc>
        <w:tc>
          <w:tcPr>
            <w:tcW w:w="1276" w:type="dxa"/>
          </w:tcPr>
          <w:p w14:paraId="75BC2910" w14:textId="77777777" w:rsidR="001265E9" w:rsidRPr="001265E9" w:rsidRDefault="001265E9" w:rsidP="001265E9">
            <w:pPr>
              <w:suppressAutoHyphens/>
              <w:ind w:right="138"/>
              <w:jc w:val="right"/>
              <w:rPr>
                <w:rFonts w:cs="Arial"/>
                <w:spacing w:val="-2"/>
              </w:rPr>
            </w:pPr>
            <w:r w:rsidRPr="001265E9">
              <w:rPr>
                <w:rFonts w:cs="Arial"/>
                <w:spacing w:val="-2"/>
              </w:rPr>
              <w:t>-</w:t>
            </w:r>
          </w:p>
        </w:tc>
        <w:tc>
          <w:tcPr>
            <w:tcW w:w="1418" w:type="dxa"/>
          </w:tcPr>
          <w:p w14:paraId="4E80532F" w14:textId="77777777" w:rsidR="001265E9" w:rsidRPr="001265E9" w:rsidRDefault="001265E9" w:rsidP="001265E9">
            <w:pPr>
              <w:suppressAutoHyphens/>
              <w:ind w:right="138"/>
              <w:jc w:val="right"/>
              <w:rPr>
                <w:rFonts w:cs="Arial"/>
                <w:spacing w:val="-2"/>
              </w:rPr>
            </w:pPr>
            <w:r w:rsidRPr="001265E9">
              <w:rPr>
                <w:rFonts w:cs="Arial"/>
                <w:spacing w:val="-2"/>
              </w:rPr>
              <w:t>-</w:t>
            </w:r>
          </w:p>
        </w:tc>
      </w:tr>
      <w:tr w:rsidR="001265E9" w:rsidRPr="00C328EF" w14:paraId="124060EE" w14:textId="77777777" w:rsidTr="000D23EA">
        <w:tc>
          <w:tcPr>
            <w:tcW w:w="4503" w:type="dxa"/>
          </w:tcPr>
          <w:p w14:paraId="335DD544" w14:textId="77777777" w:rsidR="001265E9" w:rsidRPr="00C328EF" w:rsidRDefault="001265E9" w:rsidP="001265E9">
            <w:pPr>
              <w:ind w:left="468"/>
              <w:jc w:val="both"/>
              <w:rPr>
                <w:highlight w:val="yellow"/>
              </w:rPr>
            </w:pPr>
          </w:p>
        </w:tc>
        <w:tc>
          <w:tcPr>
            <w:tcW w:w="1559" w:type="dxa"/>
          </w:tcPr>
          <w:p w14:paraId="31CB5F1B" w14:textId="77777777" w:rsidR="001265E9" w:rsidRPr="00F622FC" w:rsidRDefault="001265E9" w:rsidP="001265E9">
            <w:pPr>
              <w:suppressAutoHyphens/>
              <w:ind w:right="138"/>
              <w:jc w:val="right"/>
              <w:rPr>
                <w:rFonts w:cs="Arial"/>
                <w:spacing w:val="-2"/>
              </w:rPr>
            </w:pPr>
            <w:r w:rsidRPr="00F622FC">
              <w:rPr>
                <w:rFonts w:cs="Arial"/>
                <w:spacing w:val="-2"/>
              </w:rPr>
              <w:t>─────</w:t>
            </w:r>
          </w:p>
        </w:tc>
        <w:tc>
          <w:tcPr>
            <w:tcW w:w="1417" w:type="dxa"/>
          </w:tcPr>
          <w:p w14:paraId="620C5AA2" w14:textId="77777777" w:rsidR="001265E9" w:rsidRPr="001265E9" w:rsidRDefault="001265E9" w:rsidP="001265E9">
            <w:pPr>
              <w:suppressAutoHyphens/>
              <w:ind w:right="138"/>
              <w:jc w:val="right"/>
              <w:rPr>
                <w:rFonts w:cs="Arial"/>
                <w:spacing w:val="-2"/>
              </w:rPr>
            </w:pPr>
            <w:r w:rsidRPr="001265E9">
              <w:rPr>
                <w:rFonts w:cs="Arial"/>
                <w:spacing w:val="-2"/>
              </w:rPr>
              <w:t>─────</w:t>
            </w:r>
          </w:p>
        </w:tc>
        <w:tc>
          <w:tcPr>
            <w:tcW w:w="1276" w:type="dxa"/>
          </w:tcPr>
          <w:p w14:paraId="0EFDF22A" w14:textId="77777777" w:rsidR="001265E9" w:rsidRPr="001265E9" w:rsidRDefault="001265E9" w:rsidP="001265E9">
            <w:pPr>
              <w:suppressAutoHyphens/>
              <w:ind w:right="138"/>
              <w:jc w:val="right"/>
              <w:rPr>
                <w:rFonts w:cs="Arial"/>
                <w:spacing w:val="-2"/>
              </w:rPr>
            </w:pPr>
            <w:r w:rsidRPr="001265E9">
              <w:rPr>
                <w:rFonts w:cs="Arial"/>
                <w:spacing w:val="-2"/>
              </w:rPr>
              <w:t>─────</w:t>
            </w:r>
          </w:p>
        </w:tc>
        <w:tc>
          <w:tcPr>
            <w:tcW w:w="1418" w:type="dxa"/>
          </w:tcPr>
          <w:p w14:paraId="3F3FEBA8" w14:textId="77777777" w:rsidR="001265E9" w:rsidRPr="001265E9" w:rsidRDefault="001265E9" w:rsidP="001265E9">
            <w:pPr>
              <w:suppressAutoHyphens/>
              <w:ind w:right="138"/>
              <w:jc w:val="right"/>
              <w:rPr>
                <w:rFonts w:cs="Arial"/>
                <w:spacing w:val="-2"/>
              </w:rPr>
            </w:pPr>
            <w:r w:rsidRPr="001265E9">
              <w:rPr>
                <w:rFonts w:cs="Arial"/>
                <w:spacing w:val="-2"/>
              </w:rPr>
              <w:t>─────</w:t>
            </w:r>
          </w:p>
        </w:tc>
      </w:tr>
      <w:tr w:rsidR="001265E9" w:rsidRPr="00C328EF" w14:paraId="2C63A0D5" w14:textId="77777777" w:rsidTr="000D23EA">
        <w:trPr>
          <w:trHeight w:val="228"/>
        </w:trPr>
        <w:tc>
          <w:tcPr>
            <w:tcW w:w="4503" w:type="dxa"/>
          </w:tcPr>
          <w:p w14:paraId="4AD33638" w14:textId="77777777" w:rsidR="001265E9" w:rsidRPr="00C328EF" w:rsidRDefault="001265E9" w:rsidP="001265E9">
            <w:pPr>
              <w:ind w:left="468"/>
              <w:jc w:val="both"/>
              <w:rPr>
                <w:highlight w:val="yellow"/>
              </w:rPr>
            </w:pPr>
          </w:p>
        </w:tc>
        <w:tc>
          <w:tcPr>
            <w:tcW w:w="1559" w:type="dxa"/>
          </w:tcPr>
          <w:p w14:paraId="23D3DF2F" w14:textId="77777777" w:rsidR="001265E9" w:rsidRPr="00F622FC" w:rsidRDefault="00D46E3D" w:rsidP="001265E9">
            <w:pPr>
              <w:suppressAutoHyphens/>
              <w:ind w:right="138"/>
              <w:jc w:val="right"/>
              <w:rPr>
                <w:rFonts w:cs="Arial"/>
                <w:spacing w:val="-2"/>
              </w:rPr>
            </w:pPr>
            <w:r>
              <w:rPr>
                <w:rFonts w:cs="Arial"/>
                <w:spacing w:val="-2"/>
              </w:rPr>
              <w:t>253</w:t>
            </w:r>
          </w:p>
        </w:tc>
        <w:tc>
          <w:tcPr>
            <w:tcW w:w="1417" w:type="dxa"/>
          </w:tcPr>
          <w:p w14:paraId="1225C393" w14:textId="77777777" w:rsidR="001265E9" w:rsidRPr="001265E9" w:rsidRDefault="001265E9" w:rsidP="001265E9">
            <w:pPr>
              <w:suppressAutoHyphens/>
              <w:ind w:right="138"/>
              <w:jc w:val="right"/>
              <w:rPr>
                <w:rFonts w:cs="Arial"/>
                <w:spacing w:val="-2"/>
              </w:rPr>
            </w:pPr>
            <w:r w:rsidRPr="001265E9">
              <w:rPr>
                <w:rFonts w:cs="Arial"/>
                <w:spacing w:val="-2"/>
              </w:rPr>
              <w:t>325</w:t>
            </w:r>
          </w:p>
        </w:tc>
        <w:tc>
          <w:tcPr>
            <w:tcW w:w="1276" w:type="dxa"/>
          </w:tcPr>
          <w:p w14:paraId="4DCCAC67" w14:textId="77777777" w:rsidR="001265E9" w:rsidRPr="001265E9" w:rsidRDefault="001265E9" w:rsidP="001265E9">
            <w:pPr>
              <w:suppressAutoHyphens/>
              <w:ind w:right="138"/>
              <w:jc w:val="right"/>
              <w:rPr>
                <w:rFonts w:cs="Arial"/>
                <w:spacing w:val="-2"/>
              </w:rPr>
            </w:pPr>
            <w:r w:rsidRPr="001265E9">
              <w:rPr>
                <w:rFonts w:cs="Arial"/>
                <w:spacing w:val="-2"/>
              </w:rPr>
              <w:t>-</w:t>
            </w:r>
          </w:p>
        </w:tc>
        <w:tc>
          <w:tcPr>
            <w:tcW w:w="1418" w:type="dxa"/>
          </w:tcPr>
          <w:p w14:paraId="3FFEC8A1" w14:textId="77777777" w:rsidR="001265E9" w:rsidRPr="001265E9" w:rsidRDefault="001265E9" w:rsidP="001265E9">
            <w:pPr>
              <w:suppressAutoHyphens/>
              <w:ind w:right="138"/>
              <w:jc w:val="right"/>
              <w:rPr>
                <w:rFonts w:cs="Arial"/>
                <w:spacing w:val="-2"/>
              </w:rPr>
            </w:pPr>
            <w:r w:rsidRPr="001265E9">
              <w:rPr>
                <w:rFonts w:cs="Arial"/>
                <w:spacing w:val="-2"/>
              </w:rPr>
              <w:t>-</w:t>
            </w:r>
          </w:p>
        </w:tc>
      </w:tr>
      <w:tr w:rsidR="001265E9" w:rsidRPr="00C328EF" w14:paraId="1D771F5D" w14:textId="77777777" w:rsidTr="000D23EA">
        <w:trPr>
          <w:trHeight w:val="180"/>
        </w:trPr>
        <w:tc>
          <w:tcPr>
            <w:tcW w:w="4503" w:type="dxa"/>
          </w:tcPr>
          <w:p w14:paraId="051DC4C7" w14:textId="77777777" w:rsidR="001265E9" w:rsidRPr="00C328EF" w:rsidRDefault="001265E9" w:rsidP="001265E9">
            <w:pPr>
              <w:ind w:left="468"/>
              <w:jc w:val="both"/>
              <w:rPr>
                <w:highlight w:val="yellow"/>
              </w:rPr>
            </w:pPr>
          </w:p>
        </w:tc>
        <w:tc>
          <w:tcPr>
            <w:tcW w:w="1559" w:type="dxa"/>
          </w:tcPr>
          <w:p w14:paraId="6212BF03" w14:textId="77777777" w:rsidR="001265E9" w:rsidRPr="00F622FC" w:rsidRDefault="001265E9" w:rsidP="001265E9">
            <w:pPr>
              <w:suppressAutoHyphens/>
              <w:ind w:right="138"/>
              <w:jc w:val="right"/>
              <w:rPr>
                <w:rFonts w:cs="Arial"/>
                <w:spacing w:val="-2"/>
              </w:rPr>
            </w:pPr>
            <w:r w:rsidRPr="00F622FC">
              <w:rPr>
                <w:rFonts w:cs="Arial"/>
                <w:spacing w:val="-2"/>
              </w:rPr>
              <w:t>═════</w:t>
            </w:r>
          </w:p>
        </w:tc>
        <w:tc>
          <w:tcPr>
            <w:tcW w:w="1417" w:type="dxa"/>
          </w:tcPr>
          <w:p w14:paraId="0436C330" w14:textId="77777777" w:rsidR="001265E9" w:rsidRPr="001265E9" w:rsidRDefault="001265E9" w:rsidP="001265E9">
            <w:pPr>
              <w:suppressAutoHyphens/>
              <w:ind w:right="138"/>
              <w:jc w:val="right"/>
              <w:rPr>
                <w:rFonts w:cs="Arial"/>
                <w:spacing w:val="-2"/>
              </w:rPr>
            </w:pPr>
            <w:r w:rsidRPr="001265E9">
              <w:rPr>
                <w:rFonts w:cs="Arial"/>
                <w:spacing w:val="-2"/>
              </w:rPr>
              <w:t>═════</w:t>
            </w:r>
          </w:p>
        </w:tc>
        <w:tc>
          <w:tcPr>
            <w:tcW w:w="1276" w:type="dxa"/>
          </w:tcPr>
          <w:p w14:paraId="43EACDE5" w14:textId="77777777" w:rsidR="001265E9" w:rsidRPr="001265E9" w:rsidRDefault="001265E9" w:rsidP="001265E9">
            <w:pPr>
              <w:suppressAutoHyphens/>
              <w:ind w:right="138"/>
              <w:jc w:val="right"/>
              <w:rPr>
                <w:rFonts w:cs="Arial"/>
                <w:spacing w:val="-2"/>
              </w:rPr>
            </w:pPr>
            <w:r w:rsidRPr="001265E9">
              <w:rPr>
                <w:rFonts w:cs="Arial"/>
                <w:spacing w:val="-2"/>
              </w:rPr>
              <w:t>═════</w:t>
            </w:r>
          </w:p>
        </w:tc>
        <w:tc>
          <w:tcPr>
            <w:tcW w:w="1418" w:type="dxa"/>
          </w:tcPr>
          <w:p w14:paraId="21E9B2A5" w14:textId="77777777" w:rsidR="001265E9" w:rsidRPr="001265E9" w:rsidRDefault="001265E9" w:rsidP="001265E9">
            <w:pPr>
              <w:suppressAutoHyphens/>
              <w:ind w:right="138"/>
              <w:jc w:val="right"/>
              <w:rPr>
                <w:rFonts w:cs="Arial"/>
                <w:spacing w:val="-2"/>
              </w:rPr>
            </w:pPr>
            <w:r w:rsidRPr="001265E9">
              <w:rPr>
                <w:rFonts w:cs="Arial"/>
                <w:spacing w:val="-2"/>
              </w:rPr>
              <w:t>═════</w:t>
            </w:r>
          </w:p>
        </w:tc>
      </w:tr>
    </w:tbl>
    <w:p w14:paraId="7DFAE7D5" w14:textId="77777777" w:rsidR="00C15FCE" w:rsidRPr="00C328EF" w:rsidRDefault="00C15FCE" w:rsidP="00C15FCE">
      <w:pPr>
        <w:rPr>
          <w:highlight w:val="yellow"/>
        </w:rPr>
      </w:pPr>
    </w:p>
    <w:p w14:paraId="1D9CC74C" w14:textId="77777777" w:rsidR="00D10724" w:rsidRPr="00C328EF" w:rsidRDefault="00C15FCE" w:rsidP="00C15FCE">
      <w:pPr>
        <w:jc w:val="both"/>
        <w:rPr>
          <w:highlight w:val="yellow"/>
        </w:rPr>
      </w:pPr>
      <w:r w:rsidRPr="001265E9">
        <w:t xml:space="preserve">The total lease income received in the </w:t>
      </w:r>
      <w:r w:rsidR="00366ADE">
        <w:t>period</w:t>
      </w:r>
      <w:r w:rsidRPr="001265E9">
        <w:t xml:space="preserve"> ended </w:t>
      </w:r>
      <w:r w:rsidR="00366ADE">
        <w:t>28</w:t>
      </w:r>
      <w:r w:rsidRPr="001265E9">
        <w:t xml:space="preserve"> December 20</w:t>
      </w:r>
      <w:r w:rsidR="003B269C" w:rsidRPr="001265E9">
        <w:t>2</w:t>
      </w:r>
      <w:r w:rsidR="001265E9" w:rsidRPr="001265E9">
        <w:t>4</w:t>
      </w:r>
      <w:r w:rsidRPr="001265E9">
        <w:t xml:space="preserve"> </w:t>
      </w:r>
      <w:r w:rsidRPr="00F622FC">
        <w:t>was £</w:t>
      </w:r>
      <w:r w:rsidR="00A85D25" w:rsidRPr="00F622FC">
        <w:t>1</w:t>
      </w:r>
      <w:r w:rsidR="00F622FC" w:rsidRPr="00F622FC">
        <w:t>07</w:t>
      </w:r>
      <w:r w:rsidRPr="00F622FC">
        <w:t>,000 (20</w:t>
      </w:r>
      <w:r w:rsidR="00EA3087" w:rsidRPr="00F622FC">
        <w:t>2</w:t>
      </w:r>
      <w:r w:rsidR="001265E9" w:rsidRPr="00F622FC">
        <w:t>3</w:t>
      </w:r>
      <w:r w:rsidRPr="001265E9">
        <w:t>: £</w:t>
      </w:r>
      <w:r w:rsidR="001265E9" w:rsidRPr="001265E9">
        <w:t>118</w:t>
      </w:r>
      <w:r w:rsidRPr="001265E9">
        <w:t>,000).</w:t>
      </w:r>
    </w:p>
    <w:p w14:paraId="22967E43" w14:textId="77777777" w:rsidR="00F31584" w:rsidRPr="00631312" w:rsidRDefault="00F31584" w:rsidP="00F31584">
      <w:pPr>
        <w:jc w:val="center"/>
        <w:rPr>
          <w:b/>
        </w:rPr>
      </w:pPr>
      <w:r w:rsidRPr="00C328EF">
        <w:rPr>
          <w:highlight w:val="yellow"/>
        </w:rPr>
        <w:br w:type="page"/>
      </w:r>
      <w:r w:rsidRPr="00631312">
        <w:rPr>
          <w:b/>
        </w:rPr>
        <w:lastRenderedPageBreak/>
        <w:t>TRANSPORT FOR EDINBURGH LIMITED</w:t>
      </w:r>
    </w:p>
    <w:p w14:paraId="0276870B" w14:textId="77777777" w:rsidR="00F31584" w:rsidRPr="00631312" w:rsidRDefault="00F31584" w:rsidP="00F31584">
      <w:pPr>
        <w:jc w:val="center"/>
        <w:rPr>
          <w:b/>
        </w:rPr>
      </w:pPr>
    </w:p>
    <w:p w14:paraId="1827550A" w14:textId="77777777" w:rsidR="00F31584" w:rsidRPr="00631312" w:rsidRDefault="00F31584" w:rsidP="00F31584">
      <w:pPr>
        <w:jc w:val="center"/>
        <w:rPr>
          <w:b/>
        </w:rPr>
      </w:pPr>
      <w:r w:rsidRPr="00631312">
        <w:rPr>
          <w:b/>
        </w:rPr>
        <w:t>Notes to the Financial Statements (continued)</w:t>
      </w:r>
    </w:p>
    <w:p w14:paraId="37F62246" w14:textId="77777777" w:rsidR="00F31584" w:rsidRPr="00631312" w:rsidRDefault="00F31584" w:rsidP="00F31584">
      <w:pPr>
        <w:jc w:val="center"/>
        <w:rPr>
          <w:b/>
        </w:rPr>
      </w:pPr>
    </w:p>
    <w:p w14:paraId="788DA667" w14:textId="77777777" w:rsidR="00F31584" w:rsidRPr="00AE607B" w:rsidRDefault="00D90B89" w:rsidP="00F31584">
      <w:pPr>
        <w:jc w:val="center"/>
      </w:pPr>
      <w:r w:rsidRPr="00AE607B">
        <w:rPr>
          <w:b/>
        </w:rPr>
        <w:t>For the period ended 28 December 2024</w:t>
      </w:r>
    </w:p>
    <w:p w14:paraId="6D35A87D" w14:textId="77777777" w:rsidR="00F31584" w:rsidRPr="00AE607B" w:rsidRDefault="00F31584" w:rsidP="006E1B7C">
      <w:pPr>
        <w:jc w:val="both"/>
      </w:pPr>
    </w:p>
    <w:p w14:paraId="3E8DB2FB" w14:textId="77777777" w:rsidR="00ED2A1E" w:rsidRPr="00AE607B" w:rsidRDefault="00C83D6C" w:rsidP="00A5227C">
      <w:pPr>
        <w:numPr>
          <w:ilvl w:val="0"/>
          <w:numId w:val="42"/>
        </w:numPr>
        <w:ind w:left="502" w:hanging="502"/>
        <w:rPr>
          <w:b/>
        </w:rPr>
      </w:pPr>
      <w:r w:rsidRPr="00AE607B">
        <w:rPr>
          <w:b/>
        </w:rPr>
        <w:t xml:space="preserve"> </w:t>
      </w:r>
      <w:r w:rsidR="00ED2A1E" w:rsidRPr="00AE607B">
        <w:rPr>
          <w:b/>
        </w:rPr>
        <w:t xml:space="preserve">Financial </w:t>
      </w:r>
      <w:r w:rsidR="00D0070A" w:rsidRPr="00AE607B">
        <w:rPr>
          <w:b/>
        </w:rPr>
        <w:t>r</w:t>
      </w:r>
      <w:r w:rsidR="00ED2A1E" w:rsidRPr="00AE607B">
        <w:rPr>
          <w:b/>
        </w:rPr>
        <w:t xml:space="preserve">isk </w:t>
      </w:r>
      <w:r w:rsidR="00D0070A" w:rsidRPr="00AE607B">
        <w:rPr>
          <w:b/>
        </w:rPr>
        <w:t>m</w:t>
      </w:r>
      <w:r w:rsidR="00ED2A1E" w:rsidRPr="00AE607B">
        <w:rPr>
          <w:b/>
        </w:rPr>
        <w:t>anagement</w:t>
      </w:r>
    </w:p>
    <w:p w14:paraId="5D180C7E" w14:textId="77777777" w:rsidR="00ED2A1E" w:rsidRPr="00AE607B" w:rsidRDefault="00ED2A1E" w:rsidP="00C44E52">
      <w:pPr>
        <w:tabs>
          <w:tab w:val="left" w:pos="567"/>
        </w:tabs>
        <w:ind w:right="111"/>
        <w:jc w:val="both"/>
        <w:rPr>
          <w:b/>
        </w:rPr>
      </w:pPr>
    </w:p>
    <w:p w14:paraId="7EA41849" w14:textId="77777777" w:rsidR="00ED2A1E" w:rsidRPr="001265E9" w:rsidRDefault="00452A9D" w:rsidP="00C44E52">
      <w:pPr>
        <w:ind w:hanging="177"/>
        <w:jc w:val="both"/>
        <w:rPr>
          <w:rFonts w:cs="Arial"/>
        </w:rPr>
      </w:pPr>
      <w:r w:rsidRPr="00AE607B">
        <w:rPr>
          <w:rFonts w:cs="Arial"/>
        </w:rPr>
        <w:tab/>
        <w:t>The</w:t>
      </w:r>
      <w:r w:rsidRPr="001265E9">
        <w:rPr>
          <w:rFonts w:cs="Arial"/>
        </w:rPr>
        <w:t xml:space="preserve"> </w:t>
      </w:r>
      <w:r w:rsidR="00FC637A" w:rsidRPr="001265E9">
        <w:rPr>
          <w:rFonts w:cs="Arial"/>
        </w:rPr>
        <w:t>G</w:t>
      </w:r>
      <w:r w:rsidR="00AE08B2" w:rsidRPr="001265E9">
        <w:rPr>
          <w:rFonts w:cs="Arial"/>
        </w:rPr>
        <w:t>roup</w:t>
      </w:r>
      <w:r w:rsidRPr="001265E9">
        <w:rPr>
          <w:rFonts w:cs="Arial"/>
        </w:rPr>
        <w:t>’</w:t>
      </w:r>
      <w:r w:rsidR="00ED2A1E" w:rsidRPr="001265E9">
        <w:rPr>
          <w:rFonts w:cs="Arial"/>
        </w:rPr>
        <w:t xml:space="preserve">s </w:t>
      </w:r>
      <w:r w:rsidR="00E351F0" w:rsidRPr="001265E9">
        <w:rPr>
          <w:rFonts w:cs="Arial"/>
        </w:rPr>
        <w:t>financial instruments consist mainly of deposits with banks, government bonds, short term investments, accounts receivable and payable, loans to and from associated entities and derivatives.</w:t>
      </w:r>
      <w:r w:rsidR="00F47D4B" w:rsidRPr="001265E9">
        <w:rPr>
          <w:rFonts w:cs="Arial"/>
        </w:rPr>
        <w:t xml:space="preserve"> </w:t>
      </w:r>
      <w:r w:rsidR="008E3F2E" w:rsidRPr="001265E9">
        <w:rPr>
          <w:rFonts w:cs="Arial"/>
        </w:rPr>
        <w:t>Financial Instruments do not include prepayments, VAT, taxation, social security and deferred income.</w:t>
      </w:r>
    </w:p>
    <w:p w14:paraId="7844928A" w14:textId="77777777" w:rsidR="00ED2A1E" w:rsidRPr="001265E9" w:rsidRDefault="00ED2A1E" w:rsidP="00C44E52">
      <w:pPr>
        <w:ind w:hanging="177"/>
        <w:jc w:val="both"/>
        <w:rPr>
          <w:rFonts w:cs="Arial"/>
        </w:rPr>
      </w:pPr>
    </w:p>
    <w:p w14:paraId="79B6B93B" w14:textId="77777777" w:rsidR="00ED2A1E" w:rsidRPr="001265E9" w:rsidRDefault="00ED2A1E" w:rsidP="00C44E52">
      <w:pPr>
        <w:ind w:hanging="177"/>
        <w:jc w:val="both"/>
        <w:rPr>
          <w:rFonts w:cs="Arial"/>
        </w:rPr>
      </w:pPr>
      <w:r w:rsidRPr="001265E9">
        <w:rPr>
          <w:rFonts w:cs="Arial"/>
        </w:rPr>
        <w:tab/>
        <w:t xml:space="preserve">The main purpose of non-derivative financial instruments is in respect to the </w:t>
      </w:r>
      <w:r w:rsidR="00FC637A" w:rsidRPr="001265E9">
        <w:rPr>
          <w:rFonts w:cs="Arial"/>
        </w:rPr>
        <w:t>G</w:t>
      </w:r>
      <w:r w:rsidR="00AE08B2" w:rsidRPr="001265E9">
        <w:rPr>
          <w:rFonts w:cs="Arial"/>
        </w:rPr>
        <w:t>roup</w:t>
      </w:r>
      <w:r w:rsidR="001D168F" w:rsidRPr="001265E9">
        <w:rPr>
          <w:rFonts w:cs="Arial"/>
        </w:rPr>
        <w:t>’s</w:t>
      </w:r>
      <w:r w:rsidRPr="001265E9">
        <w:rPr>
          <w:rFonts w:cs="Arial"/>
        </w:rPr>
        <w:t xml:space="preserve"> trading activities and to raise finance for </w:t>
      </w:r>
      <w:r w:rsidR="00FC637A" w:rsidRPr="001265E9">
        <w:rPr>
          <w:rFonts w:cs="Arial"/>
        </w:rPr>
        <w:t>G</w:t>
      </w:r>
      <w:r w:rsidR="00AE08B2" w:rsidRPr="001265E9">
        <w:rPr>
          <w:rFonts w:cs="Arial"/>
        </w:rPr>
        <w:t>roup</w:t>
      </w:r>
      <w:r w:rsidRPr="001265E9">
        <w:rPr>
          <w:rFonts w:cs="Arial"/>
        </w:rPr>
        <w:t xml:space="preserve"> operations.</w:t>
      </w:r>
      <w:r w:rsidR="00F86F38" w:rsidRPr="001265E9">
        <w:rPr>
          <w:rFonts w:cs="Arial"/>
        </w:rPr>
        <w:t xml:space="preserve"> </w:t>
      </w:r>
    </w:p>
    <w:p w14:paraId="71ED0B6F" w14:textId="77777777" w:rsidR="00073E41" w:rsidRPr="001265E9" w:rsidRDefault="00073E41" w:rsidP="00752DA8">
      <w:pPr>
        <w:ind w:hanging="177"/>
        <w:jc w:val="both"/>
        <w:rPr>
          <w:rFonts w:cs="Arial"/>
        </w:rPr>
      </w:pPr>
    </w:p>
    <w:tbl>
      <w:tblPr>
        <w:tblW w:w="10031" w:type="dxa"/>
        <w:tblLayout w:type="fixed"/>
        <w:tblLook w:val="00A0" w:firstRow="1" w:lastRow="0" w:firstColumn="1" w:lastColumn="0" w:noHBand="0" w:noVBand="0"/>
      </w:tblPr>
      <w:tblGrid>
        <w:gridCol w:w="10031"/>
      </w:tblGrid>
      <w:tr w:rsidR="00E351F0" w:rsidRPr="001265E9" w14:paraId="0381118E" w14:textId="77777777" w:rsidTr="00C44E52">
        <w:trPr>
          <w:trHeight w:val="101"/>
        </w:trPr>
        <w:tc>
          <w:tcPr>
            <w:tcW w:w="10031" w:type="dxa"/>
          </w:tcPr>
          <w:p w14:paraId="2DDC9D08" w14:textId="77777777" w:rsidR="00E351F0" w:rsidRPr="001265E9" w:rsidRDefault="000D0ABF" w:rsidP="00FC637A">
            <w:pPr>
              <w:tabs>
                <w:tab w:val="left" w:pos="9815"/>
              </w:tabs>
              <w:ind w:right="-113"/>
              <w:jc w:val="both"/>
              <w:rPr>
                <w:rFonts w:cs="Arial"/>
                <w:sz w:val="18"/>
                <w:szCs w:val="18"/>
              </w:rPr>
            </w:pPr>
            <w:r w:rsidRPr="001265E9">
              <w:rPr>
                <w:rFonts w:cs="Arial"/>
              </w:rPr>
              <w:t xml:space="preserve">Derivative instruments are used by the </w:t>
            </w:r>
            <w:r w:rsidR="00FC637A" w:rsidRPr="001265E9">
              <w:rPr>
                <w:rFonts w:cs="Arial"/>
              </w:rPr>
              <w:t>G</w:t>
            </w:r>
            <w:r w:rsidRPr="001265E9">
              <w:rPr>
                <w:rFonts w:cs="Arial"/>
              </w:rPr>
              <w:t xml:space="preserve">roup for hedging purposes. Such instruments used by the </w:t>
            </w:r>
            <w:r w:rsidR="00FC637A" w:rsidRPr="001265E9">
              <w:rPr>
                <w:rFonts w:cs="Arial"/>
              </w:rPr>
              <w:t>G</w:t>
            </w:r>
            <w:r w:rsidRPr="001265E9">
              <w:rPr>
                <w:rFonts w:cs="Arial"/>
              </w:rPr>
              <w:t xml:space="preserve">roup are commodity swap agreements. </w:t>
            </w:r>
            <w:r w:rsidR="00E351F0" w:rsidRPr="001265E9">
              <w:rPr>
                <w:rFonts w:cs="Arial"/>
              </w:rPr>
              <w:t xml:space="preserve">The </w:t>
            </w:r>
            <w:r w:rsidR="00FC637A" w:rsidRPr="001265E9">
              <w:rPr>
                <w:rFonts w:cs="Arial"/>
              </w:rPr>
              <w:t>G</w:t>
            </w:r>
            <w:r w:rsidR="00AE08B2" w:rsidRPr="001265E9">
              <w:rPr>
                <w:rFonts w:cs="Arial"/>
              </w:rPr>
              <w:t>roup</w:t>
            </w:r>
            <w:r w:rsidR="00E351F0" w:rsidRPr="001265E9">
              <w:rPr>
                <w:rFonts w:cs="Arial"/>
              </w:rPr>
              <w:t xml:space="preserve"> does not speculate in the trading of derivative instruments.</w:t>
            </w:r>
          </w:p>
        </w:tc>
      </w:tr>
    </w:tbl>
    <w:p w14:paraId="098B194E" w14:textId="77777777" w:rsidR="00923E94" w:rsidRPr="001265E9" w:rsidRDefault="00923E94" w:rsidP="00E351F0">
      <w:pPr>
        <w:jc w:val="both"/>
        <w:rPr>
          <w:rFonts w:cs="Arial"/>
        </w:rPr>
      </w:pPr>
    </w:p>
    <w:p w14:paraId="385678F6" w14:textId="77777777" w:rsidR="00923E94" w:rsidRPr="001265E9" w:rsidRDefault="00923E94" w:rsidP="00752DA8">
      <w:pPr>
        <w:jc w:val="both"/>
        <w:rPr>
          <w:rFonts w:cs="Arial"/>
          <w:lang w:val="en-AU" w:eastAsia="en-GB"/>
        </w:rPr>
      </w:pPr>
      <w:r w:rsidRPr="001265E9">
        <w:rPr>
          <w:rFonts w:cs="Arial"/>
          <w:lang w:val="en-AU" w:eastAsia="en-GB"/>
        </w:rPr>
        <w:t>The totals for each category of financial instruments, measured in accordance with I</w:t>
      </w:r>
      <w:r w:rsidR="00211D84" w:rsidRPr="001265E9">
        <w:rPr>
          <w:rFonts w:cs="Arial"/>
          <w:lang w:val="en-AU" w:eastAsia="en-GB"/>
        </w:rPr>
        <w:t>FR</w:t>
      </w:r>
      <w:r w:rsidRPr="001265E9">
        <w:rPr>
          <w:rFonts w:cs="Arial"/>
          <w:lang w:val="en-AU" w:eastAsia="en-GB"/>
        </w:rPr>
        <w:t>S 9 as detailed in the accounting policies to these financial statements, are as follows:</w:t>
      </w:r>
    </w:p>
    <w:p w14:paraId="686B54F9" w14:textId="77777777" w:rsidR="00923E94" w:rsidRPr="001265E9" w:rsidRDefault="00923E94" w:rsidP="009A1D97">
      <w:pPr>
        <w:ind w:right="111"/>
        <w:jc w:val="both"/>
        <w:rPr>
          <w:rFonts w:cs="Arial"/>
        </w:rPr>
      </w:pPr>
    </w:p>
    <w:tbl>
      <w:tblPr>
        <w:tblW w:w="9816" w:type="dxa"/>
        <w:tblInd w:w="498" w:type="dxa"/>
        <w:tblLayout w:type="fixed"/>
        <w:tblLook w:val="0000" w:firstRow="0" w:lastRow="0" w:firstColumn="0" w:lastColumn="0" w:noHBand="0" w:noVBand="0"/>
      </w:tblPr>
      <w:tblGrid>
        <w:gridCol w:w="4005"/>
        <w:gridCol w:w="708"/>
        <w:gridCol w:w="1276"/>
        <w:gridCol w:w="1276"/>
        <w:gridCol w:w="1276"/>
        <w:gridCol w:w="1275"/>
      </w:tblGrid>
      <w:tr w:rsidR="00C44E52" w:rsidRPr="001265E9" w14:paraId="453428CC" w14:textId="77777777" w:rsidTr="00C44E52">
        <w:trPr>
          <w:trHeight w:val="204"/>
        </w:trPr>
        <w:tc>
          <w:tcPr>
            <w:tcW w:w="4005" w:type="dxa"/>
            <w:tcBorders>
              <w:top w:val="nil"/>
              <w:left w:val="nil"/>
              <w:bottom w:val="nil"/>
              <w:right w:val="nil"/>
            </w:tcBorders>
          </w:tcPr>
          <w:p w14:paraId="78A7CBF7" w14:textId="77777777" w:rsidR="00C44E52" w:rsidRPr="001265E9" w:rsidRDefault="00C44E52" w:rsidP="00303CB0">
            <w:pPr>
              <w:rPr>
                <w:rFonts w:cs="Arial"/>
                <w:b/>
                <w:bCs/>
                <w:lang w:eastAsia="en-GB"/>
              </w:rPr>
            </w:pPr>
          </w:p>
        </w:tc>
        <w:tc>
          <w:tcPr>
            <w:tcW w:w="708" w:type="dxa"/>
            <w:tcBorders>
              <w:top w:val="nil"/>
              <w:left w:val="nil"/>
              <w:bottom w:val="nil"/>
              <w:right w:val="nil"/>
            </w:tcBorders>
          </w:tcPr>
          <w:p w14:paraId="5848B811" w14:textId="77777777" w:rsidR="00C44E52" w:rsidRPr="001265E9" w:rsidRDefault="00C44E52" w:rsidP="00303CB0">
            <w:pPr>
              <w:jc w:val="center"/>
              <w:rPr>
                <w:rFonts w:cs="Arial"/>
                <w:b/>
                <w:bCs/>
                <w:lang w:eastAsia="en-GB"/>
              </w:rPr>
            </w:pPr>
            <w:r w:rsidRPr="001265E9">
              <w:rPr>
                <w:b/>
                <w:bCs/>
                <w:lang w:val="en-AU" w:eastAsia="en-GB"/>
              </w:rPr>
              <w:t>Note</w:t>
            </w:r>
          </w:p>
        </w:tc>
        <w:tc>
          <w:tcPr>
            <w:tcW w:w="2552" w:type="dxa"/>
            <w:gridSpan w:val="2"/>
            <w:tcBorders>
              <w:top w:val="nil"/>
              <w:left w:val="nil"/>
              <w:bottom w:val="nil"/>
              <w:right w:val="nil"/>
            </w:tcBorders>
          </w:tcPr>
          <w:p w14:paraId="78CA4F65" w14:textId="77777777" w:rsidR="00C44E52" w:rsidRPr="001265E9" w:rsidRDefault="00C44E52" w:rsidP="00A138AC">
            <w:pPr>
              <w:ind w:left="282"/>
              <w:jc w:val="center"/>
              <w:rPr>
                <w:b/>
              </w:rPr>
            </w:pPr>
            <w:r w:rsidRPr="001265E9">
              <w:rPr>
                <w:b/>
              </w:rPr>
              <w:t>Consolidated Group</w:t>
            </w:r>
          </w:p>
        </w:tc>
        <w:tc>
          <w:tcPr>
            <w:tcW w:w="2551" w:type="dxa"/>
            <w:gridSpan w:val="2"/>
            <w:tcBorders>
              <w:top w:val="nil"/>
              <w:left w:val="nil"/>
              <w:bottom w:val="nil"/>
              <w:right w:val="nil"/>
            </w:tcBorders>
          </w:tcPr>
          <w:p w14:paraId="0454D320" w14:textId="77777777" w:rsidR="00C44E52" w:rsidRPr="001265E9" w:rsidRDefault="00C44E52" w:rsidP="00092C40">
            <w:pPr>
              <w:ind w:left="340"/>
              <w:jc w:val="center"/>
              <w:rPr>
                <w:b/>
              </w:rPr>
            </w:pPr>
            <w:r w:rsidRPr="001265E9">
              <w:rPr>
                <w:b/>
              </w:rPr>
              <w:t>Parent Entity</w:t>
            </w:r>
          </w:p>
        </w:tc>
      </w:tr>
      <w:tr w:rsidR="003E3E2E" w:rsidRPr="001265E9" w14:paraId="6ACE7C23" w14:textId="77777777" w:rsidTr="00C44E52">
        <w:trPr>
          <w:trHeight w:val="255"/>
        </w:trPr>
        <w:tc>
          <w:tcPr>
            <w:tcW w:w="4005" w:type="dxa"/>
            <w:vMerge w:val="restart"/>
            <w:tcBorders>
              <w:top w:val="nil"/>
              <w:left w:val="nil"/>
              <w:bottom w:val="nil"/>
              <w:right w:val="nil"/>
            </w:tcBorders>
          </w:tcPr>
          <w:p w14:paraId="7D0E0075" w14:textId="77777777" w:rsidR="003E3E2E" w:rsidRPr="001265E9" w:rsidRDefault="003E3E2E" w:rsidP="003E3E2E">
            <w:pPr>
              <w:rPr>
                <w:rFonts w:cs="Arial"/>
                <w:b/>
                <w:bCs/>
                <w:lang w:eastAsia="en-GB"/>
              </w:rPr>
            </w:pPr>
          </w:p>
        </w:tc>
        <w:tc>
          <w:tcPr>
            <w:tcW w:w="708" w:type="dxa"/>
            <w:vMerge w:val="restart"/>
            <w:tcBorders>
              <w:top w:val="nil"/>
              <w:left w:val="nil"/>
              <w:bottom w:val="nil"/>
              <w:right w:val="nil"/>
            </w:tcBorders>
          </w:tcPr>
          <w:p w14:paraId="1D348D5B" w14:textId="77777777" w:rsidR="003E3E2E" w:rsidRPr="001265E9" w:rsidRDefault="003E3E2E" w:rsidP="003E3E2E">
            <w:pPr>
              <w:jc w:val="center"/>
              <w:rPr>
                <w:rFonts w:cs="Arial"/>
                <w:b/>
                <w:bCs/>
                <w:lang w:eastAsia="en-GB"/>
              </w:rPr>
            </w:pPr>
          </w:p>
        </w:tc>
        <w:tc>
          <w:tcPr>
            <w:tcW w:w="1276" w:type="dxa"/>
            <w:tcBorders>
              <w:top w:val="nil"/>
              <w:left w:val="nil"/>
              <w:bottom w:val="nil"/>
              <w:right w:val="nil"/>
            </w:tcBorders>
          </w:tcPr>
          <w:p w14:paraId="041F917D" w14:textId="77777777" w:rsidR="003E3E2E" w:rsidRPr="001265E9" w:rsidRDefault="003B7A8B" w:rsidP="003E3E2E">
            <w:pPr>
              <w:suppressAutoHyphens/>
              <w:ind w:right="78"/>
              <w:jc w:val="right"/>
              <w:rPr>
                <w:rFonts w:cs="Arial"/>
                <w:b/>
                <w:spacing w:val="-2"/>
              </w:rPr>
            </w:pPr>
            <w:r>
              <w:rPr>
                <w:rFonts w:cs="Arial"/>
                <w:b/>
                <w:spacing w:val="-2"/>
              </w:rPr>
              <w:t>28/12/</w:t>
            </w:r>
            <w:r w:rsidR="003E3E2E" w:rsidRPr="001265E9">
              <w:rPr>
                <w:rFonts w:cs="Arial"/>
                <w:b/>
                <w:spacing w:val="-2"/>
              </w:rPr>
              <w:t>202</w:t>
            </w:r>
            <w:r w:rsidR="001265E9" w:rsidRPr="001265E9">
              <w:rPr>
                <w:rFonts w:cs="Arial"/>
                <w:b/>
                <w:spacing w:val="-2"/>
              </w:rPr>
              <w:t>4</w:t>
            </w:r>
          </w:p>
        </w:tc>
        <w:tc>
          <w:tcPr>
            <w:tcW w:w="1276" w:type="dxa"/>
            <w:tcBorders>
              <w:top w:val="nil"/>
              <w:left w:val="nil"/>
              <w:bottom w:val="nil"/>
              <w:right w:val="nil"/>
            </w:tcBorders>
          </w:tcPr>
          <w:p w14:paraId="4A1D0914" w14:textId="77777777" w:rsidR="003E3E2E" w:rsidRPr="001265E9" w:rsidRDefault="003B7A8B" w:rsidP="003E3E2E">
            <w:pPr>
              <w:suppressAutoHyphens/>
              <w:ind w:right="78"/>
              <w:jc w:val="right"/>
              <w:rPr>
                <w:rFonts w:cs="Arial"/>
                <w:b/>
                <w:spacing w:val="-2"/>
              </w:rPr>
            </w:pPr>
            <w:r>
              <w:rPr>
                <w:rFonts w:cs="Arial"/>
                <w:b/>
                <w:spacing w:val="-2"/>
              </w:rPr>
              <w:t>30/12/</w:t>
            </w:r>
            <w:r w:rsidR="003E3E2E" w:rsidRPr="001265E9">
              <w:rPr>
                <w:rFonts w:cs="Arial"/>
                <w:b/>
                <w:spacing w:val="-2"/>
              </w:rPr>
              <w:t>202</w:t>
            </w:r>
            <w:r w:rsidR="001265E9" w:rsidRPr="001265E9">
              <w:rPr>
                <w:rFonts w:cs="Arial"/>
                <w:b/>
                <w:spacing w:val="-2"/>
              </w:rPr>
              <w:t>3</w:t>
            </w:r>
          </w:p>
        </w:tc>
        <w:tc>
          <w:tcPr>
            <w:tcW w:w="1276" w:type="dxa"/>
            <w:tcBorders>
              <w:top w:val="nil"/>
              <w:left w:val="nil"/>
              <w:bottom w:val="nil"/>
              <w:right w:val="nil"/>
            </w:tcBorders>
          </w:tcPr>
          <w:p w14:paraId="56F22599" w14:textId="77777777" w:rsidR="003E3E2E" w:rsidRPr="001265E9" w:rsidRDefault="003B7A8B" w:rsidP="003E3E2E">
            <w:pPr>
              <w:suppressAutoHyphens/>
              <w:ind w:right="78"/>
              <w:jc w:val="right"/>
              <w:rPr>
                <w:rFonts w:cs="Arial"/>
                <w:b/>
                <w:spacing w:val="-2"/>
              </w:rPr>
            </w:pPr>
            <w:r>
              <w:rPr>
                <w:rFonts w:cs="Arial"/>
                <w:b/>
                <w:spacing w:val="-2"/>
              </w:rPr>
              <w:t>28/12/</w:t>
            </w:r>
            <w:r w:rsidR="003E3E2E" w:rsidRPr="001265E9">
              <w:rPr>
                <w:rFonts w:cs="Arial"/>
                <w:b/>
                <w:spacing w:val="-2"/>
              </w:rPr>
              <w:t>202</w:t>
            </w:r>
            <w:r w:rsidR="001265E9" w:rsidRPr="001265E9">
              <w:rPr>
                <w:rFonts w:cs="Arial"/>
                <w:b/>
                <w:spacing w:val="-2"/>
              </w:rPr>
              <w:t>4</w:t>
            </w:r>
          </w:p>
        </w:tc>
        <w:tc>
          <w:tcPr>
            <w:tcW w:w="1275" w:type="dxa"/>
            <w:tcBorders>
              <w:top w:val="nil"/>
              <w:left w:val="nil"/>
              <w:bottom w:val="nil"/>
              <w:right w:val="nil"/>
            </w:tcBorders>
          </w:tcPr>
          <w:p w14:paraId="2299368D" w14:textId="77777777" w:rsidR="003E3E2E" w:rsidRPr="001265E9" w:rsidRDefault="003B7A8B" w:rsidP="003E3E2E">
            <w:pPr>
              <w:suppressAutoHyphens/>
              <w:ind w:right="78"/>
              <w:jc w:val="right"/>
              <w:rPr>
                <w:rFonts w:cs="Arial"/>
                <w:b/>
                <w:spacing w:val="-2"/>
              </w:rPr>
            </w:pPr>
            <w:r>
              <w:rPr>
                <w:rFonts w:cs="Arial"/>
                <w:b/>
                <w:spacing w:val="-2"/>
              </w:rPr>
              <w:t>30/12/</w:t>
            </w:r>
            <w:r w:rsidR="003E3E2E" w:rsidRPr="001265E9">
              <w:rPr>
                <w:rFonts w:cs="Arial"/>
                <w:b/>
                <w:spacing w:val="-2"/>
              </w:rPr>
              <w:t>202</w:t>
            </w:r>
            <w:r w:rsidR="001265E9" w:rsidRPr="001265E9">
              <w:rPr>
                <w:rFonts w:cs="Arial"/>
                <w:b/>
                <w:spacing w:val="-2"/>
              </w:rPr>
              <w:t>3</w:t>
            </w:r>
          </w:p>
        </w:tc>
      </w:tr>
      <w:tr w:rsidR="003E3E2E" w:rsidRPr="001265E9" w14:paraId="4F148FCE" w14:textId="77777777" w:rsidTr="00C44E52">
        <w:trPr>
          <w:trHeight w:val="255"/>
        </w:trPr>
        <w:tc>
          <w:tcPr>
            <w:tcW w:w="4005" w:type="dxa"/>
            <w:vMerge/>
            <w:tcBorders>
              <w:top w:val="nil"/>
              <w:left w:val="nil"/>
              <w:bottom w:val="nil"/>
              <w:right w:val="nil"/>
            </w:tcBorders>
            <w:vAlign w:val="center"/>
          </w:tcPr>
          <w:p w14:paraId="0E7D3E68" w14:textId="77777777" w:rsidR="003E3E2E" w:rsidRPr="001265E9" w:rsidRDefault="003E3E2E" w:rsidP="003E3E2E">
            <w:pPr>
              <w:rPr>
                <w:rFonts w:cs="Arial"/>
                <w:b/>
                <w:bCs/>
                <w:lang w:eastAsia="en-GB"/>
              </w:rPr>
            </w:pPr>
          </w:p>
        </w:tc>
        <w:tc>
          <w:tcPr>
            <w:tcW w:w="708" w:type="dxa"/>
            <w:vMerge/>
            <w:tcBorders>
              <w:top w:val="nil"/>
              <w:left w:val="nil"/>
              <w:bottom w:val="nil"/>
              <w:right w:val="nil"/>
            </w:tcBorders>
            <w:vAlign w:val="center"/>
          </w:tcPr>
          <w:p w14:paraId="75CFE0A3" w14:textId="77777777" w:rsidR="003E3E2E" w:rsidRPr="001265E9" w:rsidRDefault="003E3E2E" w:rsidP="003E3E2E">
            <w:pPr>
              <w:rPr>
                <w:rFonts w:cs="Arial"/>
                <w:b/>
                <w:bCs/>
                <w:lang w:eastAsia="en-GB"/>
              </w:rPr>
            </w:pPr>
          </w:p>
        </w:tc>
        <w:tc>
          <w:tcPr>
            <w:tcW w:w="1276" w:type="dxa"/>
            <w:tcBorders>
              <w:top w:val="nil"/>
              <w:left w:val="nil"/>
              <w:bottom w:val="nil"/>
              <w:right w:val="nil"/>
            </w:tcBorders>
          </w:tcPr>
          <w:p w14:paraId="42E9CAA5" w14:textId="77777777" w:rsidR="003E3E2E" w:rsidRPr="001265E9" w:rsidRDefault="003E3E2E" w:rsidP="003E3E2E">
            <w:pPr>
              <w:suppressAutoHyphens/>
              <w:ind w:right="78"/>
              <w:jc w:val="right"/>
              <w:rPr>
                <w:rFonts w:cs="Arial"/>
                <w:b/>
                <w:spacing w:val="-2"/>
              </w:rPr>
            </w:pPr>
            <w:r w:rsidRPr="001265E9">
              <w:rPr>
                <w:rFonts w:cs="Arial"/>
                <w:b/>
                <w:spacing w:val="-2"/>
              </w:rPr>
              <w:t>£’000</w:t>
            </w:r>
          </w:p>
        </w:tc>
        <w:tc>
          <w:tcPr>
            <w:tcW w:w="1276" w:type="dxa"/>
            <w:tcBorders>
              <w:top w:val="nil"/>
              <w:left w:val="nil"/>
              <w:bottom w:val="nil"/>
              <w:right w:val="nil"/>
            </w:tcBorders>
          </w:tcPr>
          <w:p w14:paraId="1E0FF87B" w14:textId="77777777" w:rsidR="003E3E2E" w:rsidRPr="001265E9" w:rsidRDefault="003E3E2E" w:rsidP="003E3E2E">
            <w:pPr>
              <w:suppressAutoHyphens/>
              <w:ind w:right="78"/>
              <w:jc w:val="right"/>
              <w:rPr>
                <w:rFonts w:cs="Arial"/>
                <w:b/>
                <w:spacing w:val="-2"/>
              </w:rPr>
            </w:pPr>
            <w:r w:rsidRPr="001265E9">
              <w:rPr>
                <w:rFonts w:cs="Arial"/>
                <w:b/>
                <w:spacing w:val="-2"/>
              </w:rPr>
              <w:t>£’000</w:t>
            </w:r>
          </w:p>
        </w:tc>
        <w:tc>
          <w:tcPr>
            <w:tcW w:w="1276" w:type="dxa"/>
            <w:tcBorders>
              <w:top w:val="nil"/>
              <w:left w:val="nil"/>
              <w:bottom w:val="nil"/>
              <w:right w:val="nil"/>
            </w:tcBorders>
          </w:tcPr>
          <w:p w14:paraId="65BC46AC" w14:textId="77777777" w:rsidR="003E3E2E" w:rsidRPr="001265E9" w:rsidRDefault="003E3E2E" w:rsidP="003E3E2E">
            <w:pPr>
              <w:suppressAutoHyphens/>
              <w:ind w:right="78"/>
              <w:jc w:val="right"/>
              <w:rPr>
                <w:rFonts w:cs="Arial"/>
                <w:b/>
                <w:spacing w:val="-2"/>
              </w:rPr>
            </w:pPr>
            <w:r w:rsidRPr="001265E9">
              <w:rPr>
                <w:rFonts w:cs="Arial"/>
                <w:b/>
                <w:spacing w:val="-2"/>
              </w:rPr>
              <w:t>£’000</w:t>
            </w:r>
          </w:p>
        </w:tc>
        <w:tc>
          <w:tcPr>
            <w:tcW w:w="1275" w:type="dxa"/>
            <w:tcBorders>
              <w:top w:val="nil"/>
              <w:left w:val="nil"/>
              <w:bottom w:val="nil"/>
              <w:right w:val="nil"/>
            </w:tcBorders>
          </w:tcPr>
          <w:p w14:paraId="02F012F9" w14:textId="77777777" w:rsidR="003E3E2E" w:rsidRPr="001265E9" w:rsidRDefault="003E3E2E" w:rsidP="003E3E2E">
            <w:pPr>
              <w:suppressAutoHyphens/>
              <w:ind w:right="78"/>
              <w:jc w:val="right"/>
              <w:rPr>
                <w:rFonts w:cs="Arial"/>
                <w:b/>
                <w:spacing w:val="-2"/>
              </w:rPr>
            </w:pPr>
            <w:r w:rsidRPr="001265E9">
              <w:rPr>
                <w:rFonts w:cs="Arial"/>
                <w:b/>
                <w:spacing w:val="-2"/>
              </w:rPr>
              <w:t>£’000</w:t>
            </w:r>
          </w:p>
        </w:tc>
      </w:tr>
      <w:tr w:rsidR="003E3E2E" w:rsidRPr="00C328EF" w14:paraId="025FFC22" w14:textId="77777777" w:rsidTr="00C44E52">
        <w:trPr>
          <w:trHeight w:val="255"/>
        </w:trPr>
        <w:tc>
          <w:tcPr>
            <w:tcW w:w="4005" w:type="dxa"/>
            <w:tcBorders>
              <w:top w:val="nil"/>
              <w:left w:val="nil"/>
              <w:bottom w:val="nil"/>
              <w:right w:val="nil"/>
            </w:tcBorders>
          </w:tcPr>
          <w:p w14:paraId="62DDB843" w14:textId="77777777" w:rsidR="003E3E2E" w:rsidRPr="001265E9" w:rsidRDefault="003E3E2E" w:rsidP="003E3E2E">
            <w:pPr>
              <w:rPr>
                <w:rFonts w:cs="Arial"/>
                <w:b/>
                <w:bCs/>
                <w:lang w:eastAsia="en-GB"/>
              </w:rPr>
            </w:pPr>
            <w:r w:rsidRPr="001265E9">
              <w:rPr>
                <w:b/>
                <w:bCs/>
                <w:lang w:val="en-AU" w:eastAsia="en-GB"/>
              </w:rPr>
              <w:t>Financial assets</w:t>
            </w:r>
          </w:p>
        </w:tc>
        <w:tc>
          <w:tcPr>
            <w:tcW w:w="708" w:type="dxa"/>
            <w:tcBorders>
              <w:top w:val="nil"/>
              <w:left w:val="nil"/>
              <w:bottom w:val="nil"/>
              <w:right w:val="nil"/>
            </w:tcBorders>
          </w:tcPr>
          <w:p w14:paraId="6EF2DECB" w14:textId="77777777" w:rsidR="003E3E2E" w:rsidRPr="00C328EF" w:rsidRDefault="003E3E2E" w:rsidP="003E3E2E">
            <w:pPr>
              <w:jc w:val="center"/>
              <w:rPr>
                <w:rFonts w:cs="Arial"/>
                <w:highlight w:val="yellow"/>
                <w:lang w:eastAsia="en-GB"/>
              </w:rPr>
            </w:pPr>
          </w:p>
        </w:tc>
        <w:tc>
          <w:tcPr>
            <w:tcW w:w="1276" w:type="dxa"/>
            <w:tcBorders>
              <w:top w:val="nil"/>
              <w:left w:val="nil"/>
              <w:right w:val="nil"/>
            </w:tcBorders>
          </w:tcPr>
          <w:p w14:paraId="765A06A2" w14:textId="77777777" w:rsidR="003E3E2E" w:rsidRPr="00C328EF" w:rsidRDefault="003E3E2E" w:rsidP="003E3E2E">
            <w:pPr>
              <w:suppressAutoHyphens/>
              <w:ind w:right="78"/>
              <w:jc w:val="right"/>
              <w:rPr>
                <w:rFonts w:cs="Arial"/>
                <w:b/>
                <w:spacing w:val="-2"/>
                <w:highlight w:val="yellow"/>
              </w:rPr>
            </w:pPr>
          </w:p>
        </w:tc>
        <w:tc>
          <w:tcPr>
            <w:tcW w:w="1276" w:type="dxa"/>
            <w:tcBorders>
              <w:top w:val="nil"/>
              <w:left w:val="nil"/>
              <w:right w:val="nil"/>
            </w:tcBorders>
          </w:tcPr>
          <w:p w14:paraId="76BD5C79" w14:textId="77777777" w:rsidR="003E3E2E" w:rsidRPr="00C328EF" w:rsidRDefault="003E3E2E" w:rsidP="003E3E2E">
            <w:pPr>
              <w:suppressAutoHyphens/>
              <w:ind w:right="78"/>
              <w:jc w:val="right"/>
              <w:rPr>
                <w:rFonts w:cs="Arial"/>
                <w:b/>
                <w:spacing w:val="-2"/>
                <w:highlight w:val="yellow"/>
              </w:rPr>
            </w:pPr>
          </w:p>
        </w:tc>
        <w:tc>
          <w:tcPr>
            <w:tcW w:w="1276" w:type="dxa"/>
            <w:tcBorders>
              <w:top w:val="nil"/>
              <w:left w:val="nil"/>
              <w:bottom w:val="nil"/>
              <w:right w:val="nil"/>
            </w:tcBorders>
          </w:tcPr>
          <w:p w14:paraId="59919640" w14:textId="77777777" w:rsidR="003E3E2E" w:rsidRPr="00C328EF" w:rsidRDefault="003E3E2E" w:rsidP="003E3E2E">
            <w:pPr>
              <w:suppressAutoHyphens/>
              <w:ind w:right="78"/>
              <w:jc w:val="right"/>
              <w:rPr>
                <w:rFonts w:cs="Arial"/>
                <w:b/>
                <w:spacing w:val="-2"/>
                <w:highlight w:val="yellow"/>
              </w:rPr>
            </w:pPr>
          </w:p>
        </w:tc>
        <w:tc>
          <w:tcPr>
            <w:tcW w:w="1275" w:type="dxa"/>
            <w:tcBorders>
              <w:top w:val="nil"/>
              <w:left w:val="nil"/>
              <w:bottom w:val="nil"/>
              <w:right w:val="nil"/>
            </w:tcBorders>
          </w:tcPr>
          <w:p w14:paraId="413DFEAD" w14:textId="77777777" w:rsidR="003E3E2E" w:rsidRPr="00C328EF" w:rsidRDefault="003E3E2E" w:rsidP="003E3E2E">
            <w:pPr>
              <w:suppressAutoHyphens/>
              <w:ind w:right="78"/>
              <w:jc w:val="right"/>
              <w:rPr>
                <w:rFonts w:cs="Arial"/>
                <w:b/>
                <w:spacing w:val="-2"/>
                <w:highlight w:val="yellow"/>
              </w:rPr>
            </w:pPr>
          </w:p>
        </w:tc>
      </w:tr>
      <w:tr w:rsidR="001265E9" w:rsidRPr="00C328EF" w14:paraId="5E15861E" w14:textId="77777777" w:rsidTr="00C44E52">
        <w:trPr>
          <w:trHeight w:val="255"/>
        </w:trPr>
        <w:tc>
          <w:tcPr>
            <w:tcW w:w="4005" w:type="dxa"/>
            <w:tcBorders>
              <w:top w:val="nil"/>
              <w:left w:val="nil"/>
              <w:bottom w:val="nil"/>
              <w:right w:val="nil"/>
            </w:tcBorders>
          </w:tcPr>
          <w:p w14:paraId="37584A31" w14:textId="77777777" w:rsidR="001265E9" w:rsidRPr="001265E9" w:rsidRDefault="001265E9" w:rsidP="001265E9">
            <w:pPr>
              <w:rPr>
                <w:rFonts w:cs="Arial"/>
                <w:lang w:eastAsia="en-GB"/>
              </w:rPr>
            </w:pPr>
            <w:r w:rsidRPr="001265E9">
              <w:rPr>
                <w:rFonts w:cs="Arial"/>
                <w:lang w:val="en-AU" w:eastAsia="en-GB"/>
              </w:rPr>
              <w:t>Cash and cash equivalents</w:t>
            </w:r>
          </w:p>
        </w:tc>
        <w:tc>
          <w:tcPr>
            <w:tcW w:w="708" w:type="dxa"/>
            <w:tcBorders>
              <w:top w:val="nil"/>
              <w:left w:val="nil"/>
              <w:bottom w:val="nil"/>
              <w:right w:val="nil"/>
            </w:tcBorders>
          </w:tcPr>
          <w:p w14:paraId="5123093A" w14:textId="77777777" w:rsidR="001265E9" w:rsidRPr="00F0414A" w:rsidRDefault="001265E9" w:rsidP="001265E9">
            <w:pPr>
              <w:jc w:val="center"/>
            </w:pPr>
            <w:r w:rsidRPr="00F0414A">
              <w:rPr>
                <w:rFonts w:cs="Arial"/>
                <w:lang w:val="en-AU" w:eastAsia="en-GB"/>
              </w:rPr>
              <w:t>1</w:t>
            </w:r>
            <w:r w:rsidR="00F0414A" w:rsidRPr="00F0414A">
              <w:rPr>
                <w:rFonts w:cs="Arial"/>
                <w:lang w:val="en-AU" w:eastAsia="en-GB"/>
              </w:rPr>
              <w:t>3</w:t>
            </w:r>
          </w:p>
        </w:tc>
        <w:tc>
          <w:tcPr>
            <w:tcW w:w="1276" w:type="dxa"/>
            <w:tcBorders>
              <w:top w:val="nil"/>
              <w:left w:val="nil"/>
              <w:bottom w:val="nil"/>
              <w:right w:val="nil"/>
            </w:tcBorders>
          </w:tcPr>
          <w:p w14:paraId="4825D53B" w14:textId="77777777" w:rsidR="001265E9" w:rsidRPr="00FC70FA" w:rsidRDefault="00FC70FA" w:rsidP="001265E9">
            <w:pPr>
              <w:suppressAutoHyphens/>
              <w:ind w:right="78"/>
              <w:jc w:val="right"/>
              <w:rPr>
                <w:rFonts w:cs="Arial"/>
                <w:spacing w:val="-2"/>
              </w:rPr>
            </w:pPr>
            <w:r w:rsidRPr="00FC70FA">
              <w:rPr>
                <w:rFonts w:cs="Arial"/>
                <w:spacing w:val="-2"/>
              </w:rPr>
              <w:t>34</w:t>
            </w:r>
            <w:r w:rsidR="001265E9" w:rsidRPr="00FC70FA">
              <w:rPr>
                <w:rFonts w:cs="Arial"/>
                <w:spacing w:val="-2"/>
              </w:rPr>
              <w:t>,</w:t>
            </w:r>
            <w:r w:rsidRPr="00FC70FA">
              <w:rPr>
                <w:rFonts w:cs="Arial"/>
                <w:spacing w:val="-2"/>
              </w:rPr>
              <w:t>200</w:t>
            </w:r>
          </w:p>
        </w:tc>
        <w:tc>
          <w:tcPr>
            <w:tcW w:w="1276" w:type="dxa"/>
            <w:tcBorders>
              <w:top w:val="nil"/>
              <w:left w:val="nil"/>
              <w:bottom w:val="nil"/>
              <w:right w:val="nil"/>
            </w:tcBorders>
          </w:tcPr>
          <w:p w14:paraId="6E720622" w14:textId="77777777" w:rsidR="001265E9" w:rsidRPr="00B40305" w:rsidRDefault="001265E9" w:rsidP="001265E9">
            <w:pPr>
              <w:suppressAutoHyphens/>
              <w:ind w:right="78"/>
              <w:jc w:val="right"/>
              <w:rPr>
                <w:rFonts w:cs="Arial"/>
                <w:spacing w:val="-2"/>
              </w:rPr>
            </w:pPr>
            <w:r w:rsidRPr="00B40305">
              <w:rPr>
                <w:rFonts w:cs="Arial"/>
                <w:spacing w:val="-2"/>
              </w:rPr>
              <w:t>47,915</w:t>
            </w:r>
          </w:p>
        </w:tc>
        <w:tc>
          <w:tcPr>
            <w:tcW w:w="1276" w:type="dxa"/>
            <w:tcBorders>
              <w:top w:val="nil"/>
              <w:left w:val="nil"/>
              <w:bottom w:val="nil"/>
              <w:right w:val="nil"/>
            </w:tcBorders>
          </w:tcPr>
          <w:p w14:paraId="27622E0E" w14:textId="77777777" w:rsidR="001265E9" w:rsidRPr="00C328EF" w:rsidRDefault="00CA1F53" w:rsidP="001265E9">
            <w:pPr>
              <w:suppressAutoHyphens/>
              <w:ind w:right="78"/>
              <w:jc w:val="right"/>
              <w:rPr>
                <w:rFonts w:cs="Arial"/>
                <w:spacing w:val="-2"/>
                <w:highlight w:val="yellow"/>
              </w:rPr>
            </w:pPr>
            <w:r w:rsidRPr="00CA1F53">
              <w:rPr>
                <w:rFonts w:cs="Arial"/>
                <w:spacing w:val="-2"/>
              </w:rPr>
              <w:t>217</w:t>
            </w:r>
          </w:p>
        </w:tc>
        <w:tc>
          <w:tcPr>
            <w:tcW w:w="1275" w:type="dxa"/>
            <w:tcBorders>
              <w:top w:val="nil"/>
              <w:left w:val="nil"/>
              <w:bottom w:val="nil"/>
              <w:right w:val="nil"/>
            </w:tcBorders>
          </w:tcPr>
          <w:p w14:paraId="7C8D918B" w14:textId="77777777" w:rsidR="001265E9" w:rsidRPr="001265E9" w:rsidRDefault="001265E9" w:rsidP="001265E9">
            <w:pPr>
              <w:suppressAutoHyphens/>
              <w:ind w:right="78"/>
              <w:jc w:val="right"/>
              <w:rPr>
                <w:rFonts w:cs="Arial"/>
                <w:spacing w:val="-2"/>
              </w:rPr>
            </w:pPr>
            <w:r w:rsidRPr="001265E9">
              <w:rPr>
                <w:rFonts w:cs="Arial"/>
                <w:spacing w:val="-2"/>
              </w:rPr>
              <w:t>456</w:t>
            </w:r>
          </w:p>
        </w:tc>
      </w:tr>
      <w:tr w:rsidR="001265E9" w:rsidRPr="00C328EF" w14:paraId="0944F78C" w14:textId="77777777" w:rsidTr="00C44E52">
        <w:trPr>
          <w:trHeight w:val="255"/>
        </w:trPr>
        <w:tc>
          <w:tcPr>
            <w:tcW w:w="4005" w:type="dxa"/>
            <w:tcBorders>
              <w:top w:val="nil"/>
              <w:left w:val="nil"/>
              <w:bottom w:val="nil"/>
              <w:right w:val="nil"/>
            </w:tcBorders>
          </w:tcPr>
          <w:p w14:paraId="7AC71A37" w14:textId="77777777" w:rsidR="001265E9" w:rsidRPr="001265E9" w:rsidRDefault="001265E9" w:rsidP="001265E9">
            <w:pPr>
              <w:rPr>
                <w:rFonts w:cs="Arial"/>
                <w:lang w:val="en-AU" w:eastAsia="en-GB"/>
              </w:rPr>
            </w:pPr>
            <w:r w:rsidRPr="001265E9">
              <w:rPr>
                <w:rFonts w:cs="Arial"/>
                <w:lang w:val="en-AU" w:eastAsia="en-GB"/>
              </w:rPr>
              <w:t>Trade and other receivables</w:t>
            </w:r>
          </w:p>
        </w:tc>
        <w:tc>
          <w:tcPr>
            <w:tcW w:w="708" w:type="dxa"/>
            <w:tcBorders>
              <w:top w:val="nil"/>
              <w:left w:val="nil"/>
              <w:bottom w:val="nil"/>
              <w:right w:val="nil"/>
            </w:tcBorders>
          </w:tcPr>
          <w:p w14:paraId="4345B0B5" w14:textId="77777777" w:rsidR="001265E9" w:rsidRPr="00F0414A" w:rsidRDefault="001265E9" w:rsidP="001265E9">
            <w:pPr>
              <w:jc w:val="center"/>
              <w:rPr>
                <w:rFonts w:cs="Arial"/>
                <w:lang w:val="en-AU" w:eastAsia="en-GB"/>
              </w:rPr>
            </w:pPr>
            <w:r w:rsidRPr="00F0414A">
              <w:rPr>
                <w:rFonts w:cs="Arial"/>
                <w:lang w:val="en-AU" w:eastAsia="en-GB"/>
              </w:rPr>
              <w:t>1</w:t>
            </w:r>
            <w:r w:rsidR="00F0414A" w:rsidRPr="00F0414A">
              <w:rPr>
                <w:rFonts w:cs="Arial"/>
                <w:lang w:val="en-AU" w:eastAsia="en-GB"/>
              </w:rPr>
              <w:t>2</w:t>
            </w:r>
          </w:p>
        </w:tc>
        <w:tc>
          <w:tcPr>
            <w:tcW w:w="1276" w:type="dxa"/>
            <w:tcBorders>
              <w:top w:val="nil"/>
              <w:left w:val="nil"/>
              <w:bottom w:val="nil"/>
              <w:right w:val="nil"/>
            </w:tcBorders>
          </w:tcPr>
          <w:p w14:paraId="6398EBFD" w14:textId="77777777" w:rsidR="001265E9" w:rsidRPr="00FC70FA" w:rsidRDefault="00FC70FA" w:rsidP="001265E9">
            <w:pPr>
              <w:suppressAutoHyphens/>
              <w:ind w:right="78"/>
              <w:jc w:val="right"/>
              <w:rPr>
                <w:rFonts w:cs="Arial"/>
                <w:lang w:val="en-AU" w:eastAsia="en-GB"/>
              </w:rPr>
            </w:pPr>
            <w:r w:rsidRPr="00FC70FA">
              <w:rPr>
                <w:rFonts w:cs="Arial"/>
                <w:lang w:val="en-AU" w:eastAsia="en-GB"/>
              </w:rPr>
              <w:t>6,456</w:t>
            </w:r>
          </w:p>
        </w:tc>
        <w:tc>
          <w:tcPr>
            <w:tcW w:w="1276" w:type="dxa"/>
            <w:tcBorders>
              <w:top w:val="nil"/>
              <w:left w:val="nil"/>
              <w:bottom w:val="nil"/>
              <w:right w:val="nil"/>
            </w:tcBorders>
          </w:tcPr>
          <w:p w14:paraId="7CA239C0" w14:textId="77777777" w:rsidR="001265E9" w:rsidRPr="00B40305" w:rsidRDefault="001265E9" w:rsidP="001265E9">
            <w:pPr>
              <w:suppressAutoHyphens/>
              <w:ind w:right="78"/>
              <w:jc w:val="right"/>
              <w:rPr>
                <w:rFonts w:cs="Arial"/>
                <w:lang w:val="en-AU" w:eastAsia="en-GB"/>
              </w:rPr>
            </w:pPr>
            <w:r w:rsidRPr="00B40305">
              <w:rPr>
                <w:rFonts w:cs="Arial"/>
                <w:lang w:val="en-AU" w:eastAsia="en-GB"/>
              </w:rPr>
              <w:t>5,179</w:t>
            </w:r>
          </w:p>
        </w:tc>
        <w:tc>
          <w:tcPr>
            <w:tcW w:w="1276" w:type="dxa"/>
            <w:tcBorders>
              <w:top w:val="nil"/>
              <w:left w:val="nil"/>
              <w:bottom w:val="nil"/>
              <w:right w:val="nil"/>
            </w:tcBorders>
          </w:tcPr>
          <w:p w14:paraId="768E69B7" w14:textId="77777777" w:rsidR="001265E9" w:rsidRPr="00CA1F53" w:rsidRDefault="00CA1F53" w:rsidP="001265E9">
            <w:pPr>
              <w:suppressAutoHyphens/>
              <w:ind w:right="78"/>
              <w:jc w:val="right"/>
              <w:rPr>
                <w:rFonts w:cs="Arial"/>
                <w:lang w:val="en-AU" w:eastAsia="en-GB"/>
              </w:rPr>
            </w:pPr>
            <w:r w:rsidRPr="00CA1F53">
              <w:rPr>
                <w:rFonts w:cs="Arial"/>
                <w:lang w:val="en-AU" w:eastAsia="en-GB"/>
              </w:rPr>
              <w:t>46</w:t>
            </w:r>
          </w:p>
        </w:tc>
        <w:tc>
          <w:tcPr>
            <w:tcW w:w="1275" w:type="dxa"/>
            <w:tcBorders>
              <w:top w:val="nil"/>
              <w:left w:val="nil"/>
              <w:bottom w:val="nil"/>
              <w:right w:val="nil"/>
            </w:tcBorders>
          </w:tcPr>
          <w:p w14:paraId="507A9222" w14:textId="77777777" w:rsidR="001265E9" w:rsidRPr="001265E9" w:rsidRDefault="001265E9" w:rsidP="001265E9">
            <w:pPr>
              <w:suppressAutoHyphens/>
              <w:ind w:right="78"/>
              <w:jc w:val="right"/>
              <w:rPr>
                <w:rFonts w:cs="Arial"/>
                <w:lang w:val="en-AU" w:eastAsia="en-GB"/>
              </w:rPr>
            </w:pPr>
            <w:r w:rsidRPr="001265E9">
              <w:rPr>
                <w:rFonts w:cs="Arial"/>
                <w:lang w:val="en-AU" w:eastAsia="en-GB"/>
              </w:rPr>
              <w:t>-</w:t>
            </w:r>
          </w:p>
        </w:tc>
      </w:tr>
      <w:tr w:rsidR="001265E9" w:rsidRPr="00C328EF" w14:paraId="30B8BBAD" w14:textId="77777777" w:rsidTr="00C44E52">
        <w:trPr>
          <w:trHeight w:val="255"/>
        </w:trPr>
        <w:tc>
          <w:tcPr>
            <w:tcW w:w="4005" w:type="dxa"/>
            <w:tcBorders>
              <w:top w:val="nil"/>
              <w:left w:val="nil"/>
              <w:bottom w:val="nil"/>
              <w:right w:val="nil"/>
            </w:tcBorders>
          </w:tcPr>
          <w:p w14:paraId="35D97D7E" w14:textId="77777777" w:rsidR="001265E9" w:rsidRPr="001265E9" w:rsidRDefault="001265E9" w:rsidP="001265E9">
            <w:pPr>
              <w:rPr>
                <w:rFonts w:cs="Arial"/>
                <w:lang w:val="en-AU" w:eastAsia="en-GB"/>
              </w:rPr>
            </w:pPr>
          </w:p>
        </w:tc>
        <w:tc>
          <w:tcPr>
            <w:tcW w:w="708" w:type="dxa"/>
            <w:tcBorders>
              <w:top w:val="nil"/>
              <w:left w:val="nil"/>
              <w:bottom w:val="nil"/>
              <w:right w:val="nil"/>
            </w:tcBorders>
          </w:tcPr>
          <w:p w14:paraId="73B0171F" w14:textId="77777777" w:rsidR="001265E9" w:rsidRPr="00F0414A" w:rsidRDefault="001265E9" w:rsidP="001265E9">
            <w:pPr>
              <w:jc w:val="center"/>
              <w:rPr>
                <w:rFonts w:cs="Arial"/>
                <w:lang w:val="en-AU" w:eastAsia="en-GB"/>
              </w:rPr>
            </w:pPr>
          </w:p>
        </w:tc>
        <w:tc>
          <w:tcPr>
            <w:tcW w:w="1276" w:type="dxa"/>
            <w:tcBorders>
              <w:top w:val="nil"/>
              <w:left w:val="nil"/>
              <w:bottom w:val="nil"/>
              <w:right w:val="nil"/>
            </w:tcBorders>
          </w:tcPr>
          <w:p w14:paraId="457403FC" w14:textId="77777777" w:rsidR="001265E9" w:rsidRPr="00FC70FA" w:rsidRDefault="001265E9" w:rsidP="001265E9">
            <w:pPr>
              <w:suppressAutoHyphens/>
              <w:ind w:right="78"/>
              <w:jc w:val="right"/>
              <w:rPr>
                <w:rFonts w:cs="Arial"/>
                <w:spacing w:val="-2"/>
              </w:rPr>
            </w:pPr>
            <w:r w:rsidRPr="00FC70FA">
              <w:rPr>
                <w:rFonts w:cs="Arial"/>
                <w:spacing w:val="-2"/>
              </w:rPr>
              <w:t>───────</w:t>
            </w:r>
          </w:p>
        </w:tc>
        <w:tc>
          <w:tcPr>
            <w:tcW w:w="1276" w:type="dxa"/>
            <w:tcBorders>
              <w:top w:val="nil"/>
              <w:left w:val="nil"/>
              <w:bottom w:val="nil"/>
              <w:right w:val="nil"/>
            </w:tcBorders>
          </w:tcPr>
          <w:p w14:paraId="0EC9C0FA" w14:textId="77777777" w:rsidR="001265E9" w:rsidRPr="00B40305" w:rsidRDefault="001265E9" w:rsidP="001265E9">
            <w:pPr>
              <w:suppressAutoHyphens/>
              <w:ind w:right="78"/>
              <w:jc w:val="right"/>
              <w:rPr>
                <w:rFonts w:cs="Arial"/>
                <w:spacing w:val="-2"/>
              </w:rPr>
            </w:pPr>
            <w:r w:rsidRPr="00B40305">
              <w:rPr>
                <w:rFonts w:cs="Arial"/>
                <w:spacing w:val="-2"/>
              </w:rPr>
              <w:t>───────</w:t>
            </w:r>
          </w:p>
        </w:tc>
        <w:tc>
          <w:tcPr>
            <w:tcW w:w="1276" w:type="dxa"/>
            <w:tcBorders>
              <w:top w:val="nil"/>
              <w:left w:val="nil"/>
              <w:bottom w:val="nil"/>
              <w:right w:val="nil"/>
            </w:tcBorders>
          </w:tcPr>
          <w:p w14:paraId="6CFCF5E8" w14:textId="77777777" w:rsidR="001265E9" w:rsidRPr="00CA1F53" w:rsidRDefault="001265E9" w:rsidP="001265E9">
            <w:pPr>
              <w:suppressAutoHyphens/>
              <w:ind w:right="78"/>
              <w:rPr>
                <w:rFonts w:cs="Arial"/>
                <w:spacing w:val="-2"/>
              </w:rPr>
            </w:pPr>
            <w:r w:rsidRPr="00CA1F53">
              <w:rPr>
                <w:rFonts w:cs="Arial"/>
                <w:spacing w:val="-2"/>
              </w:rPr>
              <w:t>───────</w:t>
            </w:r>
          </w:p>
        </w:tc>
        <w:tc>
          <w:tcPr>
            <w:tcW w:w="1275" w:type="dxa"/>
            <w:tcBorders>
              <w:top w:val="nil"/>
              <w:left w:val="nil"/>
              <w:bottom w:val="nil"/>
              <w:right w:val="nil"/>
            </w:tcBorders>
          </w:tcPr>
          <w:p w14:paraId="3F72C33C" w14:textId="77777777" w:rsidR="001265E9" w:rsidRPr="001265E9" w:rsidRDefault="001265E9" w:rsidP="001265E9">
            <w:pPr>
              <w:suppressAutoHyphens/>
              <w:ind w:right="78"/>
              <w:rPr>
                <w:rFonts w:cs="Arial"/>
                <w:spacing w:val="-2"/>
              </w:rPr>
            </w:pPr>
            <w:r w:rsidRPr="001265E9">
              <w:rPr>
                <w:rFonts w:cs="Arial"/>
                <w:spacing w:val="-2"/>
              </w:rPr>
              <w:t>───────</w:t>
            </w:r>
          </w:p>
        </w:tc>
      </w:tr>
      <w:tr w:rsidR="001265E9" w:rsidRPr="00C328EF" w14:paraId="48225666" w14:textId="77777777" w:rsidTr="00C44E52">
        <w:trPr>
          <w:trHeight w:val="255"/>
        </w:trPr>
        <w:tc>
          <w:tcPr>
            <w:tcW w:w="4005" w:type="dxa"/>
            <w:tcBorders>
              <w:top w:val="nil"/>
              <w:left w:val="nil"/>
              <w:bottom w:val="nil"/>
              <w:right w:val="nil"/>
            </w:tcBorders>
          </w:tcPr>
          <w:p w14:paraId="3A049E62" w14:textId="77777777" w:rsidR="001265E9" w:rsidRPr="001265E9" w:rsidRDefault="001265E9" w:rsidP="001265E9">
            <w:pPr>
              <w:rPr>
                <w:rFonts w:cs="Arial"/>
                <w:b/>
                <w:bCs/>
                <w:lang w:eastAsia="en-GB"/>
              </w:rPr>
            </w:pPr>
            <w:r w:rsidRPr="001265E9">
              <w:rPr>
                <w:rFonts w:cs="Arial"/>
                <w:b/>
                <w:bCs/>
                <w:lang w:val="en-AU" w:eastAsia="en-GB"/>
              </w:rPr>
              <w:t>Total financial assets</w:t>
            </w:r>
          </w:p>
        </w:tc>
        <w:tc>
          <w:tcPr>
            <w:tcW w:w="708" w:type="dxa"/>
            <w:tcBorders>
              <w:top w:val="nil"/>
              <w:left w:val="nil"/>
              <w:bottom w:val="nil"/>
              <w:right w:val="nil"/>
            </w:tcBorders>
          </w:tcPr>
          <w:p w14:paraId="5E3CFAD4" w14:textId="77777777" w:rsidR="001265E9" w:rsidRPr="00F0414A" w:rsidRDefault="001265E9" w:rsidP="001265E9">
            <w:pPr>
              <w:jc w:val="center"/>
              <w:rPr>
                <w:rFonts w:cs="Arial"/>
                <w:lang w:eastAsia="en-GB"/>
              </w:rPr>
            </w:pPr>
          </w:p>
        </w:tc>
        <w:tc>
          <w:tcPr>
            <w:tcW w:w="1276" w:type="dxa"/>
            <w:tcBorders>
              <w:top w:val="nil"/>
              <w:left w:val="nil"/>
              <w:bottom w:val="nil"/>
              <w:right w:val="nil"/>
            </w:tcBorders>
          </w:tcPr>
          <w:p w14:paraId="646F8010" w14:textId="77777777" w:rsidR="001265E9" w:rsidRPr="00FC70FA" w:rsidRDefault="00FC70FA" w:rsidP="001265E9">
            <w:pPr>
              <w:suppressAutoHyphens/>
              <w:ind w:right="78"/>
              <w:jc w:val="right"/>
              <w:rPr>
                <w:rFonts w:cs="Arial"/>
                <w:spacing w:val="-2"/>
              </w:rPr>
            </w:pPr>
            <w:r w:rsidRPr="00FC70FA">
              <w:rPr>
                <w:rFonts w:cs="Arial"/>
                <w:spacing w:val="-2"/>
              </w:rPr>
              <w:t>40</w:t>
            </w:r>
            <w:r w:rsidR="001265E9" w:rsidRPr="00FC70FA">
              <w:rPr>
                <w:rFonts w:cs="Arial"/>
                <w:spacing w:val="-2"/>
              </w:rPr>
              <w:t>,</w:t>
            </w:r>
            <w:r w:rsidRPr="00FC70FA">
              <w:rPr>
                <w:rFonts w:cs="Arial"/>
                <w:spacing w:val="-2"/>
              </w:rPr>
              <w:t>656</w:t>
            </w:r>
          </w:p>
        </w:tc>
        <w:tc>
          <w:tcPr>
            <w:tcW w:w="1276" w:type="dxa"/>
            <w:tcBorders>
              <w:top w:val="nil"/>
              <w:left w:val="nil"/>
              <w:bottom w:val="nil"/>
              <w:right w:val="nil"/>
            </w:tcBorders>
          </w:tcPr>
          <w:p w14:paraId="2490D8FB" w14:textId="77777777" w:rsidR="001265E9" w:rsidRPr="00B40305" w:rsidRDefault="001265E9" w:rsidP="001265E9">
            <w:pPr>
              <w:suppressAutoHyphens/>
              <w:ind w:right="78"/>
              <w:jc w:val="right"/>
              <w:rPr>
                <w:rFonts w:cs="Arial"/>
                <w:spacing w:val="-2"/>
              </w:rPr>
            </w:pPr>
            <w:r w:rsidRPr="00B40305">
              <w:rPr>
                <w:rFonts w:cs="Arial"/>
                <w:spacing w:val="-2"/>
              </w:rPr>
              <w:t>53,094</w:t>
            </w:r>
          </w:p>
        </w:tc>
        <w:tc>
          <w:tcPr>
            <w:tcW w:w="1276" w:type="dxa"/>
            <w:tcBorders>
              <w:top w:val="nil"/>
              <w:left w:val="nil"/>
              <w:bottom w:val="nil"/>
              <w:right w:val="nil"/>
            </w:tcBorders>
          </w:tcPr>
          <w:p w14:paraId="63E0CFA0" w14:textId="77777777" w:rsidR="001265E9" w:rsidRPr="00CA1F53" w:rsidRDefault="00CA1F53" w:rsidP="001265E9">
            <w:pPr>
              <w:suppressAutoHyphens/>
              <w:ind w:right="78"/>
              <w:jc w:val="right"/>
              <w:rPr>
                <w:rFonts w:cs="Arial"/>
                <w:spacing w:val="-2"/>
              </w:rPr>
            </w:pPr>
            <w:r w:rsidRPr="00CA1F53">
              <w:rPr>
                <w:rFonts w:cs="Arial"/>
                <w:spacing w:val="-2"/>
              </w:rPr>
              <w:t>263</w:t>
            </w:r>
          </w:p>
        </w:tc>
        <w:tc>
          <w:tcPr>
            <w:tcW w:w="1275" w:type="dxa"/>
            <w:tcBorders>
              <w:top w:val="nil"/>
              <w:left w:val="nil"/>
              <w:bottom w:val="nil"/>
              <w:right w:val="nil"/>
            </w:tcBorders>
          </w:tcPr>
          <w:p w14:paraId="428A210A" w14:textId="77777777" w:rsidR="001265E9" w:rsidRPr="001265E9" w:rsidRDefault="001265E9" w:rsidP="001265E9">
            <w:pPr>
              <w:suppressAutoHyphens/>
              <w:ind w:right="78"/>
              <w:jc w:val="right"/>
              <w:rPr>
                <w:rFonts w:cs="Arial"/>
                <w:spacing w:val="-2"/>
              </w:rPr>
            </w:pPr>
            <w:r w:rsidRPr="001265E9">
              <w:rPr>
                <w:rFonts w:cs="Arial"/>
                <w:spacing w:val="-2"/>
              </w:rPr>
              <w:t>456</w:t>
            </w:r>
          </w:p>
        </w:tc>
      </w:tr>
      <w:tr w:rsidR="001265E9" w:rsidRPr="00C328EF" w14:paraId="319A2B8F" w14:textId="77777777" w:rsidTr="00C44E52">
        <w:trPr>
          <w:trHeight w:val="246"/>
        </w:trPr>
        <w:tc>
          <w:tcPr>
            <w:tcW w:w="4005" w:type="dxa"/>
            <w:tcBorders>
              <w:top w:val="nil"/>
              <w:left w:val="nil"/>
              <w:bottom w:val="nil"/>
              <w:right w:val="nil"/>
            </w:tcBorders>
          </w:tcPr>
          <w:p w14:paraId="685951C2" w14:textId="77777777" w:rsidR="001265E9" w:rsidRPr="001265E9" w:rsidRDefault="001265E9" w:rsidP="001265E9">
            <w:pPr>
              <w:rPr>
                <w:rFonts w:cs="Arial"/>
                <w:b/>
                <w:bCs/>
                <w:lang w:eastAsia="en-GB"/>
              </w:rPr>
            </w:pPr>
          </w:p>
        </w:tc>
        <w:tc>
          <w:tcPr>
            <w:tcW w:w="708" w:type="dxa"/>
            <w:tcBorders>
              <w:top w:val="nil"/>
              <w:left w:val="nil"/>
              <w:bottom w:val="nil"/>
              <w:right w:val="nil"/>
            </w:tcBorders>
          </w:tcPr>
          <w:p w14:paraId="45A25CFD" w14:textId="77777777" w:rsidR="001265E9" w:rsidRPr="00F0414A" w:rsidRDefault="001265E9" w:rsidP="001265E9">
            <w:pPr>
              <w:jc w:val="center"/>
              <w:rPr>
                <w:rFonts w:cs="Arial"/>
                <w:lang w:eastAsia="en-GB"/>
              </w:rPr>
            </w:pPr>
          </w:p>
        </w:tc>
        <w:tc>
          <w:tcPr>
            <w:tcW w:w="1276" w:type="dxa"/>
            <w:tcBorders>
              <w:top w:val="nil"/>
              <w:left w:val="nil"/>
              <w:bottom w:val="nil"/>
              <w:right w:val="nil"/>
            </w:tcBorders>
          </w:tcPr>
          <w:p w14:paraId="00D623C4" w14:textId="77777777" w:rsidR="001265E9" w:rsidRPr="00FC70FA" w:rsidRDefault="001265E9" w:rsidP="001265E9">
            <w:pPr>
              <w:suppressAutoHyphens/>
              <w:ind w:right="78"/>
              <w:jc w:val="right"/>
              <w:rPr>
                <w:rFonts w:cs="Arial"/>
                <w:spacing w:val="-2"/>
              </w:rPr>
            </w:pPr>
            <w:r w:rsidRPr="00FC70FA">
              <w:rPr>
                <w:rFonts w:cs="Arial"/>
                <w:spacing w:val="-2"/>
              </w:rPr>
              <w:t>═══════</w:t>
            </w:r>
          </w:p>
        </w:tc>
        <w:tc>
          <w:tcPr>
            <w:tcW w:w="1276" w:type="dxa"/>
            <w:tcBorders>
              <w:top w:val="nil"/>
              <w:left w:val="nil"/>
              <w:bottom w:val="nil"/>
              <w:right w:val="nil"/>
            </w:tcBorders>
          </w:tcPr>
          <w:p w14:paraId="3226BF1D" w14:textId="77777777" w:rsidR="001265E9" w:rsidRPr="00B40305" w:rsidRDefault="001265E9" w:rsidP="001265E9">
            <w:pPr>
              <w:suppressAutoHyphens/>
              <w:ind w:right="78"/>
              <w:jc w:val="right"/>
              <w:rPr>
                <w:rFonts w:cs="Arial"/>
                <w:spacing w:val="-2"/>
              </w:rPr>
            </w:pPr>
            <w:r w:rsidRPr="00B40305">
              <w:rPr>
                <w:rFonts w:cs="Arial"/>
                <w:spacing w:val="-2"/>
              </w:rPr>
              <w:t>═══════</w:t>
            </w:r>
          </w:p>
        </w:tc>
        <w:tc>
          <w:tcPr>
            <w:tcW w:w="1276" w:type="dxa"/>
            <w:tcBorders>
              <w:top w:val="nil"/>
              <w:left w:val="nil"/>
              <w:bottom w:val="nil"/>
              <w:right w:val="nil"/>
            </w:tcBorders>
          </w:tcPr>
          <w:p w14:paraId="137E9C1F" w14:textId="77777777" w:rsidR="001265E9" w:rsidRPr="00CA1F53" w:rsidRDefault="001265E9" w:rsidP="001265E9">
            <w:pPr>
              <w:suppressAutoHyphens/>
              <w:ind w:right="78"/>
              <w:jc w:val="right"/>
              <w:rPr>
                <w:rFonts w:cs="Arial"/>
                <w:spacing w:val="-2"/>
              </w:rPr>
            </w:pPr>
            <w:r w:rsidRPr="00CA1F53">
              <w:rPr>
                <w:rFonts w:cs="Arial"/>
                <w:spacing w:val="-2"/>
              </w:rPr>
              <w:t>═══════</w:t>
            </w:r>
          </w:p>
        </w:tc>
        <w:tc>
          <w:tcPr>
            <w:tcW w:w="1275" w:type="dxa"/>
            <w:tcBorders>
              <w:top w:val="nil"/>
              <w:left w:val="nil"/>
              <w:bottom w:val="nil"/>
              <w:right w:val="nil"/>
            </w:tcBorders>
          </w:tcPr>
          <w:p w14:paraId="7B381568" w14:textId="77777777" w:rsidR="001265E9" w:rsidRPr="001265E9" w:rsidRDefault="001265E9" w:rsidP="001265E9">
            <w:pPr>
              <w:suppressAutoHyphens/>
              <w:ind w:right="78"/>
              <w:jc w:val="right"/>
              <w:rPr>
                <w:rFonts w:cs="Arial"/>
                <w:spacing w:val="-2"/>
              </w:rPr>
            </w:pPr>
            <w:r w:rsidRPr="001265E9">
              <w:rPr>
                <w:rFonts w:cs="Arial"/>
                <w:spacing w:val="-2"/>
              </w:rPr>
              <w:t>═══════</w:t>
            </w:r>
          </w:p>
        </w:tc>
      </w:tr>
      <w:tr w:rsidR="001265E9" w:rsidRPr="00C328EF" w14:paraId="12DB3FCA" w14:textId="77777777" w:rsidTr="00C44E52">
        <w:trPr>
          <w:trHeight w:val="255"/>
        </w:trPr>
        <w:tc>
          <w:tcPr>
            <w:tcW w:w="4005" w:type="dxa"/>
            <w:tcBorders>
              <w:top w:val="nil"/>
              <w:left w:val="nil"/>
              <w:bottom w:val="nil"/>
              <w:right w:val="nil"/>
            </w:tcBorders>
          </w:tcPr>
          <w:p w14:paraId="0285D70F" w14:textId="77777777" w:rsidR="001265E9" w:rsidRPr="001265E9" w:rsidRDefault="001265E9" w:rsidP="001265E9">
            <w:pPr>
              <w:rPr>
                <w:rFonts w:cs="Arial"/>
                <w:b/>
                <w:bCs/>
                <w:lang w:eastAsia="en-GB"/>
              </w:rPr>
            </w:pPr>
            <w:r w:rsidRPr="001265E9">
              <w:rPr>
                <w:b/>
                <w:bCs/>
                <w:lang w:val="en-AU" w:eastAsia="en-GB"/>
              </w:rPr>
              <w:t>Financial liabilities</w:t>
            </w:r>
          </w:p>
        </w:tc>
        <w:tc>
          <w:tcPr>
            <w:tcW w:w="708" w:type="dxa"/>
            <w:tcBorders>
              <w:top w:val="nil"/>
              <w:left w:val="nil"/>
              <w:bottom w:val="nil"/>
              <w:right w:val="nil"/>
            </w:tcBorders>
          </w:tcPr>
          <w:p w14:paraId="63980036" w14:textId="77777777" w:rsidR="001265E9" w:rsidRPr="00F0414A" w:rsidRDefault="001265E9" w:rsidP="001265E9">
            <w:pPr>
              <w:jc w:val="center"/>
              <w:rPr>
                <w:rFonts w:cs="Arial"/>
                <w:lang w:eastAsia="en-GB"/>
              </w:rPr>
            </w:pPr>
          </w:p>
        </w:tc>
        <w:tc>
          <w:tcPr>
            <w:tcW w:w="1276" w:type="dxa"/>
            <w:tcBorders>
              <w:top w:val="nil"/>
              <w:left w:val="nil"/>
              <w:bottom w:val="nil"/>
              <w:right w:val="nil"/>
            </w:tcBorders>
          </w:tcPr>
          <w:p w14:paraId="594D0670" w14:textId="77777777" w:rsidR="001265E9" w:rsidRPr="00C328EF" w:rsidRDefault="001265E9" w:rsidP="001265E9">
            <w:pPr>
              <w:suppressAutoHyphens/>
              <w:ind w:right="78"/>
              <w:jc w:val="right"/>
              <w:rPr>
                <w:rFonts w:cs="Arial"/>
                <w:spacing w:val="-2"/>
                <w:highlight w:val="yellow"/>
              </w:rPr>
            </w:pPr>
          </w:p>
        </w:tc>
        <w:tc>
          <w:tcPr>
            <w:tcW w:w="1276" w:type="dxa"/>
            <w:tcBorders>
              <w:top w:val="nil"/>
              <w:left w:val="nil"/>
              <w:bottom w:val="nil"/>
              <w:right w:val="nil"/>
            </w:tcBorders>
          </w:tcPr>
          <w:p w14:paraId="7AFCD9F7" w14:textId="77777777" w:rsidR="001265E9" w:rsidRPr="00B40305" w:rsidRDefault="001265E9" w:rsidP="001265E9">
            <w:pPr>
              <w:suppressAutoHyphens/>
              <w:ind w:right="78"/>
              <w:jc w:val="right"/>
              <w:rPr>
                <w:rFonts w:cs="Arial"/>
                <w:spacing w:val="-2"/>
              </w:rPr>
            </w:pPr>
          </w:p>
        </w:tc>
        <w:tc>
          <w:tcPr>
            <w:tcW w:w="1276" w:type="dxa"/>
            <w:tcBorders>
              <w:top w:val="nil"/>
              <w:left w:val="nil"/>
              <w:bottom w:val="nil"/>
              <w:right w:val="nil"/>
            </w:tcBorders>
          </w:tcPr>
          <w:p w14:paraId="5142CC6B" w14:textId="77777777" w:rsidR="001265E9" w:rsidRPr="00C328EF" w:rsidRDefault="001265E9" w:rsidP="001265E9">
            <w:pPr>
              <w:suppressAutoHyphens/>
              <w:ind w:right="78"/>
              <w:jc w:val="right"/>
              <w:rPr>
                <w:rFonts w:cs="Arial"/>
                <w:spacing w:val="-2"/>
                <w:highlight w:val="yellow"/>
              </w:rPr>
            </w:pPr>
          </w:p>
        </w:tc>
        <w:tc>
          <w:tcPr>
            <w:tcW w:w="1275" w:type="dxa"/>
            <w:tcBorders>
              <w:top w:val="nil"/>
              <w:left w:val="nil"/>
              <w:bottom w:val="nil"/>
              <w:right w:val="nil"/>
            </w:tcBorders>
          </w:tcPr>
          <w:p w14:paraId="0AA91019" w14:textId="77777777" w:rsidR="001265E9" w:rsidRPr="001265E9" w:rsidRDefault="001265E9" w:rsidP="001265E9">
            <w:pPr>
              <w:suppressAutoHyphens/>
              <w:ind w:right="78"/>
              <w:jc w:val="right"/>
              <w:rPr>
                <w:rFonts w:cs="Arial"/>
                <w:spacing w:val="-2"/>
              </w:rPr>
            </w:pPr>
          </w:p>
        </w:tc>
      </w:tr>
      <w:tr w:rsidR="001265E9" w:rsidRPr="00C328EF" w14:paraId="1B4CC057" w14:textId="77777777" w:rsidTr="00C44E52">
        <w:trPr>
          <w:trHeight w:val="255"/>
        </w:trPr>
        <w:tc>
          <w:tcPr>
            <w:tcW w:w="4005" w:type="dxa"/>
            <w:tcBorders>
              <w:top w:val="nil"/>
              <w:left w:val="nil"/>
              <w:right w:val="nil"/>
            </w:tcBorders>
          </w:tcPr>
          <w:p w14:paraId="002ADE69" w14:textId="77777777" w:rsidR="001265E9" w:rsidRPr="001265E9" w:rsidRDefault="001265E9" w:rsidP="001265E9">
            <w:pPr>
              <w:rPr>
                <w:rFonts w:cs="Arial"/>
                <w:lang w:eastAsia="en-GB"/>
              </w:rPr>
            </w:pPr>
            <w:r w:rsidRPr="001265E9">
              <w:rPr>
                <w:rFonts w:cs="Arial"/>
                <w:lang w:val="en-AU" w:eastAsia="en-GB"/>
              </w:rPr>
              <w:t>Current liabilities</w:t>
            </w:r>
          </w:p>
        </w:tc>
        <w:tc>
          <w:tcPr>
            <w:tcW w:w="708" w:type="dxa"/>
            <w:tcBorders>
              <w:top w:val="nil"/>
              <w:left w:val="nil"/>
              <w:bottom w:val="nil"/>
              <w:right w:val="nil"/>
            </w:tcBorders>
          </w:tcPr>
          <w:p w14:paraId="07A31433" w14:textId="77777777" w:rsidR="001265E9" w:rsidRPr="00F0414A" w:rsidRDefault="001265E9" w:rsidP="001265E9">
            <w:pPr>
              <w:jc w:val="center"/>
              <w:rPr>
                <w:rFonts w:cs="Arial"/>
                <w:lang w:eastAsia="en-GB"/>
              </w:rPr>
            </w:pPr>
            <w:r w:rsidRPr="00F0414A">
              <w:rPr>
                <w:rFonts w:cs="Arial"/>
                <w:lang w:val="en-AU" w:eastAsia="en-GB"/>
              </w:rPr>
              <w:t>1</w:t>
            </w:r>
            <w:r w:rsidR="00F0414A" w:rsidRPr="00F0414A">
              <w:rPr>
                <w:rFonts w:cs="Arial"/>
                <w:lang w:val="en-AU" w:eastAsia="en-GB"/>
              </w:rPr>
              <w:t>4</w:t>
            </w:r>
          </w:p>
        </w:tc>
        <w:tc>
          <w:tcPr>
            <w:tcW w:w="1276" w:type="dxa"/>
            <w:tcBorders>
              <w:top w:val="nil"/>
              <w:left w:val="nil"/>
              <w:bottom w:val="nil"/>
              <w:right w:val="nil"/>
            </w:tcBorders>
          </w:tcPr>
          <w:p w14:paraId="164AA8E5" w14:textId="77777777" w:rsidR="001265E9" w:rsidRPr="00E44847" w:rsidRDefault="001265E9" w:rsidP="001265E9">
            <w:pPr>
              <w:suppressAutoHyphens/>
              <w:ind w:right="78"/>
              <w:jc w:val="right"/>
              <w:rPr>
                <w:rFonts w:cs="Arial"/>
                <w:spacing w:val="-2"/>
              </w:rPr>
            </w:pPr>
            <w:r w:rsidRPr="00E44847">
              <w:rPr>
                <w:rFonts w:cs="Arial"/>
                <w:spacing w:val="-2"/>
              </w:rPr>
              <w:t>3</w:t>
            </w:r>
            <w:r w:rsidR="00E44847" w:rsidRPr="00E44847">
              <w:rPr>
                <w:rFonts w:cs="Arial"/>
                <w:spacing w:val="-2"/>
              </w:rPr>
              <w:t>8</w:t>
            </w:r>
            <w:r w:rsidRPr="00E44847">
              <w:rPr>
                <w:rFonts w:cs="Arial"/>
                <w:spacing w:val="-2"/>
              </w:rPr>
              <w:t>,4</w:t>
            </w:r>
            <w:r w:rsidR="00E44847" w:rsidRPr="00E44847">
              <w:rPr>
                <w:rFonts w:cs="Arial"/>
                <w:spacing w:val="-2"/>
              </w:rPr>
              <w:t>57</w:t>
            </w:r>
          </w:p>
        </w:tc>
        <w:tc>
          <w:tcPr>
            <w:tcW w:w="1276" w:type="dxa"/>
            <w:tcBorders>
              <w:top w:val="nil"/>
              <w:left w:val="nil"/>
              <w:bottom w:val="nil"/>
              <w:right w:val="nil"/>
            </w:tcBorders>
          </w:tcPr>
          <w:p w14:paraId="493E1C2B" w14:textId="77777777" w:rsidR="001265E9" w:rsidRPr="00B40305" w:rsidRDefault="001265E9" w:rsidP="001265E9">
            <w:pPr>
              <w:suppressAutoHyphens/>
              <w:ind w:right="78"/>
              <w:jc w:val="right"/>
              <w:rPr>
                <w:rFonts w:cs="Arial"/>
                <w:spacing w:val="-2"/>
              </w:rPr>
            </w:pPr>
            <w:r w:rsidRPr="00B40305">
              <w:rPr>
                <w:rFonts w:cs="Arial"/>
                <w:spacing w:val="-2"/>
              </w:rPr>
              <w:t>38,465</w:t>
            </w:r>
          </w:p>
        </w:tc>
        <w:tc>
          <w:tcPr>
            <w:tcW w:w="1276" w:type="dxa"/>
            <w:tcBorders>
              <w:top w:val="nil"/>
              <w:left w:val="nil"/>
              <w:bottom w:val="nil"/>
              <w:right w:val="nil"/>
            </w:tcBorders>
          </w:tcPr>
          <w:p w14:paraId="6ECB770C" w14:textId="77777777" w:rsidR="001265E9" w:rsidRPr="00DB462A" w:rsidRDefault="00DB462A" w:rsidP="001265E9">
            <w:pPr>
              <w:suppressAutoHyphens/>
              <w:ind w:right="78"/>
              <w:jc w:val="right"/>
              <w:rPr>
                <w:rFonts w:cs="Arial"/>
                <w:spacing w:val="-2"/>
              </w:rPr>
            </w:pPr>
            <w:r w:rsidRPr="00DB462A">
              <w:rPr>
                <w:rFonts w:cs="Arial"/>
                <w:spacing w:val="-2"/>
              </w:rPr>
              <w:t>27</w:t>
            </w:r>
          </w:p>
        </w:tc>
        <w:tc>
          <w:tcPr>
            <w:tcW w:w="1275" w:type="dxa"/>
            <w:tcBorders>
              <w:top w:val="nil"/>
              <w:left w:val="nil"/>
              <w:bottom w:val="nil"/>
              <w:right w:val="nil"/>
            </w:tcBorders>
          </w:tcPr>
          <w:p w14:paraId="0EA2EC37" w14:textId="77777777" w:rsidR="001265E9" w:rsidRPr="001265E9" w:rsidRDefault="001265E9" w:rsidP="001265E9">
            <w:pPr>
              <w:suppressAutoHyphens/>
              <w:ind w:right="78"/>
              <w:jc w:val="right"/>
              <w:rPr>
                <w:rFonts w:cs="Arial"/>
                <w:spacing w:val="-2"/>
              </w:rPr>
            </w:pPr>
            <w:r w:rsidRPr="001265E9">
              <w:rPr>
                <w:rFonts w:cs="Arial"/>
                <w:spacing w:val="-2"/>
              </w:rPr>
              <w:t>19</w:t>
            </w:r>
          </w:p>
        </w:tc>
      </w:tr>
      <w:tr w:rsidR="001265E9" w:rsidRPr="00C328EF" w14:paraId="09F62585" w14:textId="77777777" w:rsidTr="00C44E52">
        <w:trPr>
          <w:trHeight w:val="255"/>
        </w:trPr>
        <w:tc>
          <w:tcPr>
            <w:tcW w:w="4005" w:type="dxa"/>
            <w:tcBorders>
              <w:left w:val="nil"/>
              <w:bottom w:val="nil"/>
              <w:right w:val="nil"/>
            </w:tcBorders>
          </w:tcPr>
          <w:p w14:paraId="6A7B9295" w14:textId="77777777" w:rsidR="001265E9" w:rsidRPr="001265E9" w:rsidRDefault="001265E9" w:rsidP="001265E9">
            <w:pPr>
              <w:rPr>
                <w:rFonts w:cs="Arial"/>
                <w:lang w:val="en-AU" w:eastAsia="en-GB"/>
              </w:rPr>
            </w:pPr>
            <w:r w:rsidRPr="001265E9">
              <w:rPr>
                <w:rFonts w:cs="Arial"/>
                <w:lang w:val="en-AU" w:eastAsia="en-GB"/>
              </w:rPr>
              <w:t>Non-current lease obligations</w:t>
            </w:r>
          </w:p>
        </w:tc>
        <w:tc>
          <w:tcPr>
            <w:tcW w:w="708" w:type="dxa"/>
            <w:tcBorders>
              <w:top w:val="nil"/>
              <w:left w:val="nil"/>
              <w:bottom w:val="nil"/>
              <w:right w:val="nil"/>
            </w:tcBorders>
          </w:tcPr>
          <w:p w14:paraId="21B35B30" w14:textId="77777777" w:rsidR="001265E9" w:rsidRPr="00F0414A" w:rsidRDefault="001265E9" w:rsidP="001265E9">
            <w:pPr>
              <w:jc w:val="center"/>
              <w:rPr>
                <w:rFonts w:cs="Arial"/>
                <w:lang w:val="en-AU" w:eastAsia="en-GB"/>
              </w:rPr>
            </w:pPr>
            <w:r w:rsidRPr="00F0414A">
              <w:rPr>
                <w:rFonts w:cs="Arial"/>
                <w:lang w:val="en-AU" w:eastAsia="en-GB"/>
              </w:rPr>
              <w:t>1</w:t>
            </w:r>
            <w:r w:rsidR="00F0414A" w:rsidRPr="00F0414A">
              <w:rPr>
                <w:rFonts w:cs="Arial"/>
                <w:lang w:val="en-AU" w:eastAsia="en-GB"/>
              </w:rPr>
              <w:t>6</w:t>
            </w:r>
          </w:p>
        </w:tc>
        <w:tc>
          <w:tcPr>
            <w:tcW w:w="1276" w:type="dxa"/>
            <w:tcBorders>
              <w:top w:val="nil"/>
              <w:left w:val="nil"/>
              <w:bottom w:val="nil"/>
              <w:right w:val="nil"/>
            </w:tcBorders>
          </w:tcPr>
          <w:p w14:paraId="78BDF9FB" w14:textId="77777777" w:rsidR="001265E9" w:rsidRPr="00E44847" w:rsidRDefault="00FC70FA" w:rsidP="001265E9">
            <w:pPr>
              <w:suppressAutoHyphens/>
              <w:ind w:right="78"/>
              <w:jc w:val="right"/>
              <w:rPr>
                <w:rFonts w:cs="Arial"/>
                <w:spacing w:val="-2"/>
              </w:rPr>
            </w:pPr>
            <w:r w:rsidRPr="00E44847">
              <w:rPr>
                <w:rFonts w:cs="Arial"/>
                <w:spacing w:val="-2"/>
              </w:rPr>
              <w:t>37</w:t>
            </w:r>
            <w:r w:rsidR="001265E9" w:rsidRPr="00E44847">
              <w:rPr>
                <w:rFonts w:cs="Arial"/>
                <w:spacing w:val="-2"/>
              </w:rPr>
              <w:t>,</w:t>
            </w:r>
            <w:r w:rsidRPr="00E44847">
              <w:rPr>
                <w:rFonts w:cs="Arial"/>
                <w:spacing w:val="-2"/>
              </w:rPr>
              <w:t>851</w:t>
            </w:r>
          </w:p>
        </w:tc>
        <w:tc>
          <w:tcPr>
            <w:tcW w:w="1276" w:type="dxa"/>
            <w:tcBorders>
              <w:top w:val="nil"/>
              <w:left w:val="nil"/>
              <w:bottom w:val="nil"/>
              <w:right w:val="nil"/>
            </w:tcBorders>
          </w:tcPr>
          <w:p w14:paraId="2B2BFF35" w14:textId="77777777" w:rsidR="001265E9" w:rsidRPr="00B40305" w:rsidRDefault="001265E9" w:rsidP="001265E9">
            <w:pPr>
              <w:suppressAutoHyphens/>
              <w:ind w:right="78"/>
              <w:jc w:val="right"/>
              <w:rPr>
                <w:rFonts w:cs="Arial"/>
                <w:spacing w:val="-2"/>
              </w:rPr>
            </w:pPr>
            <w:r w:rsidRPr="00B40305">
              <w:rPr>
                <w:rFonts w:cs="Arial"/>
                <w:spacing w:val="-2"/>
              </w:rPr>
              <w:t>50,016</w:t>
            </w:r>
          </w:p>
        </w:tc>
        <w:tc>
          <w:tcPr>
            <w:tcW w:w="1276" w:type="dxa"/>
            <w:tcBorders>
              <w:top w:val="nil"/>
              <w:left w:val="nil"/>
              <w:bottom w:val="nil"/>
              <w:right w:val="nil"/>
            </w:tcBorders>
          </w:tcPr>
          <w:p w14:paraId="51EA52D1" w14:textId="77777777" w:rsidR="001265E9" w:rsidRPr="00DB462A" w:rsidRDefault="001265E9" w:rsidP="001265E9">
            <w:pPr>
              <w:suppressAutoHyphens/>
              <w:ind w:right="78"/>
              <w:jc w:val="right"/>
              <w:rPr>
                <w:rFonts w:cs="Arial"/>
                <w:spacing w:val="-2"/>
              </w:rPr>
            </w:pPr>
            <w:r w:rsidRPr="00DB462A">
              <w:rPr>
                <w:rFonts w:cs="Arial"/>
                <w:spacing w:val="-2"/>
              </w:rPr>
              <w:t>-</w:t>
            </w:r>
          </w:p>
        </w:tc>
        <w:tc>
          <w:tcPr>
            <w:tcW w:w="1275" w:type="dxa"/>
            <w:tcBorders>
              <w:top w:val="nil"/>
              <w:left w:val="nil"/>
              <w:bottom w:val="nil"/>
              <w:right w:val="nil"/>
            </w:tcBorders>
          </w:tcPr>
          <w:p w14:paraId="25780F78" w14:textId="77777777" w:rsidR="001265E9" w:rsidRPr="001265E9" w:rsidRDefault="001265E9" w:rsidP="001265E9">
            <w:pPr>
              <w:suppressAutoHyphens/>
              <w:ind w:right="78"/>
              <w:jc w:val="right"/>
              <w:rPr>
                <w:rFonts w:cs="Arial"/>
                <w:spacing w:val="-2"/>
              </w:rPr>
            </w:pPr>
            <w:r w:rsidRPr="001265E9">
              <w:rPr>
                <w:rFonts w:cs="Arial"/>
                <w:spacing w:val="-2"/>
              </w:rPr>
              <w:t>-</w:t>
            </w:r>
          </w:p>
        </w:tc>
      </w:tr>
      <w:tr w:rsidR="001265E9" w:rsidRPr="00C328EF" w14:paraId="0E13F97F" w14:textId="77777777" w:rsidTr="00C44E52">
        <w:trPr>
          <w:trHeight w:val="255"/>
        </w:trPr>
        <w:tc>
          <w:tcPr>
            <w:tcW w:w="4005" w:type="dxa"/>
            <w:tcBorders>
              <w:top w:val="nil"/>
              <w:left w:val="nil"/>
              <w:bottom w:val="nil"/>
              <w:right w:val="nil"/>
            </w:tcBorders>
          </w:tcPr>
          <w:p w14:paraId="430A1843" w14:textId="77777777" w:rsidR="001265E9" w:rsidRPr="001265E9" w:rsidRDefault="001265E9" w:rsidP="001265E9">
            <w:pPr>
              <w:rPr>
                <w:rFonts w:cs="Arial"/>
                <w:lang w:val="en-AU" w:eastAsia="en-GB"/>
              </w:rPr>
            </w:pPr>
          </w:p>
        </w:tc>
        <w:tc>
          <w:tcPr>
            <w:tcW w:w="708" w:type="dxa"/>
            <w:tcBorders>
              <w:top w:val="nil"/>
              <w:left w:val="nil"/>
              <w:bottom w:val="nil"/>
              <w:right w:val="nil"/>
            </w:tcBorders>
          </w:tcPr>
          <w:p w14:paraId="75519DF9" w14:textId="77777777" w:rsidR="001265E9" w:rsidRPr="00F0414A" w:rsidRDefault="001265E9" w:rsidP="001265E9">
            <w:pPr>
              <w:jc w:val="center"/>
              <w:rPr>
                <w:rFonts w:cs="Arial"/>
                <w:lang w:val="en-AU" w:eastAsia="en-GB"/>
              </w:rPr>
            </w:pPr>
          </w:p>
        </w:tc>
        <w:tc>
          <w:tcPr>
            <w:tcW w:w="1276" w:type="dxa"/>
            <w:tcBorders>
              <w:top w:val="nil"/>
              <w:left w:val="nil"/>
              <w:bottom w:val="nil"/>
              <w:right w:val="nil"/>
            </w:tcBorders>
          </w:tcPr>
          <w:p w14:paraId="57265F47" w14:textId="77777777" w:rsidR="001265E9" w:rsidRPr="00E44847" w:rsidRDefault="001265E9" w:rsidP="001265E9">
            <w:pPr>
              <w:suppressAutoHyphens/>
              <w:ind w:right="78"/>
              <w:jc w:val="right"/>
              <w:rPr>
                <w:rFonts w:cs="Arial"/>
                <w:spacing w:val="-2"/>
              </w:rPr>
            </w:pPr>
            <w:r w:rsidRPr="00E44847">
              <w:rPr>
                <w:rFonts w:cs="Arial"/>
                <w:spacing w:val="-2"/>
              </w:rPr>
              <w:t>───────</w:t>
            </w:r>
          </w:p>
        </w:tc>
        <w:tc>
          <w:tcPr>
            <w:tcW w:w="1276" w:type="dxa"/>
            <w:tcBorders>
              <w:top w:val="nil"/>
              <w:left w:val="nil"/>
              <w:bottom w:val="nil"/>
              <w:right w:val="nil"/>
            </w:tcBorders>
          </w:tcPr>
          <w:p w14:paraId="76221084" w14:textId="77777777" w:rsidR="001265E9" w:rsidRPr="00B40305" w:rsidRDefault="001265E9" w:rsidP="001265E9">
            <w:pPr>
              <w:suppressAutoHyphens/>
              <w:ind w:right="78"/>
              <w:jc w:val="right"/>
              <w:rPr>
                <w:rFonts w:cs="Arial"/>
                <w:spacing w:val="-2"/>
              </w:rPr>
            </w:pPr>
            <w:r w:rsidRPr="00B40305">
              <w:rPr>
                <w:rFonts w:cs="Arial"/>
                <w:spacing w:val="-2"/>
              </w:rPr>
              <w:t>───────</w:t>
            </w:r>
          </w:p>
        </w:tc>
        <w:tc>
          <w:tcPr>
            <w:tcW w:w="1276" w:type="dxa"/>
            <w:tcBorders>
              <w:top w:val="nil"/>
              <w:left w:val="nil"/>
              <w:bottom w:val="nil"/>
              <w:right w:val="nil"/>
            </w:tcBorders>
          </w:tcPr>
          <w:p w14:paraId="13E07D1C" w14:textId="77777777" w:rsidR="001265E9" w:rsidRPr="00DB462A" w:rsidRDefault="001265E9" w:rsidP="001265E9">
            <w:pPr>
              <w:suppressAutoHyphens/>
              <w:ind w:right="78"/>
              <w:rPr>
                <w:rFonts w:cs="Arial"/>
                <w:spacing w:val="-2"/>
              </w:rPr>
            </w:pPr>
            <w:r w:rsidRPr="00DB462A">
              <w:rPr>
                <w:rFonts w:cs="Arial"/>
                <w:spacing w:val="-2"/>
              </w:rPr>
              <w:t>───────</w:t>
            </w:r>
          </w:p>
        </w:tc>
        <w:tc>
          <w:tcPr>
            <w:tcW w:w="1275" w:type="dxa"/>
            <w:tcBorders>
              <w:top w:val="nil"/>
              <w:left w:val="nil"/>
              <w:bottom w:val="nil"/>
              <w:right w:val="nil"/>
            </w:tcBorders>
          </w:tcPr>
          <w:p w14:paraId="262C570B" w14:textId="77777777" w:rsidR="001265E9" w:rsidRPr="001265E9" w:rsidRDefault="001265E9" w:rsidP="001265E9">
            <w:pPr>
              <w:suppressAutoHyphens/>
              <w:ind w:right="78"/>
              <w:rPr>
                <w:rFonts w:cs="Arial"/>
                <w:spacing w:val="-2"/>
              </w:rPr>
            </w:pPr>
            <w:r w:rsidRPr="001265E9">
              <w:rPr>
                <w:rFonts w:cs="Arial"/>
                <w:spacing w:val="-2"/>
              </w:rPr>
              <w:t>───────</w:t>
            </w:r>
          </w:p>
        </w:tc>
      </w:tr>
      <w:tr w:rsidR="001265E9" w:rsidRPr="00C328EF" w14:paraId="6C9ED42D" w14:textId="77777777" w:rsidTr="00C44E52">
        <w:trPr>
          <w:trHeight w:val="255"/>
        </w:trPr>
        <w:tc>
          <w:tcPr>
            <w:tcW w:w="4005" w:type="dxa"/>
            <w:tcBorders>
              <w:top w:val="nil"/>
              <w:left w:val="nil"/>
              <w:bottom w:val="nil"/>
              <w:right w:val="nil"/>
            </w:tcBorders>
          </w:tcPr>
          <w:p w14:paraId="2F572EF7" w14:textId="77777777" w:rsidR="001265E9" w:rsidRPr="001265E9" w:rsidRDefault="001265E9" w:rsidP="001265E9">
            <w:pPr>
              <w:rPr>
                <w:rFonts w:cs="Arial"/>
                <w:b/>
                <w:bCs/>
                <w:lang w:eastAsia="en-GB"/>
              </w:rPr>
            </w:pPr>
            <w:r w:rsidRPr="001265E9">
              <w:rPr>
                <w:rFonts w:cs="Arial"/>
                <w:b/>
                <w:bCs/>
                <w:lang w:val="en-AU" w:eastAsia="en-GB"/>
              </w:rPr>
              <w:t>Total financial liabilities</w:t>
            </w:r>
          </w:p>
        </w:tc>
        <w:tc>
          <w:tcPr>
            <w:tcW w:w="708" w:type="dxa"/>
            <w:tcBorders>
              <w:top w:val="nil"/>
              <w:left w:val="nil"/>
              <w:bottom w:val="nil"/>
              <w:right w:val="nil"/>
            </w:tcBorders>
          </w:tcPr>
          <w:p w14:paraId="3EB18B8D" w14:textId="77777777" w:rsidR="001265E9" w:rsidRPr="00C328EF" w:rsidRDefault="001265E9" w:rsidP="001265E9">
            <w:pPr>
              <w:jc w:val="center"/>
              <w:rPr>
                <w:rFonts w:cs="Arial"/>
                <w:highlight w:val="yellow"/>
                <w:lang w:eastAsia="en-GB"/>
              </w:rPr>
            </w:pPr>
          </w:p>
        </w:tc>
        <w:tc>
          <w:tcPr>
            <w:tcW w:w="1276" w:type="dxa"/>
            <w:tcBorders>
              <w:top w:val="nil"/>
              <w:left w:val="nil"/>
              <w:bottom w:val="nil"/>
              <w:right w:val="nil"/>
            </w:tcBorders>
          </w:tcPr>
          <w:p w14:paraId="3C43878D" w14:textId="77777777" w:rsidR="001265E9" w:rsidRPr="00E44847" w:rsidRDefault="00E44847" w:rsidP="001265E9">
            <w:pPr>
              <w:suppressAutoHyphens/>
              <w:ind w:right="78"/>
              <w:jc w:val="right"/>
              <w:rPr>
                <w:rFonts w:cs="Arial"/>
                <w:spacing w:val="-2"/>
              </w:rPr>
            </w:pPr>
            <w:r w:rsidRPr="00E44847">
              <w:rPr>
                <w:rFonts w:cs="Arial"/>
                <w:spacing w:val="-2"/>
              </w:rPr>
              <w:t>76</w:t>
            </w:r>
            <w:r w:rsidR="001265E9" w:rsidRPr="00E44847">
              <w:rPr>
                <w:rFonts w:cs="Arial"/>
                <w:spacing w:val="-2"/>
              </w:rPr>
              <w:t>,</w:t>
            </w:r>
            <w:r w:rsidRPr="00E44847">
              <w:rPr>
                <w:rFonts w:cs="Arial"/>
                <w:spacing w:val="-2"/>
              </w:rPr>
              <w:t>308</w:t>
            </w:r>
          </w:p>
        </w:tc>
        <w:tc>
          <w:tcPr>
            <w:tcW w:w="1276" w:type="dxa"/>
            <w:tcBorders>
              <w:top w:val="nil"/>
              <w:left w:val="nil"/>
              <w:bottom w:val="nil"/>
              <w:right w:val="nil"/>
            </w:tcBorders>
          </w:tcPr>
          <w:p w14:paraId="05B3F236" w14:textId="77777777" w:rsidR="001265E9" w:rsidRPr="00B40305" w:rsidRDefault="001265E9" w:rsidP="001265E9">
            <w:pPr>
              <w:suppressAutoHyphens/>
              <w:ind w:right="78"/>
              <w:jc w:val="right"/>
              <w:rPr>
                <w:rFonts w:cs="Arial"/>
                <w:spacing w:val="-2"/>
              </w:rPr>
            </w:pPr>
            <w:r w:rsidRPr="00B40305">
              <w:rPr>
                <w:rFonts w:cs="Arial"/>
                <w:spacing w:val="-2"/>
              </w:rPr>
              <w:t>88,481</w:t>
            </w:r>
          </w:p>
        </w:tc>
        <w:tc>
          <w:tcPr>
            <w:tcW w:w="1276" w:type="dxa"/>
            <w:tcBorders>
              <w:top w:val="nil"/>
              <w:left w:val="nil"/>
              <w:bottom w:val="nil"/>
              <w:right w:val="nil"/>
            </w:tcBorders>
          </w:tcPr>
          <w:p w14:paraId="635FA7C1" w14:textId="77777777" w:rsidR="001265E9" w:rsidRPr="00DB462A" w:rsidRDefault="00DB462A" w:rsidP="001265E9">
            <w:pPr>
              <w:suppressAutoHyphens/>
              <w:ind w:right="78"/>
              <w:jc w:val="right"/>
              <w:rPr>
                <w:rFonts w:cs="Arial"/>
                <w:spacing w:val="-2"/>
              </w:rPr>
            </w:pPr>
            <w:r w:rsidRPr="00DB462A">
              <w:rPr>
                <w:rFonts w:cs="Arial"/>
                <w:spacing w:val="-2"/>
              </w:rPr>
              <w:t>27</w:t>
            </w:r>
          </w:p>
        </w:tc>
        <w:tc>
          <w:tcPr>
            <w:tcW w:w="1275" w:type="dxa"/>
            <w:tcBorders>
              <w:top w:val="nil"/>
              <w:left w:val="nil"/>
              <w:bottom w:val="nil"/>
              <w:right w:val="nil"/>
            </w:tcBorders>
          </w:tcPr>
          <w:p w14:paraId="67B38269" w14:textId="77777777" w:rsidR="001265E9" w:rsidRPr="001265E9" w:rsidRDefault="001265E9" w:rsidP="001265E9">
            <w:pPr>
              <w:suppressAutoHyphens/>
              <w:ind w:right="78"/>
              <w:jc w:val="right"/>
              <w:rPr>
                <w:rFonts w:cs="Arial"/>
                <w:spacing w:val="-2"/>
              </w:rPr>
            </w:pPr>
            <w:r w:rsidRPr="001265E9">
              <w:rPr>
                <w:rFonts w:cs="Arial"/>
                <w:spacing w:val="-2"/>
              </w:rPr>
              <w:t>19</w:t>
            </w:r>
          </w:p>
        </w:tc>
      </w:tr>
      <w:tr w:rsidR="001265E9" w:rsidRPr="00C328EF" w14:paraId="09A6C47B" w14:textId="77777777" w:rsidTr="00C44E52">
        <w:trPr>
          <w:trHeight w:val="255"/>
        </w:trPr>
        <w:tc>
          <w:tcPr>
            <w:tcW w:w="4005" w:type="dxa"/>
            <w:tcBorders>
              <w:top w:val="nil"/>
              <w:left w:val="nil"/>
              <w:bottom w:val="nil"/>
              <w:right w:val="nil"/>
            </w:tcBorders>
          </w:tcPr>
          <w:p w14:paraId="243EC0FA" w14:textId="77777777" w:rsidR="001265E9" w:rsidRPr="00C328EF" w:rsidRDefault="001265E9" w:rsidP="001265E9">
            <w:pPr>
              <w:rPr>
                <w:rFonts w:cs="Arial"/>
                <w:b/>
                <w:bCs/>
                <w:highlight w:val="yellow"/>
                <w:lang w:eastAsia="en-GB"/>
              </w:rPr>
            </w:pPr>
          </w:p>
        </w:tc>
        <w:tc>
          <w:tcPr>
            <w:tcW w:w="708" w:type="dxa"/>
            <w:tcBorders>
              <w:top w:val="nil"/>
              <w:left w:val="nil"/>
              <w:bottom w:val="nil"/>
              <w:right w:val="nil"/>
            </w:tcBorders>
          </w:tcPr>
          <w:p w14:paraId="167E0FC3" w14:textId="77777777" w:rsidR="001265E9" w:rsidRPr="00C328EF" w:rsidRDefault="001265E9" w:rsidP="001265E9">
            <w:pPr>
              <w:jc w:val="center"/>
              <w:rPr>
                <w:rFonts w:cs="Arial"/>
                <w:highlight w:val="yellow"/>
                <w:lang w:eastAsia="en-GB"/>
              </w:rPr>
            </w:pPr>
          </w:p>
        </w:tc>
        <w:tc>
          <w:tcPr>
            <w:tcW w:w="1276" w:type="dxa"/>
            <w:tcBorders>
              <w:top w:val="nil"/>
              <w:left w:val="nil"/>
              <w:bottom w:val="nil"/>
              <w:right w:val="nil"/>
            </w:tcBorders>
          </w:tcPr>
          <w:p w14:paraId="7D2F769D" w14:textId="77777777" w:rsidR="001265E9" w:rsidRPr="00E44847" w:rsidRDefault="001265E9" w:rsidP="001265E9">
            <w:pPr>
              <w:suppressAutoHyphens/>
              <w:ind w:right="78"/>
              <w:jc w:val="right"/>
              <w:rPr>
                <w:rFonts w:cs="Arial"/>
                <w:spacing w:val="-2"/>
              </w:rPr>
            </w:pPr>
            <w:r w:rsidRPr="00E44847">
              <w:rPr>
                <w:rFonts w:cs="Arial"/>
                <w:spacing w:val="-2"/>
              </w:rPr>
              <w:t>═══════</w:t>
            </w:r>
          </w:p>
        </w:tc>
        <w:tc>
          <w:tcPr>
            <w:tcW w:w="1276" w:type="dxa"/>
            <w:tcBorders>
              <w:top w:val="nil"/>
              <w:left w:val="nil"/>
              <w:bottom w:val="nil"/>
              <w:right w:val="nil"/>
            </w:tcBorders>
          </w:tcPr>
          <w:p w14:paraId="20E66FE1" w14:textId="77777777" w:rsidR="001265E9" w:rsidRPr="00B40305" w:rsidRDefault="001265E9" w:rsidP="001265E9">
            <w:pPr>
              <w:suppressAutoHyphens/>
              <w:ind w:right="78"/>
              <w:jc w:val="right"/>
              <w:rPr>
                <w:rFonts w:cs="Arial"/>
                <w:spacing w:val="-2"/>
              </w:rPr>
            </w:pPr>
            <w:r w:rsidRPr="00B40305">
              <w:rPr>
                <w:rFonts w:cs="Arial"/>
                <w:spacing w:val="-2"/>
              </w:rPr>
              <w:t>═══════</w:t>
            </w:r>
          </w:p>
        </w:tc>
        <w:tc>
          <w:tcPr>
            <w:tcW w:w="1276" w:type="dxa"/>
            <w:tcBorders>
              <w:top w:val="nil"/>
              <w:left w:val="nil"/>
              <w:bottom w:val="nil"/>
              <w:right w:val="nil"/>
            </w:tcBorders>
          </w:tcPr>
          <w:p w14:paraId="435ED48B" w14:textId="77777777" w:rsidR="001265E9" w:rsidRPr="00DB462A" w:rsidRDefault="001265E9" w:rsidP="001265E9">
            <w:pPr>
              <w:suppressAutoHyphens/>
              <w:ind w:right="78"/>
              <w:jc w:val="right"/>
              <w:rPr>
                <w:rFonts w:cs="Arial"/>
                <w:spacing w:val="-2"/>
              </w:rPr>
            </w:pPr>
            <w:r w:rsidRPr="00DB462A">
              <w:rPr>
                <w:rFonts w:cs="Arial"/>
                <w:spacing w:val="-2"/>
              </w:rPr>
              <w:t>═══════</w:t>
            </w:r>
          </w:p>
        </w:tc>
        <w:tc>
          <w:tcPr>
            <w:tcW w:w="1275" w:type="dxa"/>
            <w:tcBorders>
              <w:top w:val="nil"/>
              <w:left w:val="nil"/>
              <w:bottom w:val="nil"/>
              <w:right w:val="nil"/>
            </w:tcBorders>
          </w:tcPr>
          <w:p w14:paraId="280CAF1D" w14:textId="77777777" w:rsidR="001265E9" w:rsidRPr="001265E9" w:rsidRDefault="001265E9" w:rsidP="001265E9">
            <w:pPr>
              <w:suppressAutoHyphens/>
              <w:ind w:right="78"/>
              <w:jc w:val="right"/>
              <w:rPr>
                <w:rFonts w:cs="Arial"/>
                <w:spacing w:val="-2"/>
              </w:rPr>
            </w:pPr>
            <w:r w:rsidRPr="001265E9">
              <w:rPr>
                <w:rFonts w:cs="Arial"/>
                <w:spacing w:val="-2"/>
              </w:rPr>
              <w:t>═══════</w:t>
            </w:r>
          </w:p>
        </w:tc>
      </w:tr>
    </w:tbl>
    <w:p w14:paraId="5DCC4719" w14:textId="77777777" w:rsidR="00925919" w:rsidRPr="00C328EF" w:rsidRDefault="00925919" w:rsidP="00AC6293">
      <w:pPr>
        <w:ind w:left="78"/>
        <w:jc w:val="center"/>
        <w:rPr>
          <w:b/>
          <w:highlight w:val="yellow"/>
        </w:rPr>
      </w:pPr>
    </w:p>
    <w:p w14:paraId="00D06E91" w14:textId="77777777" w:rsidR="00925919" w:rsidRPr="00F0414A" w:rsidRDefault="00925919" w:rsidP="008334F6">
      <w:pPr>
        <w:jc w:val="both"/>
        <w:rPr>
          <w:rFonts w:cs="Arial"/>
        </w:rPr>
      </w:pPr>
      <w:r w:rsidRPr="00B40305">
        <w:rPr>
          <w:rFonts w:cs="Arial"/>
        </w:rPr>
        <w:t xml:space="preserve">Derivatives that are designated as effective hedging instruments are not shown in the above table. Information on the carrying value of such derivatives is </w:t>
      </w:r>
      <w:r w:rsidRPr="00F0414A">
        <w:rPr>
          <w:rFonts w:cs="Arial"/>
        </w:rPr>
        <w:t>provided in note 2</w:t>
      </w:r>
      <w:r w:rsidR="00F72DA3">
        <w:rPr>
          <w:rFonts w:cs="Arial"/>
        </w:rPr>
        <w:t>7</w:t>
      </w:r>
      <w:r w:rsidRPr="00F0414A">
        <w:rPr>
          <w:rFonts w:cs="Arial"/>
        </w:rPr>
        <w:t xml:space="preserve">. </w:t>
      </w:r>
    </w:p>
    <w:p w14:paraId="572E540A" w14:textId="77777777" w:rsidR="005265B7" w:rsidRPr="00C328EF" w:rsidRDefault="005265B7" w:rsidP="005265B7">
      <w:pPr>
        <w:ind w:right="267" w:firstLine="567"/>
        <w:jc w:val="both"/>
        <w:rPr>
          <w:rFonts w:cs="Arial"/>
          <w:b/>
          <w:highlight w:val="yellow"/>
        </w:rPr>
      </w:pPr>
    </w:p>
    <w:p w14:paraId="275AF9A6" w14:textId="77777777" w:rsidR="005265B7" w:rsidRPr="00B40305" w:rsidRDefault="005265B7" w:rsidP="00AF28E4">
      <w:pPr>
        <w:ind w:right="267"/>
        <w:jc w:val="both"/>
        <w:rPr>
          <w:rFonts w:cs="Arial"/>
          <w:b/>
        </w:rPr>
      </w:pPr>
      <w:r w:rsidRPr="00B40305">
        <w:rPr>
          <w:rFonts w:cs="Arial"/>
          <w:b/>
        </w:rPr>
        <w:t xml:space="preserve">Financial risk management </w:t>
      </w:r>
    </w:p>
    <w:p w14:paraId="68281777" w14:textId="77777777" w:rsidR="005265B7" w:rsidRPr="00B40305" w:rsidRDefault="005265B7" w:rsidP="00AF28E4">
      <w:pPr>
        <w:ind w:right="267"/>
        <w:jc w:val="both"/>
        <w:rPr>
          <w:rFonts w:cs="Arial"/>
        </w:rPr>
      </w:pPr>
    </w:p>
    <w:p w14:paraId="651918FA" w14:textId="77777777" w:rsidR="005265B7" w:rsidRPr="00B40305" w:rsidRDefault="005265B7" w:rsidP="00AF28E4">
      <w:pPr>
        <w:jc w:val="both"/>
        <w:rPr>
          <w:rFonts w:cs="Arial"/>
        </w:rPr>
      </w:pPr>
      <w:r w:rsidRPr="00B40305">
        <w:rPr>
          <w:rFonts w:cs="Arial"/>
        </w:rPr>
        <w:t xml:space="preserve">The Board of Directors has overall responsibility for the establishment and oversight of the Group’s risk management framework. There have been no changes to the </w:t>
      </w:r>
      <w:r w:rsidR="00FC637A" w:rsidRPr="00B40305">
        <w:rPr>
          <w:rFonts w:cs="Arial"/>
        </w:rPr>
        <w:t>G</w:t>
      </w:r>
      <w:r w:rsidRPr="00B40305">
        <w:rPr>
          <w:rFonts w:cs="Arial"/>
        </w:rPr>
        <w:t>roup’s exposures to risk or the methods used to measure and manage th</w:t>
      </w:r>
      <w:r w:rsidR="00EF5F7F" w:rsidRPr="00B40305">
        <w:rPr>
          <w:rFonts w:cs="Arial"/>
        </w:rPr>
        <w:t xml:space="preserve">ese risks during the </w:t>
      </w:r>
      <w:r w:rsidR="0011148E">
        <w:rPr>
          <w:rFonts w:cs="Arial"/>
        </w:rPr>
        <w:t>period</w:t>
      </w:r>
      <w:r w:rsidR="00EF5F7F" w:rsidRPr="00B40305">
        <w:rPr>
          <w:rFonts w:cs="Arial"/>
        </w:rPr>
        <w:t xml:space="preserve">. The </w:t>
      </w:r>
      <w:r w:rsidR="00FC637A" w:rsidRPr="00B40305">
        <w:rPr>
          <w:rFonts w:cs="Arial"/>
        </w:rPr>
        <w:t>G</w:t>
      </w:r>
      <w:r w:rsidRPr="00B40305">
        <w:rPr>
          <w:rFonts w:cs="Arial"/>
        </w:rPr>
        <w:t xml:space="preserve">roup’s overall risk management strategy seeks to assist the consolidated </w:t>
      </w:r>
      <w:r w:rsidR="00FC637A" w:rsidRPr="00B40305">
        <w:rPr>
          <w:rFonts w:cs="Arial"/>
        </w:rPr>
        <w:t>G</w:t>
      </w:r>
      <w:r w:rsidRPr="00B40305">
        <w:rPr>
          <w:rFonts w:cs="Arial"/>
        </w:rPr>
        <w:t>roup in meeting its financial targets, whilst minimising potential adverse effects on financial performance.</w:t>
      </w:r>
    </w:p>
    <w:p w14:paraId="0EE02C7A" w14:textId="77777777" w:rsidR="005265B7" w:rsidRPr="00B40305" w:rsidRDefault="005265B7" w:rsidP="00AF28E4">
      <w:pPr>
        <w:ind w:left="567"/>
        <w:jc w:val="both"/>
        <w:rPr>
          <w:rFonts w:cs="Arial"/>
        </w:rPr>
      </w:pPr>
    </w:p>
    <w:p w14:paraId="49170F40" w14:textId="77777777" w:rsidR="00923B50" w:rsidRPr="00B40305" w:rsidRDefault="00923B50" w:rsidP="00923B50">
      <w:pPr>
        <w:jc w:val="both"/>
        <w:rPr>
          <w:rFonts w:cs="Arial"/>
          <w:b/>
        </w:rPr>
      </w:pPr>
      <w:r w:rsidRPr="00B40305">
        <w:rPr>
          <w:rFonts w:cs="Arial"/>
          <w:b/>
        </w:rPr>
        <w:t>Capital management</w:t>
      </w:r>
    </w:p>
    <w:p w14:paraId="14B0D64E" w14:textId="77777777" w:rsidR="00923B50" w:rsidRPr="00B40305" w:rsidRDefault="00923B50" w:rsidP="00923B50">
      <w:pPr>
        <w:ind w:left="567"/>
        <w:jc w:val="both"/>
        <w:rPr>
          <w:rFonts w:cs="Arial"/>
        </w:rPr>
      </w:pPr>
    </w:p>
    <w:p w14:paraId="5F1A2FD2" w14:textId="77777777" w:rsidR="00923B50" w:rsidRPr="00B40305" w:rsidRDefault="00923B50" w:rsidP="00923B50">
      <w:pPr>
        <w:jc w:val="both"/>
        <w:rPr>
          <w:rFonts w:cs="Arial"/>
        </w:rPr>
      </w:pPr>
      <w:r w:rsidRPr="00B40305">
        <w:rPr>
          <w:rFonts w:cs="Arial"/>
        </w:rPr>
        <w:t xml:space="preserve">The </w:t>
      </w:r>
      <w:r w:rsidR="00FC637A" w:rsidRPr="00B40305">
        <w:rPr>
          <w:rFonts w:cs="Arial"/>
        </w:rPr>
        <w:t>G</w:t>
      </w:r>
      <w:r w:rsidRPr="00B40305">
        <w:rPr>
          <w:rFonts w:cs="Arial"/>
        </w:rPr>
        <w:t xml:space="preserve">roup aims to manage its overall capital structure to ensure it continues to operate as a going concern. The </w:t>
      </w:r>
      <w:r w:rsidR="00FC637A" w:rsidRPr="00B40305">
        <w:rPr>
          <w:rFonts w:cs="Arial"/>
        </w:rPr>
        <w:t>G</w:t>
      </w:r>
      <w:r w:rsidRPr="00B40305">
        <w:rPr>
          <w:rFonts w:cs="Arial"/>
        </w:rPr>
        <w:t xml:space="preserve">roup’s capital structure represents the equity attributable to the shareholders of the </w:t>
      </w:r>
      <w:r w:rsidR="00FC637A" w:rsidRPr="00B40305">
        <w:rPr>
          <w:rFonts w:cs="Arial"/>
        </w:rPr>
        <w:t>G</w:t>
      </w:r>
      <w:r w:rsidRPr="00B40305">
        <w:rPr>
          <w:rFonts w:cs="Arial"/>
        </w:rPr>
        <w:t>roup together with cash equivalents.</w:t>
      </w:r>
    </w:p>
    <w:p w14:paraId="0AA9820E" w14:textId="77777777" w:rsidR="00AC6293" w:rsidRPr="00631312" w:rsidRDefault="008976A3" w:rsidP="00AC6293">
      <w:pPr>
        <w:ind w:left="78"/>
        <w:jc w:val="center"/>
        <w:rPr>
          <w:b/>
        </w:rPr>
      </w:pPr>
      <w:r w:rsidRPr="00B40305">
        <w:rPr>
          <w:b/>
        </w:rPr>
        <w:br w:type="page"/>
      </w:r>
      <w:r w:rsidR="00AC6293" w:rsidRPr="00631312">
        <w:rPr>
          <w:b/>
        </w:rPr>
        <w:lastRenderedPageBreak/>
        <w:t>TRANSPORT FOR EDINBURGH LIMITED</w:t>
      </w:r>
    </w:p>
    <w:p w14:paraId="23EF02BE" w14:textId="77777777" w:rsidR="00AC6293" w:rsidRPr="00631312" w:rsidRDefault="00AC6293" w:rsidP="00AC6293">
      <w:pPr>
        <w:jc w:val="center"/>
        <w:rPr>
          <w:b/>
        </w:rPr>
      </w:pPr>
    </w:p>
    <w:p w14:paraId="2348FA95" w14:textId="77777777" w:rsidR="00AC6293" w:rsidRPr="00631312" w:rsidRDefault="00AC6293" w:rsidP="00AC6293">
      <w:pPr>
        <w:jc w:val="center"/>
        <w:rPr>
          <w:b/>
        </w:rPr>
      </w:pPr>
      <w:r w:rsidRPr="00631312">
        <w:rPr>
          <w:b/>
        </w:rPr>
        <w:t>Notes to the Financial Statements (continued)</w:t>
      </w:r>
    </w:p>
    <w:p w14:paraId="41C1EB83" w14:textId="77777777" w:rsidR="00AC6293" w:rsidRPr="00631312" w:rsidRDefault="00AC6293" w:rsidP="00AC6293">
      <w:pPr>
        <w:jc w:val="center"/>
        <w:rPr>
          <w:b/>
        </w:rPr>
      </w:pPr>
    </w:p>
    <w:p w14:paraId="4774E212" w14:textId="77777777" w:rsidR="00AC6293" w:rsidRPr="00AE607B" w:rsidRDefault="00D90B89" w:rsidP="00AC6293">
      <w:pPr>
        <w:jc w:val="center"/>
      </w:pPr>
      <w:r w:rsidRPr="00AE607B">
        <w:rPr>
          <w:b/>
        </w:rPr>
        <w:t>For the period ended 28 December 2024</w:t>
      </w:r>
    </w:p>
    <w:p w14:paraId="6A11B270" w14:textId="77777777" w:rsidR="00D6498C" w:rsidRPr="00AE607B" w:rsidRDefault="00D6498C" w:rsidP="007B17B6">
      <w:pPr>
        <w:ind w:right="-123"/>
        <w:jc w:val="both"/>
        <w:rPr>
          <w:rFonts w:cs="Arial"/>
        </w:rPr>
      </w:pPr>
    </w:p>
    <w:p w14:paraId="43F77417" w14:textId="77777777" w:rsidR="00D851AF" w:rsidRPr="00AE607B" w:rsidRDefault="00C159C0" w:rsidP="00C520F4">
      <w:pPr>
        <w:rPr>
          <w:b/>
        </w:rPr>
      </w:pPr>
      <w:r w:rsidRPr="00AE607B">
        <w:rPr>
          <w:b/>
        </w:rPr>
        <w:t>2</w:t>
      </w:r>
      <w:r w:rsidR="00F72DA3">
        <w:rPr>
          <w:b/>
        </w:rPr>
        <w:t>6</w:t>
      </w:r>
      <w:r w:rsidR="00C520F4" w:rsidRPr="00AE607B">
        <w:rPr>
          <w:b/>
        </w:rPr>
        <w:t>.</w:t>
      </w:r>
      <w:r w:rsidR="00C520F4" w:rsidRPr="00AE607B">
        <w:rPr>
          <w:b/>
        </w:rPr>
        <w:tab/>
      </w:r>
      <w:r w:rsidR="00D851AF" w:rsidRPr="00AE607B">
        <w:rPr>
          <w:b/>
        </w:rPr>
        <w:t xml:space="preserve">Financial </w:t>
      </w:r>
      <w:r w:rsidR="00D0070A" w:rsidRPr="00AE607B">
        <w:rPr>
          <w:b/>
        </w:rPr>
        <w:t>r</w:t>
      </w:r>
      <w:r w:rsidR="00D851AF" w:rsidRPr="00AE607B">
        <w:rPr>
          <w:b/>
        </w:rPr>
        <w:t xml:space="preserve">isk </w:t>
      </w:r>
      <w:r w:rsidR="00D0070A" w:rsidRPr="00AE607B">
        <w:rPr>
          <w:b/>
        </w:rPr>
        <w:t>m</w:t>
      </w:r>
      <w:r w:rsidR="00D851AF" w:rsidRPr="00AE607B">
        <w:rPr>
          <w:b/>
        </w:rPr>
        <w:t>anagement (continued)</w:t>
      </w:r>
    </w:p>
    <w:p w14:paraId="072D646F" w14:textId="77777777" w:rsidR="00F86F38" w:rsidRPr="00AE607B" w:rsidRDefault="007807B5" w:rsidP="00C61A58">
      <w:pPr>
        <w:ind w:right="267"/>
        <w:jc w:val="both"/>
        <w:rPr>
          <w:rFonts w:cs="Arial"/>
          <w:b/>
        </w:rPr>
      </w:pPr>
      <w:r w:rsidRPr="00AE607B">
        <w:rPr>
          <w:rFonts w:cs="Arial"/>
          <w:b/>
        </w:rPr>
        <w:tab/>
      </w:r>
    </w:p>
    <w:p w14:paraId="7372B423" w14:textId="77777777" w:rsidR="00ED2A1E" w:rsidRPr="001265E9" w:rsidRDefault="00ED2A1E" w:rsidP="00752DA8">
      <w:pPr>
        <w:ind w:firstLine="567"/>
        <w:rPr>
          <w:rFonts w:cs="Arial"/>
          <w:b/>
        </w:rPr>
      </w:pPr>
      <w:r w:rsidRPr="00AE607B">
        <w:rPr>
          <w:rFonts w:cs="Arial"/>
          <w:b/>
        </w:rPr>
        <w:t xml:space="preserve">Financial </w:t>
      </w:r>
      <w:r w:rsidR="00D0070A" w:rsidRPr="00AE607B">
        <w:rPr>
          <w:rFonts w:cs="Arial"/>
          <w:b/>
        </w:rPr>
        <w:t>r</w:t>
      </w:r>
      <w:r w:rsidRPr="00AE607B">
        <w:rPr>
          <w:rFonts w:cs="Arial"/>
          <w:b/>
        </w:rPr>
        <w:t xml:space="preserve">isk </w:t>
      </w:r>
      <w:r w:rsidR="00D0070A" w:rsidRPr="00AE607B">
        <w:rPr>
          <w:rFonts w:cs="Arial"/>
          <w:b/>
        </w:rPr>
        <w:t>e</w:t>
      </w:r>
      <w:r w:rsidRPr="00AE607B">
        <w:rPr>
          <w:rFonts w:cs="Arial"/>
          <w:b/>
        </w:rPr>
        <w:t>xposures</w:t>
      </w:r>
      <w:r w:rsidRPr="001265E9">
        <w:rPr>
          <w:rFonts w:cs="Arial"/>
          <w:b/>
        </w:rPr>
        <w:t xml:space="preserve"> and </w:t>
      </w:r>
      <w:r w:rsidR="00D0070A" w:rsidRPr="001265E9">
        <w:rPr>
          <w:rFonts w:cs="Arial"/>
          <w:b/>
        </w:rPr>
        <w:t>m</w:t>
      </w:r>
      <w:r w:rsidRPr="001265E9">
        <w:rPr>
          <w:rFonts w:cs="Arial"/>
          <w:b/>
        </w:rPr>
        <w:t>anagement</w:t>
      </w:r>
    </w:p>
    <w:p w14:paraId="12759D4D" w14:textId="77777777" w:rsidR="00ED2A1E" w:rsidRPr="001265E9" w:rsidRDefault="00ED2A1E" w:rsidP="00752DA8">
      <w:pPr>
        <w:ind w:left="360"/>
        <w:rPr>
          <w:rFonts w:cs="Arial"/>
          <w:b/>
        </w:rPr>
      </w:pPr>
    </w:p>
    <w:p w14:paraId="45204CBE" w14:textId="77777777" w:rsidR="007872EF" w:rsidRPr="001265E9" w:rsidRDefault="00ED2A1E" w:rsidP="00752DA8">
      <w:pPr>
        <w:ind w:left="567" w:hanging="567"/>
        <w:jc w:val="both"/>
        <w:rPr>
          <w:rFonts w:cs="Arial"/>
          <w:b/>
          <w:iCs/>
        </w:rPr>
      </w:pPr>
      <w:r w:rsidRPr="001265E9">
        <w:rPr>
          <w:rFonts w:cs="Arial"/>
          <w:lang w:eastAsia="en-GB"/>
        </w:rPr>
        <w:tab/>
      </w:r>
      <w:r w:rsidR="00C61A58" w:rsidRPr="001265E9">
        <w:t xml:space="preserve">The main risks </w:t>
      </w:r>
      <w:r w:rsidR="00452A9D" w:rsidRPr="001265E9">
        <w:t xml:space="preserve">that </w:t>
      </w:r>
      <w:r w:rsidR="00C61A58" w:rsidRPr="001265E9">
        <w:t xml:space="preserve">the </w:t>
      </w:r>
      <w:r w:rsidR="00FC637A" w:rsidRPr="001265E9">
        <w:t>G</w:t>
      </w:r>
      <w:r w:rsidR="00AE08B2" w:rsidRPr="001265E9">
        <w:t>roup</w:t>
      </w:r>
      <w:r w:rsidR="00C61A58" w:rsidRPr="001265E9">
        <w:t xml:space="preserve"> is exposed to through its financial instruments are credit risk, liquidity risk and market risk consisting of interest rate risk.</w:t>
      </w:r>
      <w:r w:rsidR="005F3CF6" w:rsidRPr="001265E9">
        <w:rPr>
          <w:rFonts w:cs="Arial"/>
          <w:lang w:eastAsia="en-GB"/>
        </w:rPr>
        <w:t xml:space="preserve"> </w:t>
      </w:r>
      <w:r w:rsidRPr="001265E9">
        <w:rPr>
          <w:rFonts w:cs="Arial"/>
          <w:lang w:eastAsia="en-GB"/>
        </w:rPr>
        <w:t>These are managed as follows</w:t>
      </w:r>
      <w:r w:rsidR="00303CB0" w:rsidRPr="001265E9">
        <w:rPr>
          <w:rFonts w:cs="Arial"/>
          <w:lang w:eastAsia="en-GB"/>
        </w:rPr>
        <w:t>:</w:t>
      </w:r>
    </w:p>
    <w:p w14:paraId="032CF097" w14:textId="77777777" w:rsidR="007872EF" w:rsidRPr="001265E9" w:rsidRDefault="007872EF" w:rsidP="00752DA8">
      <w:pPr>
        <w:rPr>
          <w:rFonts w:cs="Arial"/>
          <w:b/>
          <w:iCs/>
        </w:rPr>
      </w:pPr>
    </w:p>
    <w:p w14:paraId="6E1682FB" w14:textId="77777777" w:rsidR="00DF6FD6" w:rsidRPr="001265E9" w:rsidRDefault="00ED2A1E" w:rsidP="00752DA8">
      <w:pPr>
        <w:rPr>
          <w:rFonts w:cs="Arial"/>
          <w:b/>
          <w:iCs/>
        </w:rPr>
      </w:pPr>
      <w:r w:rsidRPr="001265E9">
        <w:rPr>
          <w:rFonts w:cs="Arial"/>
          <w:b/>
          <w:iCs/>
        </w:rPr>
        <w:tab/>
      </w:r>
      <w:r w:rsidR="00DF6FD6" w:rsidRPr="001265E9">
        <w:rPr>
          <w:rFonts w:cs="Arial"/>
          <w:b/>
          <w:iCs/>
        </w:rPr>
        <w:t>a.</w:t>
      </w:r>
      <w:r w:rsidR="00DF6FD6" w:rsidRPr="001265E9">
        <w:rPr>
          <w:rFonts w:cs="Arial"/>
          <w:b/>
          <w:iCs/>
        </w:rPr>
        <w:tab/>
        <w:t>Credit risk</w:t>
      </w:r>
    </w:p>
    <w:p w14:paraId="70ABC4E1" w14:textId="77777777" w:rsidR="00DF6FD6" w:rsidRPr="001265E9" w:rsidRDefault="00DF6FD6" w:rsidP="00752DA8">
      <w:pPr>
        <w:rPr>
          <w:rFonts w:cs="Arial"/>
          <w:b/>
          <w:i/>
          <w:iCs/>
        </w:rPr>
      </w:pPr>
    </w:p>
    <w:p w14:paraId="08ACD9A9" w14:textId="77777777" w:rsidR="00DF6FD6" w:rsidRPr="001265E9" w:rsidRDefault="00DF6FD6" w:rsidP="00752DA8">
      <w:pPr>
        <w:ind w:left="1134" w:firstLine="6"/>
        <w:jc w:val="both"/>
        <w:rPr>
          <w:rFonts w:cs="Arial"/>
          <w:lang w:eastAsia="en-GB"/>
        </w:rPr>
      </w:pPr>
      <w:r w:rsidRPr="001265E9">
        <w:t>Exposure to credit risk relating to financial assets arises from the potential non-performance by counterparties of contract obligations that could l</w:t>
      </w:r>
      <w:r w:rsidR="006E3724" w:rsidRPr="001265E9">
        <w:t xml:space="preserve">ead to a financial loss to the </w:t>
      </w:r>
      <w:r w:rsidR="00FC637A" w:rsidRPr="001265E9">
        <w:t>G</w:t>
      </w:r>
      <w:r w:rsidR="00AE08B2" w:rsidRPr="001265E9">
        <w:t>roup</w:t>
      </w:r>
      <w:r w:rsidRPr="001265E9">
        <w:t>.</w:t>
      </w:r>
    </w:p>
    <w:p w14:paraId="6A26EDDA" w14:textId="77777777" w:rsidR="00DF6FD6" w:rsidRPr="001265E9" w:rsidRDefault="00DF6FD6" w:rsidP="00752DA8">
      <w:pPr>
        <w:ind w:left="567" w:hanging="567"/>
        <w:jc w:val="both"/>
        <w:rPr>
          <w:rFonts w:cs="Arial"/>
          <w:lang w:eastAsia="en-GB"/>
        </w:rPr>
      </w:pPr>
    </w:p>
    <w:p w14:paraId="727FACA5" w14:textId="77777777" w:rsidR="007872EF" w:rsidRPr="001265E9" w:rsidRDefault="000D0ABF" w:rsidP="00151B9D">
      <w:pPr>
        <w:ind w:left="1134"/>
        <w:jc w:val="both"/>
        <w:rPr>
          <w:rFonts w:cs="Arial"/>
          <w:b/>
          <w:i/>
          <w:iCs/>
        </w:rPr>
      </w:pPr>
      <w:r w:rsidRPr="001265E9">
        <w:rPr>
          <w:rFonts w:cs="Arial"/>
          <w:lang w:eastAsia="en-GB"/>
        </w:rPr>
        <w:t>The maximum exposure to credit risk, excluding the value of any collateral or other security, at balance sheet date to recognised financial assets, is the carrying amount, net of any provisions for impairment of those assets, as disclosed in the Consolidated Statement of Financial Position and notes to the financial statements.</w:t>
      </w:r>
      <w:r w:rsidR="005F3CF6" w:rsidRPr="001265E9">
        <w:rPr>
          <w:rFonts w:cs="Arial"/>
          <w:b/>
          <w:i/>
          <w:iCs/>
        </w:rPr>
        <w:t xml:space="preserve"> </w:t>
      </w:r>
      <w:r w:rsidR="007872EF" w:rsidRPr="001265E9">
        <w:rPr>
          <w:rFonts w:cs="Arial"/>
          <w:lang w:eastAsia="en-GB"/>
        </w:rPr>
        <w:t xml:space="preserve">Credit risk is managed on a </w:t>
      </w:r>
      <w:r w:rsidR="00FC637A" w:rsidRPr="001265E9">
        <w:rPr>
          <w:rFonts w:cs="Arial"/>
          <w:lang w:eastAsia="en-GB"/>
        </w:rPr>
        <w:t>G</w:t>
      </w:r>
      <w:r w:rsidR="00AE08B2" w:rsidRPr="001265E9">
        <w:rPr>
          <w:rFonts w:cs="Arial"/>
          <w:lang w:eastAsia="en-GB"/>
        </w:rPr>
        <w:t>roup</w:t>
      </w:r>
      <w:r w:rsidR="007872EF" w:rsidRPr="001265E9">
        <w:rPr>
          <w:rFonts w:cs="Arial"/>
          <w:lang w:eastAsia="en-GB"/>
        </w:rPr>
        <w:t xml:space="preserve"> basis and reviewed regularly by </w:t>
      </w:r>
      <w:r w:rsidR="00A47DF5" w:rsidRPr="001265E9">
        <w:rPr>
          <w:rFonts w:cs="Arial"/>
          <w:lang w:eastAsia="en-GB"/>
        </w:rPr>
        <w:t>senior management</w:t>
      </w:r>
      <w:r w:rsidR="007872EF" w:rsidRPr="001265E9">
        <w:rPr>
          <w:rFonts w:cs="Arial"/>
          <w:lang w:eastAsia="en-GB"/>
        </w:rPr>
        <w:t>.</w:t>
      </w:r>
      <w:r w:rsidR="00132A27" w:rsidRPr="001265E9">
        <w:rPr>
          <w:rFonts w:cs="Arial"/>
          <w:lang w:eastAsia="en-GB"/>
        </w:rPr>
        <w:t xml:space="preserve"> </w:t>
      </w:r>
      <w:r w:rsidR="007872EF" w:rsidRPr="001265E9">
        <w:rPr>
          <w:rFonts w:cs="Arial"/>
          <w:lang w:eastAsia="en-GB"/>
        </w:rPr>
        <w:t xml:space="preserve">It arises from exposures to customers and amounts owed by </w:t>
      </w:r>
      <w:r w:rsidR="00FC637A" w:rsidRPr="001265E9">
        <w:rPr>
          <w:rFonts w:cs="Arial"/>
          <w:lang w:eastAsia="en-GB"/>
        </w:rPr>
        <w:t>G</w:t>
      </w:r>
      <w:r w:rsidR="00AE08B2" w:rsidRPr="001265E9">
        <w:rPr>
          <w:rFonts w:cs="Arial"/>
          <w:lang w:eastAsia="en-GB"/>
        </w:rPr>
        <w:t>roup</w:t>
      </w:r>
      <w:r w:rsidR="007872EF" w:rsidRPr="001265E9">
        <w:rPr>
          <w:rFonts w:cs="Arial"/>
          <w:lang w:eastAsia="en-GB"/>
        </w:rPr>
        <w:t xml:space="preserve"> undertakings.</w:t>
      </w:r>
    </w:p>
    <w:p w14:paraId="270F17BA" w14:textId="77777777" w:rsidR="007872EF" w:rsidRPr="001265E9" w:rsidRDefault="007872EF" w:rsidP="00752DA8">
      <w:pPr>
        <w:ind w:left="1134"/>
        <w:jc w:val="both"/>
        <w:rPr>
          <w:rFonts w:cs="Arial"/>
          <w:lang w:eastAsia="en-GB"/>
        </w:rPr>
      </w:pPr>
    </w:p>
    <w:p w14:paraId="090DEFB3" w14:textId="77777777" w:rsidR="003B1A17" w:rsidRPr="001265E9" w:rsidRDefault="00A47DF5" w:rsidP="00752DA8">
      <w:pPr>
        <w:ind w:left="1134"/>
        <w:jc w:val="both"/>
        <w:rPr>
          <w:rFonts w:cs="Arial"/>
          <w:lang w:eastAsia="en-GB"/>
        </w:rPr>
      </w:pPr>
      <w:r w:rsidRPr="001265E9">
        <w:rPr>
          <w:rFonts w:cs="Arial"/>
          <w:lang w:eastAsia="en-GB"/>
        </w:rPr>
        <w:t>Senior management</w:t>
      </w:r>
      <w:r w:rsidR="003B1A17" w:rsidRPr="001265E9">
        <w:rPr>
          <w:rFonts w:cs="Arial"/>
          <w:lang w:eastAsia="en-GB"/>
        </w:rPr>
        <w:t xml:space="preserve"> monitors credit risk by actively assessing the rating quality and liquidity of counter parties:</w:t>
      </w:r>
    </w:p>
    <w:p w14:paraId="76B1512F" w14:textId="77777777" w:rsidR="003B1A17" w:rsidRPr="001265E9" w:rsidRDefault="003B1A17" w:rsidP="00752DA8">
      <w:pPr>
        <w:ind w:left="1134"/>
        <w:jc w:val="both"/>
        <w:rPr>
          <w:rFonts w:cs="Arial"/>
          <w:lang w:eastAsia="en-GB"/>
        </w:rPr>
      </w:pPr>
    </w:p>
    <w:p w14:paraId="0B8469E5" w14:textId="77777777" w:rsidR="003B1A17" w:rsidRPr="001265E9" w:rsidRDefault="003B1A17" w:rsidP="00A5227C">
      <w:pPr>
        <w:numPr>
          <w:ilvl w:val="0"/>
          <w:numId w:val="12"/>
        </w:numPr>
        <w:jc w:val="both"/>
        <w:rPr>
          <w:rFonts w:cs="Arial"/>
        </w:rPr>
      </w:pPr>
      <w:r w:rsidRPr="001265E9">
        <w:rPr>
          <w:rFonts w:cs="Arial"/>
        </w:rPr>
        <w:t>only banks and institutions with an acceptable credit rating are utilised;</w:t>
      </w:r>
    </w:p>
    <w:p w14:paraId="71DF265E" w14:textId="77777777" w:rsidR="003B1A17" w:rsidRPr="001265E9" w:rsidRDefault="003B1A17" w:rsidP="00A5227C">
      <w:pPr>
        <w:numPr>
          <w:ilvl w:val="0"/>
          <w:numId w:val="12"/>
        </w:numPr>
        <w:jc w:val="both"/>
        <w:rPr>
          <w:rFonts w:cs="Arial"/>
        </w:rPr>
      </w:pPr>
      <w:r w:rsidRPr="001265E9">
        <w:rPr>
          <w:rFonts w:cs="Arial"/>
        </w:rPr>
        <w:t>all potential customers are rated for credit worthiness taking into account their size, market position and financial standing;</w:t>
      </w:r>
    </w:p>
    <w:p w14:paraId="18CFDC7C" w14:textId="77777777" w:rsidR="003B1A17" w:rsidRPr="001265E9" w:rsidRDefault="003B1A17" w:rsidP="00A5227C">
      <w:pPr>
        <w:numPr>
          <w:ilvl w:val="0"/>
          <w:numId w:val="12"/>
        </w:numPr>
        <w:jc w:val="both"/>
        <w:rPr>
          <w:rFonts w:cs="Arial"/>
        </w:rPr>
      </w:pPr>
      <w:r w:rsidRPr="001265E9">
        <w:rPr>
          <w:rFonts w:cs="Arial"/>
        </w:rPr>
        <w:t xml:space="preserve">customers that do not meet the </w:t>
      </w:r>
      <w:r w:rsidR="00FC637A" w:rsidRPr="001265E9">
        <w:rPr>
          <w:rFonts w:cs="Arial"/>
        </w:rPr>
        <w:t>G</w:t>
      </w:r>
      <w:r w:rsidR="00AE08B2" w:rsidRPr="001265E9">
        <w:rPr>
          <w:rFonts w:cs="Arial"/>
        </w:rPr>
        <w:t>roup</w:t>
      </w:r>
      <w:r w:rsidRPr="001265E9">
        <w:rPr>
          <w:rFonts w:cs="Arial"/>
        </w:rPr>
        <w:t>'s strict credit policies may only purchase in cash or using recognised credit cards.</w:t>
      </w:r>
    </w:p>
    <w:p w14:paraId="794A5018" w14:textId="77777777" w:rsidR="003B1A17" w:rsidRPr="001265E9" w:rsidRDefault="003B1A17" w:rsidP="00752DA8">
      <w:pPr>
        <w:ind w:left="927"/>
        <w:jc w:val="both"/>
        <w:rPr>
          <w:rFonts w:cs="Arial"/>
          <w:lang w:eastAsia="en-GB"/>
        </w:rPr>
      </w:pPr>
    </w:p>
    <w:p w14:paraId="32EF9AC3" w14:textId="77777777" w:rsidR="003B1A17" w:rsidRPr="001265E9" w:rsidRDefault="003B1A17" w:rsidP="00752DA8">
      <w:pPr>
        <w:ind w:left="1134"/>
        <w:jc w:val="both"/>
        <w:rPr>
          <w:rFonts w:cs="Arial"/>
        </w:rPr>
      </w:pPr>
      <w:r w:rsidRPr="001265E9">
        <w:rPr>
          <w:rFonts w:cs="Arial"/>
        </w:rPr>
        <w:t>The credit risk for all counter parties included in trade and other</w:t>
      </w:r>
      <w:r w:rsidR="00D5347C" w:rsidRPr="001265E9">
        <w:rPr>
          <w:rFonts w:cs="Arial"/>
        </w:rPr>
        <w:t xml:space="preserve"> receivables at </w:t>
      </w:r>
      <w:r w:rsidR="00366ADE">
        <w:rPr>
          <w:rFonts w:cs="Arial"/>
        </w:rPr>
        <w:t>28</w:t>
      </w:r>
      <w:r w:rsidR="00D5347C" w:rsidRPr="001265E9">
        <w:rPr>
          <w:rFonts w:cs="Arial"/>
        </w:rPr>
        <w:t xml:space="preserve"> December 20</w:t>
      </w:r>
      <w:r w:rsidR="00855D9F" w:rsidRPr="001265E9">
        <w:rPr>
          <w:rFonts w:cs="Arial"/>
        </w:rPr>
        <w:t>2</w:t>
      </w:r>
      <w:r w:rsidR="001265E9">
        <w:rPr>
          <w:rFonts w:cs="Arial"/>
        </w:rPr>
        <w:t>4</w:t>
      </w:r>
      <w:r w:rsidRPr="001265E9">
        <w:rPr>
          <w:rFonts w:cs="Arial"/>
        </w:rPr>
        <w:t xml:space="preserve"> is not rated.</w:t>
      </w:r>
    </w:p>
    <w:p w14:paraId="2D10F000" w14:textId="77777777" w:rsidR="003B1A17" w:rsidRPr="001265E9" w:rsidRDefault="003B1A17" w:rsidP="00752DA8">
      <w:pPr>
        <w:jc w:val="both"/>
        <w:rPr>
          <w:rFonts w:cs="Arial"/>
          <w:lang w:eastAsia="en-GB"/>
        </w:rPr>
      </w:pPr>
    </w:p>
    <w:p w14:paraId="7DD3FC93" w14:textId="77777777" w:rsidR="003B1A17" w:rsidRPr="001265E9" w:rsidRDefault="003B1A17" w:rsidP="00752DA8">
      <w:pPr>
        <w:ind w:left="567" w:hanging="567"/>
        <w:rPr>
          <w:rFonts w:cs="Arial"/>
          <w:b/>
          <w:iCs/>
        </w:rPr>
      </w:pPr>
      <w:r w:rsidRPr="001265E9">
        <w:rPr>
          <w:rFonts w:cs="Arial"/>
          <w:b/>
          <w:iCs/>
        </w:rPr>
        <w:tab/>
        <w:t>b.</w:t>
      </w:r>
      <w:r w:rsidRPr="001265E9">
        <w:rPr>
          <w:rFonts w:cs="Arial"/>
          <w:b/>
          <w:iCs/>
        </w:rPr>
        <w:tab/>
        <w:t xml:space="preserve">Liquidity </w:t>
      </w:r>
      <w:r w:rsidR="00D0070A" w:rsidRPr="001265E9">
        <w:rPr>
          <w:rFonts w:cs="Arial"/>
          <w:b/>
          <w:iCs/>
        </w:rPr>
        <w:t>r</w:t>
      </w:r>
      <w:r w:rsidRPr="001265E9">
        <w:rPr>
          <w:rFonts w:cs="Arial"/>
          <w:b/>
          <w:iCs/>
        </w:rPr>
        <w:t>isk</w:t>
      </w:r>
    </w:p>
    <w:p w14:paraId="488D85AB" w14:textId="77777777" w:rsidR="003B1A17" w:rsidRPr="001265E9" w:rsidRDefault="003B1A17" w:rsidP="00752DA8">
      <w:pPr>
        <w:ind w:left="567" w:hanging="567"/>
        <w:jc w:val="both"/>
        <w:rPr>
          <w:rFonts w:cs="Arial"/>
          <w:b/>
          <w:iCs/>
        </w:rPr>
      </w:pPr>
    </w:p>
    <w:p w14:paraId="784DCB1B" w14:textId="77777777" w:rsidR="003B1A17" w:rsidRPr="001265E9" w:rsidRDefault="000D0ABF" w:rsidP="005265B7">
      <w:pPr>
        <w:ind w:left="1134" w:firstLine="6"/>
        <w:jc w:val="both"/>
      </w:pPr>
      <w:r w:rsidRPr="001265E9">
        <w:t xml:space="preserve">Liquidity risk arises from the possibility that the </w:t>
      </w:r>
      <w:r w:rsidR="00FC637A" w:rsidRPr="001265E9">
        <w:t>G</w:t>
      </w:r>
      <w:r w:rsidRPr="001265E9">
        <w:t xml:space="preserve">roup might encounter difficulty in settling its debts or otherwise meeting its obligations related to financial liabilities. </w:t>
      </w:r>
      <w:r w:rsidR="003B1A17" w:rsidRPr="001265E9">
        <w:t xml:space="preserve">The </w:t>
      </w:r>
      <w:r w:rsidR="00FC637A" w:rsidRPr="001265E9">
        <w:t>G</w:t>
      </w:r>
      <w:r w:rsidR="00AE08B2" w:rsidRPr="001265E9">
        <w:t>roup</w:t>
      </w:r>
      <w:r w:rsidR="003B1A17" w:rsidRPr="001265E9">
        <w:t xml:space="preserve"> manages this risk through the following mechanisms:</w:t>
      </w:r>
    </w:p>
    <w:p w14:paraId="5B75D0C7" w14:textId="77777777" w:rsidR="00F61D83" w:rsidRPr="001265E9" w:rsidRDefault="00F61D83" w:rsidP="005265B7">
      <w:pPr>
        <w:ind w:left="1134" w:firstLine="6"/>
        <w:jc w:val="both"/>
        <w:rPr>
          <w:rFonts w:cs="Arial"/>
          <w:b/>
          <w:iCs/>
        </w:rPr>
      </w:pPr>
    </w:p>
    <w:p w14:paraId="51D759CE" w14:textId="77777777" w:rsidR="003B1A17" w:rsidRPr="001265E9" w:rsidRDefault="003B1A17" w:rsidP="00A5227C">
      <w:pPr>
        <w:numPr>
          <w:ilvl w:val="0"/>
          <w:numId w:val="12"/>
        </w:numPr>
        <w:jc w:val="both"/>
        <w:rPr>
          <w:rFonts w:cs="Arial"/>
          <w:b/>
          <w:iCs/>
        </w:rPr>
      </w:pPr>
      <w:r w:rsidRPr="001265E9">
        <w:t>preparing forward-looking cash flow analysis in relation to its operational, investing and financing activities; and</w:t>
      </w:r>
    </w:p>
    <w:p w14:paraId="4D9D02CF" w14:textId="77777777" w:rsidR="003B1A17" w:rsidRPr="001265E9" w:rsidRDefault="003B1A17" w:rsidP="00A5227C">
      <w:pPr>
        <w:numPr>
          <w:ilvl w:val="0"/>
          <w:numId w:val="12"/>
        </w:numPr>
        <w:jc w:val="both"/>
        <w:rPr>
          <w:rFonts w:cs="Arial"/>
          <w:b/>
          <w:iCs/>
        </w:rPr>
      </w:pPr>
      <w:r w:rsidRPr="001265E9">
        <w:rPr>
          <w:rFonts w:cs="Arial"/>
        </w:rPr>
        <w:t>ensuring that adequate unutilised borrowing facilities are maintained.</w:t>
      </w:r>
    </w:p>
    <w:p w14:paraId="1B81AA46" w14:textId="77777777" w:rsidR="00151B9D" w:rsidRPr="001265E9" w:rsidRDefault="00151B9D" w:rsidP="005265B7">
      <w:pPr>
        <w:ind w:left="78"/>
        <w:jc w:val="both"/>
      </w:pPr>
    </w:p>
    <w:p w14:paraId="586E088F" w14:textId="77777777" w:rsidR="00151B9D" w:rsidRPr="001265E9" w:rsidRDefault="00151B9D" w:rsidP="005265B7">
      <w:pPr>
        <w:ind w:left="1134" w:firstLine="6"/>
        <w:jc w:val="both"/>
      </w:pPr>
      <w:r w:rsidRPr="001265E9">
        <w:t>The tables below reflect an undiscounted contractual maturity analysis for financial liabilities.</w:t>
      </w:r>
    </w:p>
    <w:p w14:paraId="104B3A95" w14:textId="77777777" w:rsidR="005F3CF6" w:rsidRPr="001265E9" w:rsidRDefault="005F3CF6" w:rsidP="005265B7">
      <w:pPr>
        <w:ind w:right="267"/>
        <w:jc w:val="both"/>
        <w:rPr>
          <w:rFonts w:cs="Arial"/>
          <w:b/>
          <w:iCs/>
        </w:rPr>
      </w:pPr>
    </w:p>
    <w:p w14:paraId="3113176F" w14:textId="77777777" w:rsidR="00151B9D" w:rsidRPr="001265E9" w:rsidRDefault="000D0ABF" w:rsidP="005265B7">
      <w:pPr>
        <w:ind w:left="1134"/>
        <w:jc w:val="both"/>
        <w:rPr>
          <w:rFonts w:cs="Arial"/>
          <w:b/>
          <w:iCs/>
        </w:rPr>
      </w:pPr>
      <w:r w:rsidRPr="001265E9">
        <w:t xml:space="preserve">Cash flows realised from financial assets reflect management’s expectation as to the timing of realisation. Actual timing may therefore differ from that disclosed. </w:t>
      </w:r>
      <w:r w:rsidR="00151B9D" w:rsidRPr="001265E9">
        <w:t>The timing of cash flows as presented in the table (to settle financial liabilities) reflects the earliest contractual settlement dates.</w:t>
      </w:r>
    </w:p>
    <w:p w14:paraId="4476C4BB" w14:textId="77777777" w:rsidR="005265B7" w:rsidRPr="00631312" w:rsidRDefault="005265B7" w:rsidP="005265B7">
      <w:pPr>
        <w:ind w:left="78"/>
        <w:jc w:val="center"/>
        <w:rPr>
          <w:b/>
        </w:rPr>
      </w:pPr>
      <w:r w:rsidRPr="00C328EF">
        <w:rPr>
          <w:b/>
          <w:highlight w:val="yellow"/>
        </w:rPr>
        <w:br w:type="page"/>
      </w:r>
      <w:r w:rsidRPr="00631312">
        <w:rPr>
          <w:b/>
        </w:rPr>
        <w:lastRenderedPageBreak/>
        <w:t>TRANSPORT FOR EDINBURGH LIMITED</w:t>
      </w:r>
    </w:p>
    <w:p w14:paraId="1B6617BF" w14:textId="77777777" w:rsidR="005265B7" w:rsidRPr="00631312" w:rsidRDefault="005265B7" w:rsidP="005265B7">
      <w:pPr>
        <w:rPr>
          <w:b/>
        </w:rPr>
      </w:pPr>
    </w:p>
    <w:p w14:paraId="36A9BDC0" w14:textId="77777777" w:rsidR="005265B7" w:rsidRPr="00631312" w:rsidRDefault="005265B7" w:rsidP="005265B7">
      <w:pPr>
        <w:jc w:val="center"/>
        <w:rPr>
          <w:b/>
        </w:rPr>
      </w:pPr>
      <w:r w:rsidRPr="00631312">
        <w:rPr>
          <w:b/>
        </w:rPr>
        <w:t>Notes to the Financial Statements (continued)</w:t>
      </w:r>
    </w:p>
    <w:p w14:paraId="28E12D8B" w14:textId="77777777" w:rsidR="005265B7" w:rsidRPr="00631312" w:rsidRDefault="005265B7" w:rsidP="005265B7">
      <w:pPr>
        <w:jc w:val="center"/>
        <w:rPr>
          <w:b/>
        </w:rPr>
      </w:pPr>
    </w:p>
    <w:p w14:paraId="619CE936" w14:textId="77777777" w:rsidR="005265B7" w:rsidRPr="00AE607B" w:rsidRDefault="00D90B89" w:rsidP="005265B7">
      <w:pPr>
        <w:jc w:val="center"/>
      </w:pPr>
      <w:r w:rsidRPr="00AE607B">
        <w:rPr>
          <w:b/>
        </w:rPr>
        <w:t>For the period ended 28 December 2024</w:t>
      </w:r>
    </w:p>
    <w:p w14:paraId="5BABB3E7" w14:textId="77777777" w:rsidR="005265B7" w:rsidRPr="00AE607B" w:rsidRDefault="005265B7" w:rsidP="005265B7">
      <w:pPr>
        <w:jc w:val="center"/>
      </w:pPr>
    </w:p>
    <w:p w14:paraId="65218559" w14:textId="77777777" w:rsidR="005265B7" w:rsidRPr="00AE607B" w:rsidRDefault="005265B7" w:rsidP="005265B7">
      <w:pPr>
        <w:rPr>
          <w:b/>
        </w:rPr>
      </w:pPr>
      <w:r w:rsidRPr="00AE607B">
        <w:rPr>
          <w:b/>
        </w:rPr>
        <w:t>2</w:t>
      </w:r>
      <w:r w:rsidR="00F72DA3">
        <w:rPr>
          <w:b/>
        </w:rPr>
        <w:t>6</w:t>
      </w:r>
      <w:r w:rsidRPr="00AE607B">
        <w:rPr>
          <w:b/>
        </w:rPr>
        <w:t>.</w:t>
      </w:r>
      <w:r w:rsidRPr="00AE607B">
        <w:rPr>
          <w:b/>
        </w:rPr>
        <w:tab/>
        <w:t>Financial risk management (continued)</w:t>
      </w:r>
    </w:p>
    <w:p w14:paraId="52059EC4" w14:textId="77777777" w:rsidR="00C61A58" w:rsidRPr="001265E9" w:rsidRDefault="00C61A58" w:rsidP="00C61A58">
      <w:pPr>
        <w:ind w:left="567" w:right="267" w:hanging="567"/>
        <w:rPr>
          <w:rFonts w:cs="Arial"/>
          <w:b/>
          <w:iCs/>
          <w:sz w:val="18"/>
          <w:szCs w:val="18"/>
        </w:rPr>
      </w:pPr>
    </w:p>
    <w:p w14:paraId="3CA8B393" w14:textId="77777777" w:rsidR="00211D84" w:rsidRPr="001265E9" w:rsidRDefault="00211D84" w:rsidP="00C61A58">
      <w:pPr>
        <w:ind w:left="567" w:right="267" w:hanging="567"/>
        <w:rPr>
          <w:rFonts w:cs="Arial"/>
          <w:b/>
          <w:iCs/>
          <w:sz w:val="18"/>
          <w:szCs w:val="18"/>
        </w:rPr>
      </w:pPr>
      <w:r w:rsidRPr="001265E9">
        <w:rPr>
          <w:rFonts w:cs="Arial"/>
          <w:b/>
          <w:iCs/>
        </w:rPr>
        <w:t>b.</w:t>
      </w:r>
      <w:r w:rsidRPr="001265E9">
        <w:rPr>
          <w:rFonts w:cs="Arial"/>
          <w:b/>
          <w:iCs/>
        </w:rPr>
        <w:tab/>
        <w:t>Liquidity risk (continued)</w:t>
      </w:r>
    </w:p>
    <w:p w14:paraId="2EFDD73C" w14:textId="77777777" w:rsidR="00211D84" w:rsidRPr="001265E9" w:rsidRDefault="00211D84" w:rsidP="00C61A58">
      <w:pPr>
        <w:ind w:left="567" w:right="267" w:hanging="567"/>
        <w:rPr>
          <w:rFonts w:cs="Arial"/>
          <w:b/>
          <w:iCs/>
          <w:sz w:val="18"/>
          <w:szCs w:val="18"/>
        </w:rPr>
      </w:pP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78"/>
        <w:gridCol w:w="117"/>
        <w:gridCol w:w="567"/>
        <w:gridCol w:w="142"/>
        <w:gridCol w:w="141"/>
        <w:gridCol w:w="993"/>
        <w:gridCol w:w="850"/>
        <w:gridCol w:w="142"/>
        <w:gridCol w:w="1417"/>
        <w:gridCol w:w="284"/>
        <w:gridCol w:w="1276"/>
      </w:tblGrid>
      <w:tr w:rsidR="00133768" w:rsidRPr="001265E9" w14:paraId="050216C9" w14:textId="77777777" w:rsidTr="00133768">
        <w:trPr>
          <w:trHeight w:val="477"/>
          <w:tblHeader/>
        </w:trPr>
        <w:tc>
          <w:tcPr>
            <w:tcW w:w="10207" w:type="dxa"/>
            <w:gridSpan w:val="11"/>
            <w:tcBorders>
              <w:top w:val="nil"/>
              <w:left w:val="nil"/>
              <w:bottom w:val="nil"/>
              <w:right w:val="nil"/>
            </w:tcBorders>
          </w:tcPr>
          <w:p w14:paraId="5B36E18D" w14:textId="77777777" w:rsidR="00133768" w:rsidRPr="001265E9" w:rsidRDefault="00133768" w:rsidP="005265B7">
            <w:pPr>
              <w:rPr>
                <w:rFonts w:cs="Arial"/>
                <w:b/>
                <w:lang w:val="en-AU" w:eastAsia="en-GB"/>
              </w:rPr>
            </w:pPr>
            <w:r w:rsidRPr="001265E9">
              <w:rPr>
                <w:rFonts w:cs="Arial"/>
                <w:b/>
                <w:lang w:val="en-AU" w:eastAsia="en-GB"/>
              </w:rPr>
              <w:t>Financial liability and financial asset maturity analysis</w:t>
            </w:r>
          </w:p>
          <w:p w14:paraId="6377C65F" w14:textId="77777777" w:rsidR="00133768" w:rsidRPr="001265E9" w:rsidRDefault="00133768" w:rsidP="005265B7">
            <w:pPr>
              <w:rPr>
                <w:rFonts w:cs="Arial"/>
                <w:b/>
                <w:lang w:val="en-AU" w:eastAsia="en-GB"/>
              </w:rPr>
            </w:pPr>
          </w:p>
        </w:tc>
      </w:tr>
      <w:tr w:rsidR="00932C3D" w:rsidRPr="001265E9" w14:paraId="0D441AE8" w14:textId="77777777" w:rsidTr="00092C40">
        <w:trPr>
          <w:trHeight w:val="181"/>
          <w:tblHeader/>
        </w:trPr>
        <w:tc>
          <w:tcPr>
            <w:tcW w:w="4395" w:type="dxa"/>
            <w:gridSpan w:val="2"/>
            <w:tcBorders>
              <w:top w:val="nil"/>
              <w:left w:val="nil"/>
              <w:bottom w:val="nil"/>
              <w:right w:val="nil"/>
            </w:tcBorders>
          </w:tcPr>
          <w:p w14:paraId="3C30E28E" w14:textId="77777777" w:rsidR="00932C3D" w:rsidRPr="001265E9" w:rsidRDefault="00932C3D" w:rsidP="00092C40">
            <w:pPr>
              <w:rPr>
                <w:rFonts w:cs="Arial"/>
                <w:b/>
                <w:lang w:val="en-AU" w:eastAsia="en-GB"/>
              </w:rPr>
            </w:pPr>
            <w:r w:rsidRPr="001265E9">
              <w:rPr>
                <w:rFonts w:cs="Arial"/>
                <w:b/>
                <w:lang w:val="en-AU" w:eastAsia="en-GB"/>
              </w:rPr>
              <w:t>Group</w:t>
            </w:r>
          </w:p>
        </w:tc>
        <w:tc>
          <w:tcPr>
            <w:tcW w:w="850" w:type="dxa"/>
            <w:gridSpan w:val="3"/>
            <w:tcBorders>
              <w:top w:val="nil"/>
              <w:left w:val="nil"/>
              <w:bottom w:val="nil"/>
              <w:right w:val="nil"/>
            </w:tcBorders>
          </w:tcPr>
          <w:p w14:paraId="3A702AA4" w14:textId="77777777" w:rsidR="00932C3D" w:rsidRPr="001265E9" w:rsidRDefault="00092C40" w:rsidP="000C5196">
            <w:pPr>
              <w:tabs>
                <w:tab w:val="left" w:pos="1418"/>
              </w:tabs>
              <w:ind w:right="397"/>
              <w:jc w:val="right"/>
              <w:rPr>
                <w:rFonts w:cs="Arial"/>
                <w:b/>
                <w:lang w:val="en-AU" w:eastAsia="en-GB"/>
              </w:rPr>
            </w:pPr>
            <w:r w:rsidRPr="001265E9">
              <w:rPr>
                <w:rFonts w:cs="Arial"/>
                <w:b/>
                <w:lang w:val="en-AU" w:eastAsia="en-GB"/>
              </w:rPr>
              <w:t>Note</w:t>
            </w:r>
          </w:p>
        </w:tc>
        <w:tc>
          <w:tcPr>
            <w:tcW w:w="1843" w:type="dxa"/>
            <w:gridSpan w:val="2"/>
            <w:tcBorders>
              <w:top w:val="nil"/>
              <w:left w:val="nil"/>
              <w:bottom w:val="nil"/>
              <w:right w:val="nil"/>
            </w:tcBorders>
          </w:tcPr>
          <w:p w14:paraId="7C20B33C" w14:textId="77777777" w:rsidR="00932C3D" w:rsidRPr="001265E9" w:rsidRDefault="00932C3D" w:rsidP="00FC77F3">
            <w:pPr>
              <w:tabs>
                <w:tab w:val="left" w:pos="1418"/>
              </w:tabs>
              <w:ind w:right="283"/>
              <w:jc w:val="right"/>
              <w:rPr>
                <w:rFonts w:cs="Arial"/>
                <w:b/>
                <w:lang w:val="en-AU" w:eastAsia="en-GB"/>
              </w:rPr>
            </w:pPr>
            <w:r w:rsidRPr="001265E9">
              <w:rPr>
                <w:rFonts w:cs="Arial"/>
                <w:b/>
                <w:lang w:val="en-AU" w:eastAsia="en-GB"/>
              </w:rPr>
              <w:t>Within 1 Year</w:t>
            </w:r>
          </w:p>
        </w:tc>
        <w:tc>
          <w:tcPr>
            <w:tcW w:w="1559" w:type="dxa"/>
            <w:gridSpan w:val="2"/>
            <w:tcBorders>
              <w:top w:val="nil"/>
              <w:left w:val="nil"/>
              <w:bottom w:val="nil"/>
              <w:right w:val="nil"/>
            </w:tcBorders>
          </w:tcPr>
          <w:p w14:paraId="0D8906F3" w14:textId="77777777" w:rsidR="00932C3D" w:rsidRPr="001265E9" w:rsidRDefault="00932C3D" w:rsidP="00FC77F3">
            <w:pPr>
              <w:tabs>
                <w:tab w:val="left" w:pos="1418"/>
              </w:tabs>
              <w:ind w:right="284"/>
              <w:jc w:val="right"/>
              <w:rPr>
                <w:rFonts w:cs="Arial"/>
                <w:b/>
                <w:lang w:val="en-AU" w:eastAsia="en-GB"/>
              </w:rPr>
            </w:pPr>
            <w:r w:rsidRPr="001265E9">
              <w:rPr>
                <w:rFonts w:cs="Arial"/>
                <w:b/>
                <w:lang w:val="en-AU" w:eastAsia="en-GB"/>
              </w:rPr>
              <w:t>1 to 5 Years</w:t>
            </w:r>
          </w:p>
        </w:tc>
        <w:tc>
          <w:tcPr>
            <w:tcW w:w="1560" w:type="dxa"/>
            <w:gridSpan w:val="2"/>
            <w:tcBorders>
              <w:top w:val="nil"/>
              <w:left w:val="nil"/>
              <w:bottom w:val="nil"/>
              <w:right w:val="nil"/>
            </w:tcBorders>
          </w:tcPr>
          <w:p w14:paraId="5CDC5F62" w14:textId="77777777" w:rsidR="00932C3D" w:rsidRPr="001265E9" w:rsidRDefault="00932C3D" w:rsidP="00FC77F3">
            <w:pPr>
              <w:tabs>
                <w:tab w:val="left" w:pos="992"/>
                <w:tab w:val="left" w:pos="1134"/>
              </w:tabs>
              <w:ind w:right="284"/>
              <w:jc w:val="center"/>
              <w:rPr>
                <w:rFonts w:cs="Arial"/>
                <w:b/>
                <w:lang w:val="en-AU" w:eastAsia="en-GB"/>
              </w:rPr>
            </w:pPr>
            <w:r w:rsidRPr="001265E9">
              <w:rPr>
                <w:rFonts w:cs="Arial"/>
                <w:b/>
                <w:lang w:val="en-AU" w:eastAsia="en-GB"/>
              </w:rPr>
              <w:t xml:space="preserve">   </w:t>
            </w:r>
            <w:r w:rsidR="001866D8" w:rsidRPr="001265E9">
              <w:rPr>
                <w:rFonts w:cs="Arial"/>
                <w:b/>
                <w:lang w:val="en-AU" w:eastAsia="en-GB"/>
              </w:rPr>
              <w:t xml:space="preserve">       </w:t>
            </w:r>
            <w:r w:rsidRPr="001265E9">
              <w:rPr>
                <w:rFonts w:cs="Arial"/>
                <w:b/>
                <w:lang w:val="en-AU" w:eastAsia="en-GB"/>
              </w:rPr>
              <w:t>Total</w:t>
            </w:r>
          </w:p>
        </w:tc>
      </w:tr>
      <w:tr w:rsidR="00932C3D" w:rsidRPr="001265E9" w14:paraId="0EEDED18" w14:textId="77777777" w:rsidTr="001866D8">
        <w:trPr>
          <w:trHeight w:val="161"/>
          <w:tblHeader/>
        </w:trPr>
        <w:tc>
          <w:tcPr>
            <w:tcW w:w="4278" w:type="dxa"/>
            <w:tcBorders>
              <w:top w:val="nil"/>
              <w:left w:val="nil"/>
              <w:bottom w:val="nil"/>
              <w:right w:val="nil"/>
            </w:tcBorders>
          </w:tcPr>
          <w:p w14:paraId="08C8E3C4" w14:textId="77777777" w:rsidR="00932C3D" w:rsidRPr="001265E9" w:rsidRDefault="00932C3D" w:rsidP="00092C40">
            <w:pPr>
              <w:rPr>
                <w:rFonts w:cs="Arial"/>
                <w:b/>
                <w:lang w:val="en-AU" w:eastAsia="en-GB"/>
              </w:rPr>
            </w:pPr>
          </w:p>
        </w:tc>
        <w:tc>
          <w:tcPr>
            <w:tcW w:w="1960" w:type="dxa"/>
            <w:gridSpan w:val="5"/>
            <w:tcBorders>
              <w:top w:val="nil"/>
              <w:left w:val="nil"/>
              <w:bottom w:val="nil"/>
              <w:right w:val="nil"/>
            </w:tcBorders>
          </w:tcPr>
          <w:p w14:paraId="1DD6937F" w14:textId="77777777" w:rsidR="00932C3D" w:rsidRPr="001265E9" w:rsidRDefault="00932C3D" w:rsidP="00932C3D">
            <w:pPr>
              <w:jc w:val="right"/>
              <w:rPr>
                <w:rFonts w:cs="Arial"/>
                <w:b/>
                <w:lang w:val="en-AU" w:eastAsia="en-GB"/>
              </w:rPr>
            </w:pPr>
          </w:p>
        </w:tc>
        <w:tc>
          <w:tcPr>
            <w:tcW w:w="992" w:type="dxa"/>
            <w:gridSpan w:val="2"/>
            <w:tcBorders>
              <w:top w:val="nil"/>
              <w:left w:val="nil"/>
              <w:bottom w:val="nil"/>
              <w:right w:val="nil"/>
            </w:tcBorders>
          </w:tcPr>
          <w:p w14:paraId="4BE538F1" w14:textId="77777777" w:rsidR="00932C3D" w:rsidRPr="001265E9" w:rsidRDefault="00932C3D" w:rsidP="001866D8">
            <w:pPr>
              <w:rPr>
                <w:rFonts w:cs="Arial"/>
                <w:b/>
                <w:lang w:val="en-AU" w:eastAsia="en-GB"/>
              </w:rPr>
            </w:pPr>
            <w:r w:rsidRPr="001265E9">
              <w:rPr>
                <w:rFonts w:cs="Arial"/>
                <w:b/>
                <w:lang w:val="en-AU" w:eastAsia="en-GB"/>
              </w:rPr>
              <w:t>20</w:t>
            </w:r>
            <w:r w:rsidR="00855D9F" w:rsidRPr="001265E9">
              <w:rPr>
                <w:rFonts w:cs="Arial"/>
                <w:b/>
                <w:lang w:val="en-AU" w:eastAsia="en-GB"/>
              </w:rPr>
              <w:t>2</w:t>
            </w:r>
            <w:r w:rsidR="001265E9" w:rsidRPr="001265E9">
              <w:rPr>
                <w:rFonts w:cs="Arial"/>
                <w:b/>
                <w:lang w:val="en-AU" w:eastAsia="en-GB"/>
              </w:rPr>
              <w:t>4</w:t>
            </w:r>
          </w:p>
        </w:tc>
        <w:tc>
          <w:tcPr>
            <w:tcW w:w="1701" w:type="dxa"/>
            <w:gridSpan w:val="2"/>
            <w:tcBorders>
              <w:top w:val="nil"/>
              <w:left w:val="nil"/>
              <w:bottom w:val="nil"/>
              <w:right w:val="nil"/>
            </w:tcBorders>
          </w:tcPr>
          <w:p w14:paraId="33C64C2B" w14:textId="77777777" w:rsidR="00932C3D" w:rsidRPr="001265E9" w:rsidRDefault="00932C3D" w:rsidP="00FD155C">
            <w:pPr>
              <w:tabs>
                <w:tab w:val="left" w:pos="1418"/>
              </w:tabs>
              <w:jc w:val="center"/>
              <w:rPr>
                <w:rFonts w:cs="Arial"/>
                <w:b/>
                <w:lang w:val="en-AU" w:eastAsia="en-GB"/>
              </w:rPr>
            </w:pPr>
            <w:r w:rsidRPr="001265E9">
              <w:rPr>
                <w:rFonts w:cs="Arial"/>
                <w:b/>
                <w:lang w:val="en-AU" w:eastAsia="en-GB"/>
              </w:rPr>
              <w:t>20</w:t>
            </w:r>
            <w:r w:rsidR="00855D9F" w:rsidRPr="001265E9">
              <w:rPr>
                <w:rFonts w:cs="Arial"/>
                <w:b/>
                <w:lang w:val="en-AU" w:eastAsia="en-GB"/>
              </w:rPr>
              <w:t>2</w:t>
            </w:r>
            <w:r w:rsidR="001265E9" w:rsidRPr="001265E9">
              <w:rPr>
                <w:rFonts w:cs="Arial"/>
                <w:b/>
                <w:lang w:val="en-AU" w:eastAsia="en-GB"/>
              </w:rPr>
              <w:t>4</w:t>
            </w:r>
          </w:p>
        </w:tc>
        <w:tc>
          <w:tcPr>
            <w:tcW w:w="1276" w:type="dxa"/>
            <w:tcBorders>
              <w:top w:val="nil"/>
              <w:left w:val="nil"/>
              <w:bottom w:val="nil"/>
              <w:right w:val="nil"/>
            </w:tcBorders>
          </w:tcPr>
          <w:p w14:paraId="5964E68F" w14:textId="77777777" w:rsidR="00932C3D" w:rsidRPr="001265E9" w:rsidRDefault="00932C3D" w:rsidP="00FD155C">
            <w:pPr>
              <w:tabs>
                <w:tab w:val="left" w:pos="1418"/>
              </w:tabs>
              <w:jc w:val="center"/>
              <w:rPr>
                <w:rFonts w:cs="Arial"/>
                <w:b/>
                <w:lang w:val="en-AU" w:eastAsia="en-GB"/>
              </w:rPr>
            </w:pPr>
            <w:r w:rsidRPr="001265E9">
              <w:rPr>
                <w:rFonts w:cs="Arial"/>
                <w:b/>
                <w:lang w:val="en-AU" w:eastAsia="en-GB"/>
              </w:rPr>
              <w:t>20</w:t>
            </w:r>
            <w:r w:rsidR="00855D9F" w:rsidRPr="001265E9">
              <w:rPr>
                <w:rFonts w:cs="Arial"/>
                <w:b/>
                <w:lang w:val="en-AU" w:eastAsia="en-GB"/>
              </w:rPr>
              <w:t>2</w:t>
            </w:r>
            <w:r w:rsidR="001265E9" w:rsidRPr="001265E9">
              <w:rPr>
                <w:rFonts w:cs="Arial"/>
                <w:b/>
                <w:lang w:val="en-AU" w:eastAsia="en-GB"/>
              </w:rPr>
              <w:t>4</w:t>
            </w:r>
          </w:p>
        </w:tc>
      </w:tr>
      <w:tr w:rsidR="00932C3D" w:rsidRPr="001265E9" w14:paraId="6EE87901" w14:textId="77777777" w:rsidTr="001866D8">
        <w:trPr>
          <w:trHeight w:val="238"/>
          <w:tblHeader/>
        </w:trPr>
        <w:tc>
          <w:tcPr>
            <w:tcW w:w="4278" w:type="dxa"/>
            <w:tcBorders>
              <w:top w:val="nil"/>
              <w:left w:val="nil"/>
              <w:bottom w:val="nil"/>
              <w:right w:val="nil"/>
            </w:tcBorders>
          </w:tcPr>
          <w:p w14:paraId="58AD6FD5" w14:textId="77777777" w:rsidR="00932C3D" w:rsidRPr="001265E9" w:rsidRDefault="00932C3D" w:rsidP="005265B7">
            <w:pPr>
              <w:rPr>
                <w:rFonts w:cs="Arial"/>
                <w:lang w:val="en-AU" w:eastAsia="en-GB"/>
              </w:rPr>
            </w:pPr>
          </w:p>
        </w:tc>
        <w:tc>
          <w:tcPr>
            <w:tcW w:w="1960" w:type="dxa"/>
            <w:gridSpan w:val="5"/>
            <w:tcBorders>
              <w:top w:val="nil"/>
              <w:left w:val="nil"/>
              <w:bottom w:val="nil"/>
              <w:right w:val="nil"/>
            </w:tcBorders>
          </w:tcPr>
          <w:p w14:paraId="10A82E7A" w14:textId="77777777" w:rsidR="00932C3D" w:rsidRPr="001265E9" w:rsidRDefault="00932C3D" w:rsidP="00932C3D">
            <w:pPr>
              <w:jc w:val="right"/>
              <w:rPr>
                <w:rFonts w:cs="Arial"/>
                <w:b/>
                <w:lang w:val="en-AU" w:eastAsia="en-GB"/>
              </w:rPr>
            </w:pPr>
          </w:p>
        </w:tc>
        <w:tc>
          <w:tcPr>
            <w:tcW w:w="992" w:type="dxa"/>
            <w:gridSpan w:val="2"/>
            <w:tcBorders>
              <w:top w:val="nil"/>
              <w:left w:val="nil"/>
              <w:bottom w:val="nil"/>
              <w:right w:val="nil"/>
            </w:tcBorders>
          </w:tcPr>
          <w:p w14:paraId="1F0BA79C" w14:textId="77777777" w:rsidR="00932C3D" w:rsidRPr="001265E9" w:rsidRDefault="00932C3D" w:rsidP="001866D8">
            <w:pPr>
              <w:rPr>
                <w:rFonts w:cs="Arial"/>
                <w:b/>
                <w:lang w:val="en-AU" w:eastAsia="en-GB"/>
              </w:rPr>
            </w:pPr>
            <w:r w:rsidRPr="001265E9">
              <w:rPr>
                <w:rFonts w:cs="Arial"/>
                <w:b/>
                <w:lang w:val="en-AU" w:eastAsia="en-GB"/>
              </w:rPr>
              <w:t>£’000</w:t>
            </w:r>
          </w:p>
        </w:tc>
        <w:tc>
          <w:tcPr>
            <w:tcW w:w="1701" w:type="dxa"/>
            <w:gridSpan w:val="2"/>
            <w:tcBorders>
              <w:top w:val="nil"/>
              <w:left w:val="nil"/>
              <w:bottom w:val="nil"/>
              <w:right w:val="nil"/>
            </w:tcBorders>
          </w:tcPr>
          <w:p w14:paraId="1D29C25F" w14:textId="77777777" w:rsidR="00932C3D" w:rsidRPr="001265E9" w:rsidRDefault="00932C3D" w:rsidP="00FC77F3">
            <w:pPr>
              <w:tabs>
                <w:tab w:val="left" w:pos="1418"/>
              </w:tabs>
              <w:jc w:val="center"/>
              <w:rPr>
                <w:rFonts w:cs="Arial"/>
                <w:b/>
                <w:lang w:val="en-AU" w:eastAsia="en-GB"/>
              </w:rPr>
            </w:pPr>
            <w:r w:rsidRPr="001265E9">
              <w:rPr>
                <w:rFonts w:cs="Arial"/>
                <w:b/>
                <w:lang w:val="en-AU" w:eastAsia="en-GB"/>
              </w:rPr>
              <w:t>£’000</w:t>
            </w:r>
          </w:p>
        </w:tc>
        <w:tc>
          <w:tcPr>
            <w:tcW w:w="1276" w:type="dxa"/>
            <w:tcBorders>
              <w:top w:val="nil"/>
              <w:left w:val="nil"/>
              <w:bottom w:val="nil"/>
              <w:right w:val="nil"/>
            </w:tcBorders>
          </w:tcPr>
          <w:p w14:paraId="661280EA" w14:textId="77777777" w:rsidR="00932C3D" w:rsidRPr="001265E9" w:rsidRDefault="00932C3D" w:rsidP="00FC77F3">
            <w:pPr>
              <w:tabs>
                <w:tab w:val="left" w:pos="1418"/>
              </w:tabs>
              <w:jc w:val="center"/>
              <w:rPr>
                <w:rFonts w:cs="Arial"/>
                <w:b/>
                <w:lang w:val="en-AU" w:eastAsia="en-GB"/>
              </w:rPr>
            </w:pPr>
            <w:r w:rsidRPr="001265E9">
              <w:rPr>
                <w:rFonts w:cs="Arial"/>
                <w:b/>
                <w:lang w:val="en-AU" w:eastAsia="en-GB"/>
              </w:rPr>
              <w:t>£’000</w:t>
            </w:r>
          </w:p>
        </w:tc>
      </w:tr>
      <w:tr w:rsidR="00932C3D" w:rsidRPr="00C328EF" w14:paraId="2B057C00" w14:textId="77777777" w:rsidTr="00932C3D">
        <w:trPr>
          <w:cantSplit/>
          <w:trHeight w:val="238"/>
        </w:trPr>
        <w:tc>
          <w:tcPr>
            <w:tcW w:w="4278" w:type="dxa"/>
            <w:tcBorders>
              <w:top w:val="nil"/>
              <w:left w:val="nil"/>
              <w:bottom w:val="nil"/>
              <w:right w:val="nil"/>
            </w:tcBorders>
          </w:tcPr>
          <w:p w14:paraId="6777200F" w14:textId="77777777" w:rsidR="00932C3D" w:rsidRPr="001265E9" w:rsidRDefault="00932C3D" w:rsidP="005265B7">
            <w:pPr>
              <w:rPr>
                <w:b/>
                <w:lang w:val="en-AU" w:eastAsia="en-GB"/>
              </w:rPr>
            </w:pPr>
            <w:r w:rsidRPr="001265E9">
              <w:rPr>
                <w:b/>
                <w:lang w:val="en-AU" w:eastAsia="en-GB"/>
              </w:rPr>
              <w:t>Financial liabilities due for payment</w:t>
            </w:r>
          </w:p>
        </w:tc>
        <w:tc>
          <w:tcPr>
            <w:tcW w:w="967" w:type="dxa"/>
            <w:gridSpan w:val="4"/>
            <w:tcBorders>
              <w:top w:val="nil"/>
              <w:left w:val="nil"/>
              <w:bottom w:val="nil"/>
              <w:right w:val="nil"/>
            </w:tcBorders>
          </w:tcPr>
          <w:p w14:paraId="6015D3A9" w14:textId="77777777" w:rsidR="00932C3D" w:rsidRPr="00C328EF" w:rsidRDefault="00932C3D" w:rsidP="00932C3D">
            <w:pPr>
              <w:jc w:val="right"/>
              <w:rPr>
                <w:rFonts w:cs="Arial"/>
                <w:highlight w:val="yellow"/>
                <w:lang w:val="en-AU" w:eastAsia="en-GB"/>
              </w:rPr>
            </w:pPr>
          </w:p>
        </w:tc>
        <w:tc>
          <w:tcPr>
            <w:tcW w:w="1843" w:type="dxa"/>
            <w:gridSpan w:val="2"/>
            <w:tcBorders>
              <w:top w:val="nil"/>
              <w:left w:val="nil"/>
              <w:bottom w:val="nil"/>
              <w:right w:val="nil"/>
            </w:tcBorders>
          </w:tcPr>
          <w:p w14:paraId="4065F008" w14:textId="77777777" w:rsidR="00932C3D" w:rsidRPr="00C328EF" w:rsidRDefault="00932C3D" w:rsidP="005265B7">
            <w:pPr>
              <w:rPr>
                <w:rFonts w:cs="Arial"/>
                <w:highlight w:val="yellow"/>
                <w:lang w:val="en-AU" w:eastAsia="en-GB"/>
              </w:rPr>
            </w:pPr>
          </w:p>
        </w:tc>
        <w:tc>
          <w:tcPr>
            <w:tcW w:w="1559" w:type="dxa"/>
            <w:gridSpan w:val="2"/>
            <w:tcBorders>
              <w:top w:val="nil"/>
              <w:left w:val="nil"/>
              <w:bottom w:val="nil"/>
              <w:right w:val="nil"/>
            </w:tcBorders>
          </w:tcPr>
          <w:p w14:paraId="21B6437E" w14:textId="77777777" w:rsidR="00932C3D" w:rsidRPr="00C328EF" w:rsidRDefault="00932C3D" w:rsidP="005265B7">
            <w:pPr>
              <w:rPr>
                <w:rFonts w:cs="Arial"/>
                <w:highlight w:val="yellow"/>
                <w:lang w:val="en-AU" w:eastAsia="en-GB"/>
              </w:rPr>
            </w:pPr>
          </w:p>
        </w:tc>
        <w:tc>
          <w:tcPr>
            <w:tcW w:w="1560" w:type="dxa"/>
            <w:gridSpan w:val="2"/>
            <w:tcBorders>
              <w:top w:val="nil"/>
              <w:left w:val="nil"/>
              <w:bottom w:val="nil"/>
              <w:right w:val="nil"/>
            </w:tcBorders>
          </w:tcPr>
          <w:p w14:paraId="6847F16B" w14:textId="77777777" w:rsidR="00932C3D" w:rsidRPr="00C328EF" w:rsidRDefault="00932C3D" w:rsidP="005265B7">
            <w:pPr>
              <w:rPr>
                <w:rFonts w:cs="Arial"/>
                <w:highlight w:val="yellow"/>
                <w:lang w:val="en-AU" w:eastAsia="en-GB"/>
              </w:rPr>
            </w:pPr>
          </w:p>
        </w:tc>
      </w:tr>
      <w:tr w:rsidR="00932C3D" w:rsidRPr="00C328EF" w14:paraId="34F7EA5A" w14:textId="77777777" w:rsidTr="000C5196">
        <w:trPr>
          <w:cantSplit/>
          <w:trHeight w:val="238"/>
        </w:trPr>
        <w:tc>
          <w:tcPr>
            <w:tcW w:w="4278" w:type="dxa"/>
            <w:tcBorders>
              <w:top w:val="nil"/>
              <w:left w:val="nil"/>
              <w:bottom w:val="nil"/>
              <w:right w:val="nil"/>
            </w:tcBorders>
          </w:tcPr>
          <w:p w14:paraId="0C72D595" w14:textId="77777777" w:rsidR="00932C3D" w:rsidRPr="001265E9" w:rsidRDefault="00932C3D" w:rsidP="00932C3D">
            <w:pPr>
              <w:rPr>
                <w:rFonts w:cs="Arial"/>
                <w:lang w:val="en-AU" w:eastAsia="en-GB"/>
              </w:rPr>
            </w:pPr>
            <w:r w:rsidRPr="001265E9">
              <w:rPr>
                <w:rFonts w:cs="Arial"/>
                <w:lang w:val="en-AU" w:eastAsia="en-GB"/>
              </w:rPr>
              <w:t>Current liabilities</w:t>
            </w:r>
          </w:p>
        </w:tc>
        <w:tc>
          <w:tcPr>
            <w:tcW w:w="826" w:type="dxa"/>
            <w:gridSpan w:val="3"/>
            <w:tcBorders>
              <w:top w:val="nil"/>
              <w:left w:val="nil"/>
              <w:bottom w:val="nil"/>
              <w:right w:val="nil"/>
            </w:tcBorders>
          </w:tcPr>
          <w:p w14:paraId="2C7876D8" w14:textId="77777777" w:rsidR="00932C3D" w:rsidRPr="00F0414A" w:rsidRDefault="00932C3D" w:rsidP="00932C3D">
            <w:pPr>
              <w:ind w:right="283"/>
              <w:jc w:val="right"/>
              <w:rPr>
                <w:rFonts w:cs="Arial"/>
                <w:lang w:val="en-AU" w:eastAsia="en-GB"/>
              </w:rPr>
            </w:pPr>
            <w:r w:rsidRPr="00F0414A">
              <w:rPr>
                <w:rFonts w:cs="Arial"/>
                <w:lang w:val="en-AU" w:eastAsia="en-GB"/>
              </w:rPr>
              <w:t>1</w:t>
            </w:r>
            <w:r w:rsidR="00F0414A" w:rsidRPr="00F0414A">
              <w:rPr>
                <w:rFonts w:cs="Arial"/>
                <w:lang w:val="en-AU" w:eastAsia="en-GB"/>
              </w:rPr>
              <w:t>4</w:t>
            </w:r>
            <w:r w:rsidRPr="00F0414A">
              <w:rPr>
                <w:rFonts w:cs="Arial"/>
                <w:lang w:val="en-AU" w:eastAsia="en-GB"/>
              </w:rPr>
              <w:t>,1</w:t>
            </w:r>
            <w:r w:rsidR="00F0414A" w:rsidRPr="00F0414A">
              <w:rPr>
                <w:rFonts w:cs="Arial"/>
                <w:lang w:val="en-AU" w:eastAsia="en-GB"/>
              </w:rPr>
              <w:t>5</w:t>
            </w:r>
          </w:p>
        </w:tc>
        <w:tc>
          <w:tcPr>
            <w:tcW w:w="1984" w:type="dxa"/>
            <w:gridSpan w:val="3"/>
            <w:tcBorders>
              <w:top w:val="nil"/>
              <w:left w:val="nil"/>
              <w:bottom w:val="nil"/>
              <w:right w:val="nil"/>
            </w:tcBorders>
          </w:tcPr>
          <w:p w14:paraId="2473FB69" w14:textId="77777777" w:rsidR="00932C3D" w:rsidRPr="00E44847" w:rsidRDefault="002D22AF" w:rsidP="00E14507">
            <w:pPr>
              <w:ind w:right="283"/>
              <w:jc w:val="right"/>
              <w:rPr>
                <w:rFonts w:cs="Arial"/>
                <w:lang w:val="en-AU" w:eastAsia="en-GB"/>
              </w:rPr>
            </w:pPr>
            <w:r w:rsidRPr="00E44847">
              <w:rPr>
                <w:rFonts w:cs="Arial"/>
                <w:lang w:val="en-AU" w:eastAsia="en-GB"/>
              </w:rPr>
              <w:t>2</w:t>
            </w:r>
            <w:r w:rsidR="00E9606B" w:rsidRPr="00E44847">
              <w:rPr>
                <w:rFonts w:cs="Arial"/>
                <w:lang w:val="en-AU" w:eastAsia="en-GB"/>
              </w:rPr>
              <w:t>5</w:t>
            </w:r>
            <w:r w:rsidRPr="00E44847">
              <w:rPr>
                <w:rFonts w:cs="Arial"/>
                <w:lang w:val="en-AU" w:eastAsia="en-GB"/>
              </w:rPr>
              <w:t>,</w:t>
            </w:r>
            <w:r w:rsidR="00E44847" w:rsidRPr="00E44847">
              <w:rPr>
                <w:rFonts w:cs="Arial"/>
                <w:lang w:val="en-AU" w:eastAsia="en-GB"/>
              </w:rPr>
              <w:t>502</w:t>
            </w:r>
          </w:p>
        </w:tc>
        <w:tc>
          <w:tcPr>
            <w:tcW w:w="1559" w:type="dxa"/>
            <w:gridSpan w:val="2"/>
            <w:tcBorders>
              <w:top w:val="nil"/>
              <w:left w:val="nil"/>
              <w:bottom w:val="nil"/>
              <w:right w:val="nil"/>
            </w:tcBorders>
          </w:tcPr>
          <w:p w14:paraId="1080B4CD" w14:textId="77777777" w:rsidR="00932C3D" w:rsidRPr="00E44847" w:rsidRDefault="001309F4" w:rsidP="00FF0EB7">
            <w:pPr>
              <w:ind w:right="283"/>
              <w:jc w:val="right"/>
              <w:rPr>
                <w:rFonts w:cs="Arial"/>
                <w:lang w:val="en-AU" w:eastAsia="en-GB"/>
              </w:rPr>
            </w:pPr>
            <w:r w:rsidRPr="00E44847">
              <w:rPr>
                <w:rFonts w:cs="Arial"/>
                <w:lang w:val="en-AU" w:eastAsia="en-GB"/>
              </w:rPr>
              <w:t>-</w:t>
            </w:r>
          </w:p>
        </w:tc>
        <w:tc>
          <w:tcPr>
            <w:tcW w:w="1560" w:type="dxa"/>
            <w:gridSpan w:val="2"/>
            <w:tcBorders>
              <w:top w:val="nil"/>
              <w:left w:val="nil"/>
              <w:bottom w:val="nil"/>
              <w:right w:val="nil"/>
            </w:tcBorders>
          </w:tcPr>
          <w:p w14:paraId="34A4E527" w14:textId="77777777" w:rsidR="00932C3D" w:rsidRPr="00E44847" w:rsidRDefault="002D22AF" w:rsidP="00E14507">
            <w:pPr>
              <w:ind w:right="283"/>
              <w:jc w:val="right"/>
              <w:rPr>
                <w:rFonts w:cs="Arial"/>
                <w:lang w:val="en-AU" w:eastAsia="en-GB"/>
              </w:rPr>
            </w:pPr>
            <w:r w:rsidRPr="00E44847">
              <w:rPr>
                <w:rFonts w:cs="Arial"/>
                <w:lang w:val="en-AU" w:eastAsia="en-GB"/>
              </w:rPr>
              <w:t>2</w:t>
            </w:r>
            <w:r w:rsidR="00E9606B" w:rsidRPr="00E44847">
              <w:rPr>
                <w:rFonts w:cs="Arial"/>
                <w:lang w:val="en-AU" w:eastAsia="en-GB"/>
              </w:rPr>
              <w:t>5</w:t>
            </w:r>
            <w:r w:rsidRPr="00E44847">
              <w:rPr>
                <w:rFonts w:cs="Arial"/>
                <w:lang w:val="en-AU" w:eastAsia="en-GB"/>
              </w:rPr>
              <w:t>,</w:t>
            </w:r>
            <w:r w:rsidR="00E44847" w:rsidRPr="00E44847">
              <w:rPr>
                <w:rFonts w:cs="Arial"/>
                <w:lang w:val="en-AU" w:eastAsia="en-GB"/>
              </w:rPr>
              <w:t>502</w:t>
            </w:r>
          </w:p>
        </w:tc>
      </w:tr>
      <w:tr w:rsidR="00932C3D" w:rsidRPr="00C328EF" w14:paraId="66784272" w14:textId="77777777" w:rsidTr="000C5196">
        <w:trPr>
          <w:cantSplit/>
          <w:trHeight w:val="238"/>
        </w:trPr>
        <w:tc>
          <w:tcPr>
            <w:tcW w:w="4278" w:type="dxa"/>
            <w:tcBorders>
              <w:top w:val="nil"/>
              <w:left w:val="nil"/>
              <w:bottom w:val="nil"/>
              <w:right w:val="nil"/>
            </w:tcBorders>
          </w:tcPr>
          <w:p w14:paraId="25E648BA" w14:textId="77777777" w:rsidR="00932C3D" w:rsidRPr="001265E9" w:rsidRDefault="00D6272C" w:rsidP="00932C3D">
            <w:pPr>
              <w:rPr>
                <w:rFonts w:cs="Arial"/>
                <w:lang w:val="en-AU" w:eastAsia="en-GB"/>
              </w:rPr>
            </w:pPr>
            <w:r w:rsidRPr="001265E9">
              <w:rPr>
                <w:rFonts w:cs="Arial"/>
                <w:lang w:val="en-AU" w:eastAsia="en-GB"/>
              </w:rPr>
              <w:t>L</w:t>
            </w:r>
            <w:r w:rsidR="00932C3D" w:rsidRPr="001265E9">
              <w:rPr>
                <w:rFonts w:cs="Arial"/>
                <w:lang w:val="en-AU" w:eastAsia="en-GB"/>
              </w:rPr>
              <w:t>ease obligations</w:t>
            </w:r>
          </w:p>
        </w:tc>
        <w:tc>
          <w:tcPr>
            <w:tcW w:w="684" w:type="dxa"/>
            <w:gridSpan w:val="2"/>
            <w:tcBorders>
              <w:top w:val="nil"/>
              <w:left w:val="nil"/>
              <w:bottom w:val="nil"/>
              <w:right w:val="nil"/>
            </w:tcBorders>
          </w:tcPr>
          <w:p w14:paraId="0E80CCBC" w14:textId="77777777" w:rsidR="00932C3D" w:rsidRPr="00F0414A" w:rsidRDefault="00932C3D" w:rsidP="00932C3D">
            <w:pPr>
              <w:ind w:right="283"/>
              <w:jc w:val="right"/>
              <w:rPr>
                <w:rFonts w:cs="Arial"/>
                <w:lang w:val="en-AU" w:eastAsia="en-GB"/>
              </w:rPr>
            </w:pPr>
            <w:r w:rsidRPr="00F0414A">
              <w:rPr>
                <w:rFonts w:cs="Arial"/>
                <w:lang w:val="en-AU" w:eastAsia="en-GB"/>
              </w:rPr>
              <w:t>1</w:t>
            </w:r>
            <w:r w:rsidR="00F0414A" w:rsidRPr="00F0414A">
              <w:rPr>
                <w:rFonts w:cs="Arial"/>
                <w:lang w:val="en-AU" w:eastAsia="en-GB"/>
              </w:rPr>
              <w:t>6</w:t>
            </w:r>
          </w:p>
        </w:tc>
        <w:tc>
          <w:tcPr>
            <w:tcW w:w="2126" w:type="dxa"/>
            <w:gridSpan w:val="4"/>
            <w:tcBorders>
              <w:top w:val="nil"/>
              <w:left w:val="nil"/>
              <w:bottom w:val="nil"/>
              <w:right w:val="nil"/>
            </w:tcBorders>
          </w:tcPr>
          <w:p w14:paraId="7E3AEE82" w14:textId="77777777" w:rsidR="00932C3D" w:rsidRPr="00E44847" w:rsidRDefault="00C510C9" w:rsidP="00E74BAB">
            <w:pPr>
              <w:ind w:right="283"/>
              <w:jc w:val="right"/>
              <w:rPr>
                <w:rFonts w:cs="Arial"/>
                <w:lang w:val="en-AU" w:eastAsia="en-GB"/>
              </w:rPr>
            </w:pPr>
            <w:r w:rsidRPr="00E44847">
              <w:rPr>
                <w:rFonts w:cs="Arial"/>
                <w:lang w:val="en-AU" w:eastAsia="en-GB"/>
              </w:rPr>
              <w:t>1</w:t>
            </w:r>
            <w:r w:rsidR="00E9606B" w:rsidRPr="00E44847">
              <w:rPr>
                <w:rFonts w:cs="Arial"/>
                <w:lang w:val="en-AU" w:eastAsia="en-GB"/>
              </w:rPr>
              <w:t>2</w:t>
            </w:r>
            <w:r w:rsidRPr="00E44847">
              <w:rPr>
                <w:rFonts w:cs="Arial"/>
                <w:lang w:val="en-AU" w:eastAsia="en-GB"/>
              </w:rPr>
              <w:t>,</w:t>
            </w:r>
            <w:r w:rsidR="00FC70FA" w:rsidRPr="00E44847">
              <w:rPr>
                <w:rFonts w:cs="Arial"/>
                <w:lang w:val="en-AU" w:eastAsia="en-GB"/>
              </w:rPr>
              <w:t>955</w:t>
            </w:r>
          </w:p>
        </w:tc>
        <w:tc>
          <w:tcPr>
            <w:tcW w:w="1559" w:type="dxa"/>
            <w:gridSpan w:val="2"/>
            <w:tcBorders>
              <w:top w:val="nil"/>
              <w:left w:val="nil"/>
              <w:bottom w:val="nil"/>
              <w:right w:val="nil"/>
            </w:tcBorders>
          </w:tcPr>
          <w:p w14:paraId="35DCE37E" w14:textId="77777777" w:rsidR="00932C3D" w:rsidRPr="00E44847" w:rsidRDefault="00FC70FA" w:rsidP="00E74BAB">
            <w:pPr>
              <w:ind w:right="283"/>
              <w:jc w:val="right"/>
              <w:rPr>
                <w:rFonts w:cs="Arial"/>
                <w:lang w:val="en-AU" w:eastAsia="en-GB"/>
              </w:rPr>
            </w:pPr>
            <w:r w:rsidRPr="00E44847">
              <w:rPr>
                <w:rFonts w:cs="Arial"/>
                <w:spacing w:val="-2"/>
              </w:rPr>
              <w:t>37,851</w:t>
            </w:r>
          </w:p>
        </w:tc>
        <w:tc>
          <w:tcPr>
            <w:tcW w:w="1560" w:type="dxa"/>
            <w:gridSpan w:val="2"/>
            <w:tcBorders>
              <w:top w:val="nil"/>
              <w:left w:val="nil"/>
              <w:bottom w:val="nil"/>
              <w:right w:val="nil"/>
            </w:tcBorders>
          </w:tcPr>
          <w:p w14:paraId="761032C2" w14:textId="77777777" w:rsidR="00932C3D" w:rsidRPr="00E44847" w:rsidRDefault="00FC70FA" w:rsidP="00E74BAB">
            <w:pPr>
              <w:ind w:right="283"/>
              <w:jc w:val="right"/>
              <w:rPr>
                <w:rFonts w:cs="Arial"/>
                <w:lang w:val="en-AU" w:eastAsia="en-GB"/>
              </w:rPr>
            </w:pPr>
            <w:r w:rsidRPr="00E44847">
              <w:rPr>
                <w:rFonts w:cs="Arial"/>
                <w:lang w:val="en-AU" w:eastAsia="en-GB"/>
              </w:rPr>
              <w:t>50</w:t>
            </w:r>
            <w:r w:rsidR="00D30CEC" w:rsidRPr="00E44847">
              <w:rPr>
                <w:rFonts w:cs="Arial"/>
                <w:lang w:val="en-AU" w:eastAsia="en-GB"/>
              </w:rPr>
              <w:t>,</w:t>
            </w:r>
            <w:r w:rsidRPr="00E44847">
              <w:rPr>
                <w:rFonts w:cs="Arial"/>
                <w:lang w:val="en-AU" w:eastAsia="en-GB"/>
              </w:rPr>
              <w:t>806</w:t>
            </w:r>
          </w:p>
        </w:tc>
      </w:tr>
      <w:tr w:rsidR="00932C3D" w:rsidRPr="00C328EF" w14:paraId="12822122" w14:textId="77777777" w:rsidTr="000C5196">
        <w:trPr>
          <w:cantSplit/>
          <w:trHeight w:val="145"/>
        </w:trPr>
        <w:tc>
          <w:tcPr>
            <w:tcW w:w="4278" w:type="dxa"/>
            <w:tcBorders>
              <w:top w:val="nil"/>
              <w:left w:val="nil"/>
              <w:bottom w:val="nil"/>
              <w:right w:val="nil"/>
            </w:tcBorders>
          </w:tcPr>
          <w:p w14:paraId="2E9A06ED" w14:textId="77777777" w:rsidR="00932C3D" w:rsidRPr="00C328EF" w:rsidRDefault="00932C3D" w:rsidP="00E74BAB">
            <w:pPr>
              <w:rPr>
                <w:rFonts w:cs="Arial"/>
                <w:highlight w:val="yellow"/>
                <w:lang w:val="en-AU" w:eastAsia="en-GB"/>
              </w:rPr>
            </w:pPr>
          </w:p>
        </w:tc>
        <w:tc>
          <w:tcPr>
            <w:tcW w:w="684" w:type="dxa"/>
            <w:gridSpan w:val="2"/>
            <w:tcBorders>
              <w:top w:val="nil"/>
              <w:left w:val="nil"/>
              <w:bottom w:val="nil"/>
              <w:right w:val="nil"/>
            </w:tcBorders>
          </w:tcPr>
          <w:p w14:paraId="66088112" w14:textId="77777777" w:rsidR="00932C3D" w:rsidRPr="00C328EF" w:rsidRDefault="00932C3D" w:rsidP="00932C3D">
            <w:pPr>
              <w:ind w:right="283"/>
              <w:jc w:val="right"/>
              <w:rPr>
                <w:rFonts w:cs="Arial"/>
                <w:highlight w:val="yellow"/>
                <w:lang w:val="en-AU" w:eastAsia="en-GB"/>
              </w:rPr>
            </w:pPr>
          </w:p>
        </w:tc>
        <w:tc>
          <w:tcPr>
            <w:tcW w:w="2126" w:type="dxa"/>
            <w:gridSpan w:val="4"/>
            <w:tcBorders>
              <w:top w:val="nil"/>
              <w:left w:val="nil"/>
              <w:bottom w:val="nil"/>
              <w:right w:val="nil"/>
            </w:tcBorders>
            <w:vAlign w:val="bottom"/>
          </w:tcPr>
          <w:p w14:paraId="6F4C7A9C" w14:textId="77777777" w:rsidR="00932C3D" w:rsidRPr="00E44847" w:rsidRDefault="00932C3D" w:rsidP="00E74BAB">
            <w:pPr>
              <w:ind w:right="283"/>
              <w:jc w:val="right"/>
              <w:rPr>
                <w:rFonts w:cs="Arial"/>
                <w:lang w:val="en-AU" w:eastAsia="en-GB"/>
              </w:rPr>
            </w:pPr>
            <w:r w:rsidRPr="00E44847">
              <w:rPr>
                <w:rFonts w:cs="Arial"/>
                <w:lang w:val="en-AU" w:eastAsia="en-GB"/>
              </w:rPr>
              <w:t>───────</w:t>
            </w:r>
          </w:p>
        </w:tc>
        <w:tc>
          <w:tcPr>
            <w:tcW w:w="1559" w:type="dxa"/>
            <w:gridSpan w:val="2"/>
            <w:tcBorders>
              <w:top w:val="nil"/>
              <w:left w:val="nil"/>
              <w:bottom w:val="nil"/>
              <w:right w:val="nil"/>
            </w:tcBorders>
            <w:vAlign w:val="bottom"/>
          </w:tcPr>
          <w:p w14:paraId="6408A22A" w14:textId="77777777" w:rsidR="00932C3D" w:rsidRPr="00E44847" w:rsidRDefault="00932C3D" w:rsidP="00E74BAB">
            <w:pPr>
              <w:ind w:right="283"/>
              <w:jc w:val="right"/>
              <w:rPr>
                <w:rFonts w:cs="Arial"/>
                <w:lang w:val="en-AU" w:eastAsia="en-GB"/>
              </w:rPr>
            </w:pPr>
            <w:r w:rsidRPr="00E44847">
              <w:rPr>
                <w:rFonts w:cs="Arial"/>
                <w:lang w:val="en-AU" w:eastAsia="en-GB"/>
              </w:rPr>
              <w:t>───────</w:t>
            </w:r>
          </w:p>
        </w:tc>
        <w:tc>
          <w:tcPr>
            <w:tcW w:w="1560" w:type="dxa"/>
            <w:gridSpan w:val="2"/>
            <w:tcBorders>
              <w:top w:val="nil"/>
              <w:left w:val="nil"/>
              <w:bottom w:val="nil"/>
              <w:right w:val="nil"/>
            </w:tcBorders>
            <w:vAlign w:val="bottom"/>
          </w:tcPr>
          <w:p w14:paraId="3A4209E3" w14:textId="77777777" w:rsidR="00932C3D" w:rsidRPr="00E44847" w:rsidRDefault="00932C3D" w:rsidP="00E74BAB">
            <w:pPr>
              <w:ind w:right="283"/>
              <w:jc w:val="right"/>
              <w:rPr>
                <w:rFonts w:cs="Arial"/>
                <w:lang w:val="en-AU" w:eastAsia="en-GB"/>
              </w:rPr>
            </w:pPr>
            <w:r w:rsidRPr="00E44847">
              <w:rPr>
                <w:rFonts w:cs="Arial"/>
                <w:lang w:val="en-AU" w:eastAsia="en-GB"/>
              </w:rPr>
              <w:t>──────</w:t>
            </w:r>
          </w:p>
        </w:tc>
      </w:tr>
      <w:tr w:rsidR="00932C3D" w:rsidRPr="00C328EF" w14:paraId="45641662" w14:textId="77777777" w:rsidTr="000C5196">
        <w:trPr>
          <w:cantSplit/>
          <w:trHeight w:val="238"/>
        </w:trPr>
        <w:tc>
          <w:tcPr>
            <w:tcW w:w="4278" w:type="dxa"/>
            <w:tcBorders>
              <w:top w:val="nil"/>
              <w:left w:val="nil"/>
              <w:bottom w:val="nil"/>
              <w:right w:val="nil"/>
            </w:tcBorders>
          </w:tcPr>
          <w:p w14:paraId="253DDCC3" w14:textId="77777777" w:rsidR="00932C3D" w:rsidRPr="00C328EF" w:rsidRDefault="00932C3D" w:rsidP="00E74BAB">
            <w:pPr>
              <w:rPr>
                <w:rFonts w:cs="Arial"/>
                <w:highlight w:val="yellow"/>
                <w:lang w:val="en-AU" w:eastAsia="en-GB"/>
              </w:rPr>
            </w:pPr>
            <w:r w:rsidRPr="001265E9">
              <w:rPr>
                <w:rFonts w:cs="Arial"/>
                <w:lang w:val="en-AU" w:eastAsia="en-GB"/>
              </w:rPr>
              <w:t xml:space="preserve">Total </w:t>
            </w:r>
            <w:r w:rsidRPr="009C65B1">
              <w:rPr>
                <w:rFonts w:cs="Arial"/>
                <w:lang w:val="en-AU" w:eastAsia="en-GB"/>
              </w:rPr>
              <w:t>expected outflows</w:t>
            </w:r>
          </w:p>
        </w:tc>
        <w:tc>
          <w:tcPr>
            <w:tcW w:w="684" w:type="dxa"/>
            <w:gridSpan w:val="2"/>
            <w:tcBorders>
              <w:top w:val="nil"/>
              <w:left w:val="nil"/>
              <w:bottom w:val="nil"/>
              <w:right w:val="nil"/>
            </w:tcBorders>
          </w:tcPr>
          <w:p w14:paraId="514ADC49" w14:textId="77777777" w:rsidR="00932C3D" w:rsidRPr="00C328EF" w:rsidRDefault="00932C3D" w:rsidP="00932C3D">
            <w:pPr>
              <w:ind w:right="283"/>
              <w:jc w:val="right"/>
              <w:rPr>
                <w:rFonts w:cs="Arial"/>
                <w:highlight w:val="yellow"/>
                <w:lang w:val="en-AU" w:eastAsia="en-GB"/>
              </w:rPr>
            </w:pPr>
          </w:p>
        </w:tc>
        <w:tc>
          <w:tcPr>
            <w:tcW w:w="2126" w:type="dxa"/>
            <w:gridSpan w:val="4"/>
            <w:tcBorders>
              <w:top w:val="nil"/>
              <w:left w:val="nil"/>
              <w:bottom w:val="nil"/>
              <w:right w:val="nil"/>
            </w:tcBorders>
          </w:tcPr>
          <w:p w14:paraId="3FF1C63E" w14:textId="77777777" w:rsidR="00932C3D" w:rsidRPr="00E44847" w:rsidRDefault="00E9606B" w:rsidP="00E14507">
            <w:pPr>
              <w:ind w:right="283"/>
              <w:jc w:val="right"/>
              <w:rPr>
                <w:rFonts w:cs="Arial"/>
                <w:lang w:val="en-AU" w:eastAsia="en-GB"/>
              </w:rPr>
            </w:pPr>
            <w:r w:rsidRPr="00E44847">
              <w:rPr>
                <w:rFonts w:cs="Arial"/>
                <w:spacing w:val="-2"/>
              </w:rPr>
              <w:t>38,4</w:t>
            </w:r>
            <w:r w:rsidR="00E44847" w:rsidRPr="00E44847">
              <w:rPr>
                <w:rFonts w:cs="Arial"/>
                <w:spacing w:val="-2"/>
              </w:rPr>
              <w:t>57</w:t>
            </w:r>
          </w:p>
        </w:tc>
        <w:tc>
          <w:tcPr>
            <w:tcW w:w="1559" w:type="dxa"/>
            <w:gridSpan w:val="2"/>
            <w:tcBorders>
              <w:top w:val="nil"/>
              <w:left w:val="nil"/>
              <w:bottom w:val="nil"/>
              <w:right w:val="nil"/>
            </w:tcBorders>
          </w:tcPr>
          <w:p w14:paraId="394F1DAD" w14:textId="77777777" w:rsidR="00932C3D" w:rsidRPr="00E44847" w:rsidRDefault="00FC70FA" w:rsidP="00AA4543">
            <w:pPr>
              <w:ind w:right="283"/>
              <w:jc w:val="right"/>
              <w:rPr>
                <w:rFonts w:cs="Arial"/>
                <w:lang w:val="en-AU" w:eastAsia="en-GB"/>
              </w:rPr>
            </w:pPr>
            <w:r w:rsidRPr="00E44847">
              <w:rPr>
                <w:rFonts w:cs="Arial"/>
                <w:spacing w:val="-2"/>
              </w:rPr>
              <w:t>37</w:t>
            </w:r>
            <w:r w:rsidR="00E9606B" w:rsidRPr="00E44847">
              <w:rPr>
                <w:rFonts w:cs="Arial"/>
                <w:spacing w:val="-2"/>
              </w:rPr>
              <w:t>,</w:t>
            </w:r>
            <w:r w:rsidRPr="00E44847">
              <w:rPr>
                <w:rFonts w:cs="Arial"/>
                <w:spacing w:val="-2"/>
              </w:rPr>
              <w:t>851</w:t>
            </w:r>
          </w:p>
        </w:tc>
        <w:tc>
          <w:tcPr>
            <w:tcW w:w="1560" w:type="dxa"/>
            <w:gridSpan w:val="2"/>
            <w:tcBorders>
              <w:top w:val="nil"/>
              <w:left w:val="nil"/>
              <w:bottom w:val="nil"/>
              <w:right w:val="nil"/>
            </w:tcBorders>
          </w:tcPr>
          <w:p w14:paraId="2B3257EE" w14:textId="77777777" w:rsidR="00932C3D" w:rsidRPr="00E44847" w:rsidRDefault="00E44847" w:rsidP="00E14507">
            <w:pPr>
              <w:ind w:right="283"/>
              <w:jc w:val="right"/>
              <w:rPr>
                <w:rFonts w:cs="Arial"/>
                <w:lang w:val="en-AU" w:eastAsia="en-GB"/>
              </w:rPr>
            </w:pPr>
            <w:r w:rsidRPr="00E44847">
              <w:rPr>
                <w:rFonts w:cs="Arial"/>
                <w:lang w:val="en-AU" w:eastAsia="en-GB"/>
              </w:rPr>
              <w:t>76</w:t>
            </w:r>
            <w:r w:rsidR="00D30CEC" w:rsidRPr="00E44847">
              <w:rPr>
                <w:rFonts w:cs="Arial"/>
                <w:lang w:val="en-AU" w:eastAsia="en-GB"/>
              </w:rPr>
              <w:t>,</w:t>
            </w:r>
            <w:r w:rsidRPr="00E44847">
              <w:rPr>
                <w:rFonts w:cs="Arial"/>
                <w:lang w:val="en-AU" w:eastAsia="en-GB"/>
              </w:rPr>
              <w:t>308</w:t>
            </w:r>
          </w:p>
        </w:tc>
      </w:tr>
      <w:tr w:rsidR="00932C3D" w:rsidRPr="00C328EF" w14:paraId="34645463" w14:textId="77777777" w:rsidTr="000C5196">
        <w:trPr>
          <w:cantSplit/>
          <w:trHeight w:val="250"/>
        </w:trPr>
        <w:tc>
          <w:tcPr>
            <w:tcW w:w="4278" w:type="dxa"/>
            <w:tcBorders>
              <w:top w:val="nil"/>
              <w:left w:val="nil"/>
              <w:bottom w:val="nil"/>
              <w:right w:val="nil"/>
            </w:tcBorders>
          </w:tcPr>
          <w:p w14:paraId="2BBB8E09" w14:textId="77777777" w:rsidR="00932C3D" w:rsidRPr="00C328EF" w:rsidRDefault="00932C3D" w:rsidP="00E74BAB">
            <w:pPr>
              <w:rPr>
                <w:rFonts w:cs="Arial"/>
                <w:highlight w:val="yellow"/>
                <w:lang w:val="en-AU" w:eastAsia="en-GB"/>
              </w:rPr>
            </w:pPr>
          </w:p>
        </w:tc>
        <w:tc>
          <w:tcPr>
            <w:tcW w:w="684" w:type="dxa"/>
            <w:gridSpan w:val="2"/>
            <w:tcBorders>
              <w:top w:val="nil"/>
              <w:left w:val="nil"/>
              <w:bottom w:val="nil"/>
              <w:right w:val="nil"/>
            </w:tcBorders>
          </w:tcPr>
          <w:p w14:paraId="5544C057" w14:textId="77777777" w:rsidR="00932C3D" w:rsidRPr="00C328EF" w:rsidRDefault="00932C3D" w:rsidP="00932C3D">
            <w:pPr>
              <w:ind w:right="283"/>
              <w:jc w:val="right"/>
              <w:rPr>
                <w:rFonts w:cs="Arial"/>
                <w:highlight w:val="yellow"/>
                <w:lang w:val="en-AU" w:eastAsia="en-GB"/>
              </w:rPr>
            </w:pPr>
          </w:p>
        </w:tc>
        <w:tc>
          <w:tcPr>
            <w:tcW w:w="2126" w:type="dxa"/>
            <w:gridSpan w:val="4"/>
            <w:tcBorders>
              <w:top w:val="nil"/>
              <w:left w:val="nil"/>
              <w:bottom w:val="nil"/>
              <w:right w:val="nil"/>
            </w:tcBorders>
          </w:tcPr>
          <w:p w14:paraId="4993B7F9" w14:textId="77777777" w:rsidR="00932C3D" w:rsidRPr="00E44847" w:rsidRDefault="00932C3D" w:rsidP="00E74BAB">
            <w:pPr>
              <w:ind w:right="283"/>
              <w:jc w:val="right"/>
              <w:rPr>
                <w:rFonts w:cs="Arial"/>
                <w:lang w:val="en-AU" w:eastAsia="en-GB"/>
              </w:rPr>
            </w:pPr>
            <w:r w:rsidRPr="00E44847">
              <w:rPr>
                <w:rFonts w:cs="Arial"/>
                <w:lang w:val="en-AU" w:eastAsia="en-GB"/>
              </w:rPr>
              <w:t>═══════</w:t>
            </w:r>
          </w:p>
        </w:tc>
        <w:tc>
          <w:tcPr>
            <w:tcW w:w="1559" w:type="dxa"/>
            <w:gridSpan w:val="2"/>
            <w:tcBorders>
              <w:top w:val="nil"/>
              <w:left w:val="nil"/>
              <w:bottom w:val="nil"/>
              <w:right w:val="nil"/>
            </w:tcBorders>
          </w:tcPr>
          <w:p w14:paraId="4305BAA7" w14:textId="77777777" w:rsidR="00932C3D" w:rsidRPr="00E44847" w:rsidRDefault="00932C3D" w:rsidP="00E74BAB">
            <w:pPr>
              <w:ind w:right="283"/>
              <w:jc w:val="right"/>
              <w:rPr>
                <w:rFonts w:cs="Arial"/>
                <w:lang w:val="en-AU" w:eastAsia="en-GB"/>
              </w:rPr>
            </w:pPr>
            <w:r w:rsidRPr="00E44847">
              <w:rPr>
                <w:rFonts w:cs="Arial"/>
                <w:lang w:val="en-AU" w:eastAsia="en-GB"/>
              </w:rPr>
              <w:t>═══════</w:t>
            </w:r>
          </w:p>
        </w:tc>
        <w:tc>
          <w:tcPr>
            <w:tcW w:w="1560" w:type="dxa"/>
            <w:gridSpan w:val="2"/>
            <w:tcBorders>
              <w:top w:val="nil"/>
              <w:left w:val="nil"/>
              <w:bottom w:val="nil"/>
              <w:right w:val="nil"/>
            </w:tcBorders>
          </w:tcPr>
          <w:p w14:paraId="4DD6616C" w14:textId="77777777" w:rsidR="00932C3D" w:rsidRPr="00E44847" w:rsidRDefault="00932C3D" w:rsidP="00E74BAB">
            <w:pPr>
              <w:ind w:right="283"/>
              <w:jc w:val="right"/>
              <w:rPr>
                <w:rFonts w:cs="Arial"/>
                <w:lang w:val="en-AU" w:eastAsia="en-GB"/>
              </w:rPr>
            </w:pPr>
            <w:r w:rsidRPr="00E44847">
              <w:rPr>
                <w:rFonts w:cs="Arial"/>
                <w:lang w:val="en-AU" w:eastAsia="en-GB"/>
              </w:rPr>
              <w:t>══════</w:t>
            </w:r>
          </w:p>
        </w:tc>
      </w:tr>
      <w:tr w:rsidR="00932C3D" w:rsidRPr="00C328EF" w14:paraId="112E177F" w14:textId="77777777" w:rsidTr="000C5196">
        <w:trPr>
          <w:cantSplit/>
          <w:trHeight w:val="238"/>
        </w:trPr>
        <w:tc>
          <w:tcPr>
            <w:tcW w:w="4278" w:type="dxa"/>
            <w:tcBorders>
              <w:top w:val="nil"/>
              <w:left w:val="nil"/>
              <w:bottom w:val="nil"/>
              <w:right w:val="nil"/>
            </w:tcBorders>
          </w:tcPr>
          <w:p w14:paraId="08061FE0" w14:textId="77777777" w:rsidR="00932C3D" w:rsidRPr="001265E9" w:rsidRDefault="00932C3D" w:rsidP="00E74BAB">
            <w:pPr>
              <w:rPr>
                <w:b/>
                <w:lang w:val="en-AU" w:eastAsia="en-GB"/>
              </w:rPr>
            </w:pPr>
            <w:r w:rsidRPr="001265E9">
              <w:rPr>
                <w:b/>
                <w:lang w:val="en-AU" w:eastAsia="en-GB"/>
              </w:rPr>
              <w:t>Financial assets — cash flows realisable</w:t>
            </w:r>
          </w:p>
        </w:tc>
        <w:tc>
          <w:tcPr>
            <w:tcW w:w="684" w:type="dxa"/>
            <w:gridSpan w:val="2"/>
            <w:tcBorders>
              <w:top w:val="nil"/>
              <w:left w:val="nil"/>
              <w:bottom w:val="nil"/>
              <w:right w:val="nil"/>
            </w:tcBorders>
          </w:tcPr>
          <w:p w14:paraId="6E0199E8" w14:textId="77777777" w:rsidR="00932C3D" w:rsidRPr="00C328EF" w:rsidRDefault="00932C3D" w:rsidP="00932C3D">
            <w:pPr>
              <w:ind w:right="283"/>
              <w:jc w:val="right"/>
              <w:rPr>
                <w:rFonts w:cs="Arial"/>
                <w:highlight w:val="yellow"/>
                <w:lang w:val="en-AU" w:eastAsia="en-GB"/>
              </w:rPr>
            </w:pPr>
          </w:p>
        </w:tc>
        <w:tc>
          <w:tcPr>
            <w:tcW w:w="2126" w:type="dxa"/>
            <w:gridSpan w:val="4"/>
            <w:tcBorders>
              <w:top w:val="nil"/>
              <w:left w:val="nil"/>
              <w:bottom w:val="nil"/>
              <w:right w:val="nil"/>
            </w:tcBorders>
          </w:tcPr>
          <w:p w14:paraId="4E7A48B3" w14:textId="77777777" w:rsidR="00932C3D" w:rsidRPr="00C328EF" w:rsidRDefault="00932C3D" w:rsidP="00E74BAB">
            <w:pPr>
              <w:ind w:right="283"/>
              <w:jc w:val="right"/>
              <w:rPr>
                <w:rFonts w:cs="Arial"/>
                <w:highlight w:val="yellow"/>
                <w:lang w:val="en-AU" w:eastAsia="en-GB"/>
              </w:rPr>
            </w:pPr>
          </w:p>
        </w:tc>
        <w:tc>
          <w:tcPr>
            <w:tcW w:w="1559" w:type="dxa"/>
            <w:gridSpan w:val="2"/>
            <w:tcBorders>
              <w:top w:val="nil"/>
              <w:left w:val="nil"/>
              <w:bottom w:val="nil"/>
              <w:right w:val="nil"/>
            </w:tcBorders>
          </w:tcPr>
          <w:p w14:paraId="4443D8C3" w14:textId="77777777" w:rsidR="00932C3D" w:rsidRPr="00C328EF" w:rsidRDefault="00932C3D" w:rsidP="00E74BAB">
            <w:pPr>
              <w:ind w:right="283"/>
              <w:jc w:val="right"/>
              <w:rPr>
                <w:rFonts w:cs="Arial"/>
                <w:highlight w:val="yellow"/>
                <w:lang w:val="en-AU" w:eastAsia="en-GB"/>
              </w:rPr>
            </w:pPr>
          </w:p>
        </w:tc>
        <w:tc>
          <w:tcPr>
            <w:tcW w:w="1560" w:type="dxa"/>
            <w:gridSpan w:val="2"/>
            <w:tcBorders>
              <w:top w:val="nil"/>
              <w:left w:val="nil"/>
              <w:bottom w:val="nil"/>
              <w:right w:val="nil"/>
            </w:tcBorders>
          </w:tcPr>
          <w:p w14:paraId="79DF9398" w14:textId="77777777" w:rsidR="00932C3D" w:rsidRPr="00C328EF" w:rsidRDefault="00932C3D" w:rsidP="00E74BAB">
            <w:pPr>
              <w:ind w:right="283"/>
              <w:jc w:val="right"/>
              <w:rPr>
                <w:rFonts w:cs="Arial"/>
                <w:highlight w:val="yellow"/>
                <w:lang w:val="en-AU" w:eastAsia="en-GB"/>
              </w:rPr>
            </w:pPr>
          </w:p>
        </w:tc>
      </w:tr>
      <w:tr w:rsidR="00932C3D" w:rsidRPr="00C328EF" w14:paraId="36C1E483" w14:textId="77777777" w:rsidTr="000C5196">
        <w:trPr>
          <w:cantSplit/>
          <w:trHeight w:val="238"/>
        </w:trPr>
        <w:tc>
          <w:tcPr>
            <w:tcW w:w="4278" w:type="dxa"/>
            <w:tcBorders>
              <w:top w:val="nil"/>
              <w:left w:val="nil"/>
              <w:bottom w:val="nil"/>
              <w:right w:val="nil"/>
            </w:tcBorders>
          </w:tcPr>
          <w:p w14:paraId="30481E8E" w14:textId="77777777" w:rsidR="00932C3D" w:rsidRPr="001265E9" w:rsidRDefault="00932C3D" w:rsidP="00932C3D">
            <w:pPr>
              <w:rPr>
                <w:rFonts w:cs="Arial"/>
                <w:lang w:val="en-AU" w:eastAsia="en-GB"/>
              </w:rPr>
            </w:pPr>
            <w:r w:rsidRPr="001265E9">
              <w:rPr>
                <w:rFonts w:cs="Arial"/>
                <w:lang w:val="en-AU" w:eastAsia="en-GB"/>
              </w:rPr>
              <w:t>Cash and cash equivalents</w:t>
            </w:r>
          </w:p>
        </w:tc>
        <w:tc>
          <w:tcPr>
            <w:tcW w:w="684" w:type="dxa"/>
            <w:gridSpan w:val="2"/>
            <w:tcBorders>
              <w:top w:val="nil"/>
              <w:left w:val="nil"/>
              <w:bottom w:val="nil"/>
              <w:right w:val="nil"/>
            </w:tcBorders>
          </w:tcPr>
          <w:p w14:paraId="59C908FF" w14:textId="77777777" w:rsidR="00932C3D" w:rsidRPr="00F0414A" w:rsidRDefault="00932C3D" w:rsidP="00932C3D">
            <w:pPr>
              <w:ind w:right="283"/>
              <w:jc w:val="right"/>
              <w:rPr>
                <w:rFonts w:cs="Arial"/>
                <w:lang w:val="en-AU" w:eastAsia="en-GB"/>
              </w:rPr>
            </w:pPr>
            <w:r w:rsidRPr="00F0414A">
              <w:rPr>
                <w:rFonts w:cs="Arial"/>
                <w:lang w:val="en-AU" w:eastAsia="en-GB"/>
              </w:rPr>
              <w:t>1</w:t>
            </w:r>
            <w:r w:rsidR="00F0414A" w:rsidRPr="00F0414A">
              <w:rPr>
                <w:rFonts w:cs="Arial"/>
                <w:lang w:val="en-AU" w:eastAsia="en-GB"/>
              </w:rPr>
              <w:t>3</w:t>
            </w:r>
          </w:p>
        </w:tc>
        <w:tc>
          <w:tcPr>
            <w:tcW w:w="2126" w:type="dxa"/>
            <w:gridSpan w:val="4"/>
            <w:tcBorders>
              <w:top w:val="nil"/>
              <w:left w:val="nil"/>
              <w:bottom w:val="nil"/>
              <w:right w:val="nil"/>
            </w:tcBorders>
          </w:tcPr>
          <w:p w14:paraId="106B0F8F" w14:textId="77777777" w:rsidR="00932C3D" w:rsidRPr="00FC70FA" w:rsidRDefault="00FC70FA" w:rsidP="00E74BAB">
            <w:pPr>
              <w:ind w:right="283"/>
              <w:jc w:val="right"/>
              <w:rPr>
                <w:rFonts w:cs="Arial"/>
                <w:lang w:val="en-AU" w:eastAsia="en-GB"/>
              </w:rPr>
            </w:pPr>
            <w:r w:rsidRPr="00FC70FA">
              <w:rPr>
                <w:rFonts w:cs="Arial"/>
                <w:lang w:val="en-AU" w:eastAsia="en-GB"/>
              </w:rPr>
              <w:t>34,200</w:t>
            </w:r>
          </w:p>
        </w:tc>
        <w:tc>
          <w:tcPr>
            <w:tcW w:w="1559" w:type="dxa"/>
            <w:gridSpan w:val="2"/>
            <w:tcBorders>
              <w:top w:val="nil"/>
              <w:left w:val="nil"/>
              <w:bottom w:val="nil"/>
              <w:right w:val="nil"/>
            </w:tcBorders>
          </w:tcPr>
          <w:p w14:paraId="76408A28" w14:textId="77777777" w:rsidR="00932C3D" w:rsidRPr="001265E9" w:rsidRDefault="00C510C9" w:rsidP="00E74BAB">
            <w:pPr>
              <w:ind w:right="283"/>
              <w:jc w:val="right"/>
              <w:rPr>
                <w:rFonts w:cs="Arial"/>
                <w:lang w:val="en-AU" w:eastAsia="en-GB"/>
              </w:rPr>
            </w:pPr>
            <w:r w:rsidRPr="001265E9">
              <w:rPr>
                <w:rFonts w:cs="Arial"/>
                <w:lang w:val="en-AU" w:eastAsia="en-GB"/>
              </w:rPr>
              <w:t>-</w:t>
            </w:r>
          </w:p>
        </w:tc>
        <w:tc>
          <w:tcPr>
            <w:tcW w:w="1560" w:type="dxa"/>
            <w:gridSpan w:val="2"/>
            <w:tcBorders>
              <w:top w:val="nil"/>
              <w:left w:val="nil"/>
              <w:bottom w:val="nil"/>
              <w:right w:val="nil"/>
            </w:tcBorders>
          </w:tcPr>
          <w:p w14:paraId="25011CFD" w14:textId="77777777" w:rsidR="00932C3D" w:rsidRPr="00FC70FA" w:rsidRDefault="00FC70FA" w:rsidP="00E74BAB">
            <w:pPr>
              <w:ind w:right="283"/>
              <w:jc w:val="right"/>
              <w:rPr>
                <w:rFonts w:cs="Arial"/>
                <w:lang w:val="en-AU" w:eastAsia="en-GB"/>
              </w:rPr>
            </w:pPr>
            <w:r w:rsidRPr="00FC70FA">
              <w:rPr>
                <w:rFonts w:cs="Arial"/>
                <w:lang w:val="en-AU" w:eastAsia="en-GB"/>
              </w:rPr>
              <w:t>34,200</w:t>
            </w:r>
          </w:p>
        </w:tc>
      </w:tr>
      <w:tr w:rsidR="00932C3D" w:rsidRPr="00C328EF" w14:paraId="0826DAD5" w14:textId="77777777" w:rsidTr="000C5196">
        <w:trPr>
          <w:cantSplit/>
          <w:trHeight w:val="238"/>
        </w:trPr>
        <w:tc>
          <w:tcPr>
            <w:tcW w:w="4278" w:type="dxa"/>
            <w:tcBorders>
              <w:top w:val="nil"/>
              <w:left w:val="nil"/>
              <w:bottom w:val="nil"/>
              <w:right w:val="nil"/>
            </w:tcBorders>
          </w:tcPr>
          <w:p w14:paraId="47683DD2" w14:textId="77777777" w:rsidR="00932C3D" w:rsidRPr="001265E9" w:rsidRDefault="00932C3D" w:rsidP="00932C3D">
            <w:pPr>
              <w:rPr>
                <w:rFonts w:cs="Arial"/>
                <w:lang w:val="en-AU" w:eastAsia="en-GB"/>
              </w:rPr>
            </w:pPr>
            <w:r w:rsidRPr="001265E9">
              <w:rPr>
                <w:rFonts w:cs="Arial"/>
                <w:lang w:val="en-AU" w:eastAsia="en-GB"/>
              </w:rPr>
              <w:t>Trade and other receivables</w:t>
            </w:r>
          </w:p>
        </w:tc>
        <w:tc>
          <w:tcPr>
            <w:tcW w:w="684" w:type="dxa"/>
            <w:gridSpan w:val="2"/>
            <w:tcBorders>
              <w:top w:val="nil"/>
              <w:left w:val="nil"/>
              <w:bottom w:val="nil"/>
              <w:right w:val="nil"/>
            </w:tcBorders>
          </w:tcPr>
          <w:p w14:paraId="05187F07" w14:textId="77777777" w:rsidR="00932C3D" w:rsidRPr="00F0414A" w:rsidRDefault="00932C3D" w:rsidP="00932C3D">
            <w:pPr>
              <w:ind w:right="283"/>
              <w:jc w:val="right"/>
              <w:rPr>
                <w:rFonts w:cs="Arial"/>
                <w:lang w:val="en-AU" w:eastAsia="en-GB"/>
              </w:rPr>
            </w:pPr>
            <w:r w:rsidRPr="00F0414A">
              <w:rPr>
                <w:rFonts w:cs="Arial"/>
                <w:lang w:val="en-AU" w:eastAsia="en-GB"/>
              </w:rPr>
              <w:t>1</w:t>
            </w:r>
            <w:r w:rsidR="00F0414A" w:rsidRPr="00F0414A">
              <w:rPr>
                <w:rFonts w:cs="Arial"/>
                <w:lang w:val="en-AU" w:eastAsia="en-GB"/>
              </w:rPr>
              <w:t>2</w:t>
            </w:r>
          </w:p>
        </w:tc>
        <w:tc>
          <w:tcPr>
            <w:tcW w:w="2126" w:type="dxa"/>
            <w:gridSpan w:val="4"/>
            <w:tcBorders>
              <w:top w:val="nil"/>
              <w:left w:val="nil"/>
              <w:bottom w:val="nil"/>
              <w:right w:val="nil"/>
            </w:tcBorders>
          </w:tcPr>
          <w:p w14:paraId="17CDEBF0" w14:textId="77777777" w:rsidR="00932C3D" w:rsidRPr="00FC70FA" w:rsidRDefault="00FC70FA" w:rsidP="00991090">
            <w:pPr>
              <w:ind w:right="283"/>
              <w:jc w:val="right"/>
              <w:rPr>
                <w:rFonts w:cs="Arial"/>
                <w:lang w:val="en-AU" w:eastAsia="en-GB"/>
              </w:rPr>
            </w:pPr>
            <w:r w:rsidRPr="00FC70FA">
              <w:rPr>
                <w:rFonts w:cs="Arial"/>
                <w:lang w:val="en-AU" w:eastAsia="en-GB"/>
              </w:rPr>
              <w:t>6,456</w:t>
            </w:r>
          </w:p>
        </w:tc>
        <w:tc>
          <w:tcPr>
            <w:tcW w:w="1559" w:type="dxa"/>
            <w:gridSpan w:val="2"/>
            <w:tcBorders>
              <w:top w:val="nil"/>
              <w:left w:val="nil"/>
              <w:bottom w:val="nil"/>
              <w:right w:val="nil"/>
            </w:tcBorders>
          </w:tcPr>
          <w:p w14:paraId="51E11919" w14:textId="77777777" w:rsidR="00932C3D" w:rsidRPr="00FC70FA" w:rsidRDefault="00970D5D" w:rsidP="005C33CD">
            <w:pPr>
              <w:ind w:right="283"/>
              <w:jc w:val="right"/>
              <w:rPr>
                <w:rFonts w:cs="Arial"/>
                <w:lang w:val="en-AU" w:eastAsia="en-GB"/>
              </w:rPr>
            </w:pPr>
            <w:r w:rsidRPr="00FC70FA">
              <w:rPr>
                <w:rFonts w:cs="Arial"/>
                <w:lang w:val="en-AU" w:eastAsia="en-GB"/>
              </w:rPr>
              <w:t>-</w:t>
            </w:r>
          </w:p>
        </w:tc>
        <w:tc>
          <w:tcPr>
            <w:tcW w:w="1560" w:type="dxa"/>
            <w:gridSpan w:val="2"/>
            <w:tcBorders>
              <w:top w:val="nil"/>
              <w:left w:val="nil"/>
              <w:bottom w:val="nil"/>
              <w:right w:val="nil"/>
            </w:tcBorders>
          </w:tcPr>
          <w:p w14:paraId="438CB5CA" w14:textId="77777777" w:rsidR="00932C3D" w:rsidRPr="00FC70FA" w:rsidRDefault="00FC70FA" w:rsidP="00991090">
            <w:pPr>
              <w:ind w:right="283"/>
              <w:jc w:val="right"/>
              <w:rPr>
                <w:rFonts w:cs="Arial"/>
                <w:lang w:val="en-AU" w:eastAsia="en-GB"/>
              </w:rPr>
            </w:pPr>
            <w:r w:rsidRPr="00FC70FA">
              <w:rPr>
                <w:rFonts w:cs="Arial"/>
                <w:lang w:val="en-AU" w:eastAsia="en-GB"/>
              </w:rPr>
              <w:t>6,456</w:t>
            </w:r>
          </w:p>
        </w:tc>
      </w:tr>
      <w:tr w:rsidR="00932C3D" w:rsidRPr="00C328EF" w14:paraId="5997128F" w14:textId="77777777" w:rsidTr="00932C3D">
        <w:trPr>
          <w:cantSplit/>
          <w:trHeight w:val="238"/>
        </w:trPr>
        <w:tc>
          <w:tcPr>
            <w:tcW w:w="4278" w:type="dxa"/>
            <w:tcBorders>
              <w:top w:val="nil"/>
              <w:left w:val="nil"/>
              <w:bottom w:val="nil"/>
              <w:right w:val="nil"/>
            </w:tcBorders>
          </w:tcPr>
          <w:p w14:paraId="55A5C5B0" w14:textId="77777777" w:rsidR="00932C3D" w:rsidRPr="001265E9" w:rsidRDefault="00932C3D" w:rsidP="005C33CD">
            <w:pPr>
              <w:rPr>
                <w:rFonts w:cs="Arial"/>
                <w:lang w:val="en-AU" w:eastAsia="en-GB"/>
              </w:rPr>
            </w:pPr>
          </w:p>
        </w:tc>
        <w:tc>
          <w:tcPr>
            <w:tcW w:w="967" w:type="dxa"/>
            <w:gridSpan w:val="4"/>
            <w:tcBorders>
              <w:top w:val="nil"/>
              <w:left w:val="nil"/>
              <w:bottom w:val="nil"/>
              <w:right w:val="nil"/>
            </w:tcBorders>
          </w:tcPr>
          <w:p w14:paraId="539DE680" w14:textId="77777777" w:rsidR="00932C3D" w:rsidRPr="00C328EF" w:rsidRDefault="00932C3D" w:rsidP="00932C3D">
            <w:pPr>
              <w:ind w:right="283"/>
              <w:jc w:val="right"/>
              <w:rPr>
                <w:rFonts w:cs="Arial"/>
                <w:highlight w:val="yellow"/>
                <w:lang w:val="en-AU" w:eastAsia="en-GB"/>
              </w:rPr>
            </w:pPr>
          </w:p>
        </w:tc>
        <w:tc>
          <w:tcPr>
            <w:tcW w:w="1843" w:type="dxa"/>
            <w:gridSpan w:val="2"/>
            <w:tcBorders>
              <w:top w:val="nil"/>
              <w:left w:val="nil"/>
              <w:bottom w:val="nil"/>
              <w:right w:val="nil"/>
            </w:tcBorders>
            <w:vAlign w:val="bottom"/>
          </w:tcPr>
          <w:p w14:paraId="6BA0961D" w14:textId="77777777" w:rsidR="00932C3D" w:rsidRPr="00FC70FA" w:rsidRDefault="00932C3D" w:rsidP="005C33CD">
            <w:pPr>
              <w:ind w:right="283"/>
              <w:jc w:val="right"/>
              <w:rPr>
                <w:rFonts w:cs="Arial"/>
                <w:lang w:val="en-AU" w:eastAsia="en-GB"/>
              </w:rPr>
            </w:pPr>
            <w:r w:rsidRPr="00FC70FA">
              <w:rPr>
                <w:rFonts w:cs="Arial"/>
                <w:lang w:val="en-AU" w:eastAsia="en-GB"/>
              </w:rPr>
              <w:t>───────</w:t>
            </w:r>
          </w:p>
        </w:tc>
        <w:tc>
          <w:tcPr>
            <w:tcW w:w="1559" w:type="dxa"/>
            <w:gridSpan w:val="2"/>
            <w:tcBorders>
              <w:top w:val="nil"/>
              <w:left w:val="nil"/>
              <w:bottom w:val="nil"/>
              <w:right w:val="nil"/>
            </w:tcBorders>
            <w:vAlign w:val="bottom"/>
          </w:tcPr>
          <w:p w14:paraId="0AABB9AB" w14:textId="77777777" w:rsidR="00932C3D" w:rsidRPr="001265E9" w:rsidRDefault="00932C3D" w:rsidP="005C33CD">
            <w:pPr>
              <w:ind w:right="283"/>
              <w:jc w:val="right"/>
              <w:rPr>
                <w:rFonts w:cs="Arial"/>
                <w:lang w:val="en-AU" w:eastAsia="en-GB"/>
              </w:rPr>
            </w:pPr>
            <w:r w:rsidRPr="001265E9">
              <w:rPr>
                <w:rFonts w:cs="Arial"/>
                <w:lang w:val="en-AU" w:eastAsia="en-GB"/>
              </w:rPr>
              <w:t>───────</w:t>
            </w:r>
          </w:p>
        </w:tc>
        <w:tc>
          <w:tcPr>
            <w:tcW w:w="1560" w:type="dxa"/>
            <w:gridSpan w:val="2"/>
            <w:tcBorders>
              <w:top w:val="nil"/>
              <w:left w:val="nil"/>
              <w:bottom w:val="nil"/>
              <w:right w:val="nil"/>
            </w:tcBorders>
            <w:vAlign w:val="bottom"/>
          </w:tcPr>
          <w:p w14:paraId="78FE9495" w14:textId="77777777" w:rsidR="00932C3D" w:rsidRPr="00FC70FA" w:rsidRDefault="00932C3D" w:rsidP="005C33CD">
            <w:pPr>
              <w:ind w:right="283"/>
              <w:jc w:val="right"/>
              <w:rPr>
                <w:rFonts w:cs="Arial"/>
                <w:lang w:val="en-AU" w:eastAsia="en-GB"/>
              </w:rPr>
            </w:pPr>
            <w:r w:rsidRPr="00FC70FA">
              <w:rPr>
                <w:rFonts w:cs="Arial"/>
                <w:lang w:val="en-AU" w:eastAsia="en-GB"/>
              </w:rPr>
              <w:t>──────</w:t>
            </w:r>
          </w:p>
        </w:tc>
      </w:tr>
      <w:tr w:rsidR="00932C3D" w:rsidRPr="00C328EF" w14:paraId="1B113278" w14:textId="77777777" w:rsidTr="00932C3D">
        <w:trPr>
          <w:cantSplit/>
          <w:trHeight w:val="238"/>
        </w:trPr>
        <w:tc>
          <w:tcPr>
            <w:tcW w:w="4278" w:type="dxa"/>
            <w:tcBorders>
              <w:top w:val="nil"/>
              <w:left w:val="nil"/>
              <w:bottom w:val="nil"/>
              <w:right w:val="nil"/>
            </w:tcBorders>
          </w:tcPr>
          <w:p w14:paraId="13AFF0A9" w14:textId="77777777" w:rsidR="00932C3D" w:rsidRPr="00C328EF" w:rsidRDefault="00932C3D" w:rsidP="005C33CD">
            <w:pPr>
              <w:rPr>
                <w:rFonts w:cs="Arial"/>
                <w:highlight w:val="yellow"/>
                <w:lang w:val="en-AU" w:eastAsia="en-GB"/>
              </w:rPr>
            </w:pPr>
            <w:r w:rsidRPr="001265E9">
              <w:rPr>
                <w:rFonts w:cs="Arial"/>
                <w:lang w:val="en-AU" w:eastAsia="en-GB"/>
              </w:rPr>
              <w:t xml:space="preserve">Total </w:t>
            </w:r>
            <w:r w:rsidRPr="009C65B1">
              <w:rPr>
                <w:rFonts w:cs="Arial"/>
                <w:lang w:val="en-AU" w:eastAsia="en-GB"/>
              </w:rPr>
              <w:t>anticipated inflows</w:t>
            </w:r>
          </w:p>
        </w:tc>
        <w:tc>
          <w:tcPr>
            <w:tcW w:w="967" w:type="dxa"/>
            <w:gridSpan w:val="4"/>
            <w:tcBorders>
              <w:top w:val="nil"/>
              <w:left w:val="nil"/>
              <w:bottom w:val="nil"/>
              <w:right w:val="nil"/>
            </w:tcBorders>
          </w:tcPr>
          <w:p w14:paraId="5FB04EC5" w14:textId="77777777" w:rsidR="00932C3D" w:rsidRPr="00C328EF" w:rsidRDefault="00932C3D" w:rsidP="00932C3D">
            <w:pPr>
              <w:ind w:right="283"/>
              <w:jc w:val="right"/>
              <w:rPr>
                <w:rFonts w:cs="Arial"/>
                <w:highlight w:val="yellow"/>
                <w:lang w:val="en-AU" w:eastAsia="en-GB"/>
              </w:rPr>
            </w:pPr>
          </w:p>
        </w:tc>
        <w:tc>
          <w:tcPr>
            <w:tcW w:w="1843" w:type="dxa"/>
            <w:gridSpan w:val="2"/>
            <w:tcBorders>
              <w:top w:val="nil"/>
              <w:left w:val="nil"/>
              <w:bottom w:val="nil"/>
              <w:right w:val="nil"/>
            </w:tcBorders>
          </w:tcPr>
          <w:p w14:paraId="09CAD16F" w14:textId="77777777" w:rsidR="00932C3D" w:rsidRPr="00FC70FA" w:rsidRDefault="00FC70FA" w:rsidP="00991090">
            <w:pPr>
              <w:ind w:right="283"/>
              <w:jc w:val="right"/>
              <w:rPr>
                <w:rFonts w:cs="Arial"/>
                <w:lang w:val="en-AU" w:eastAsia="en-GB"/>
              </w:rPr>
            </w:pPr>
            <w:r w:rsidRPr="00FC70FA">
              <w:rPr>
                <w:rFonts w:cs="Arial"/>
                <w:lang w:val="en-AU" w:eastAsia="en-GB"/>
              </w:rPr>
              <w:t>40</w:t>
            </w:r>
            <w:r w:rsidR="00E9606B" w:rsidRPr="00FC70FA">
              <w:rPr>
                <w:rFonts w:cs="Arial"/>
                <w:lang w:val="en-AU" w:eastAsia="en-GB"/>
              </w:rPr>
              <w:t>,</w:t>
            </w:r>
            <w:r w:rsidRPr="00FC70FA">
              <w:rPr>
                <w:rFonts w:cs="Arial"/>
                <w:lang w:val="en-AU" w:eastAsia="en-GB"/>
              </w:rPr>
              <w:t>656</w:t>
            </w:r>
          </w:p>
        </w:tc>
        <w:tc>
          <w:tcPr>
            <w:tcW w:w="1559" w:type="dxa"/>
            <w:gridSpan w:val="2"/>
            <w:tcBorders>
              <w:top w:val="nil"/>
              <w:left w:val="nil"/>
              <w:bottom w:val="nil"/>
              <w:right w:val="nil"/>
            </w:tcBorders>
          </w:tcPr>
          <w:p w14:paraId="44D13816" w14:textId="77777777" w:rsidR="00932C3D" w:rsidRPr="001265E9" w:rsidRDefault="00970D5D" w:rsidP="005C33CD">
            <w:pPr>
              <w:ind w:right="283"/>
              <w:jc w:val="right"/>
              <w:rPr>
                <w:rFonts w:cs="Arial"/>
                <w:lang w:val="en-AU" w:eastAsia="en-GB"/>
              </w:rPr>
            </w:pPr>
            <w:r w:rsidRPr="001265E9">
              <w:rPr>
                <w:rFonts w:cs="Arial"/>
                <w:lang w:val="en-AU" w:eastAsia="en-GB"/>
              </w:rPr>
              <w:t>-</w:t>
            </w:r>
          </w:p>
        </w:tc>
        <w:tc>
          <w:tcPr>
            <w:tcW w:w="1560" w:type="dxa"/>
            <w:gridSpan w:val="2"/>
            <w:tcBorders>
              <w:top w:val="nil"/>
              <w:left w:val="nil"/>
              <w:bottom w:val="nil"/>
              <w:right w:val="nil"/>
            </w:tcBorders>
          </w:tcPr>
          <w:p w14:paraId="296176A4" w14:textId="77777777" w:rsidR="00932C3D" w:rsidRPr="00FC70FA" w:rsidRDefault="00FC70FA" w:rsidP="00991090">
            <w:pPr>
              <w:ind w:right="283"/>
              <w:jc w:val="right"/>
              <w:rPr>
                <w:rFonts w:cs="Arial"/>
                <w:lang w:val="en-AU" w:eastAsia="en-GB"/>
              </w:rPr>
            </w:pPr>
            <w:r w:rsidRPr="00FC70FA">
              <w:rPr>
                <w:rFonts w:cs="Arial"/>
                <w:lang w:val="en-AU" w:eastAsia="en-GB"/>
              </w:rPr>
              <w:t>40</w:t>
            </w:r>
            <w:r w:rsidR="002D22AF" w:rsidRPr="00FC70FA">
              <w:rPr>
                <w:rFonts w:cs="Arial"/>
                <w:lang w:val="en-AU" w:eastAsia="en-GB"/>
              </w:rPr>
              <w:t>,</w:t>
            </w:r>
            <w:r w:rsidRPr="00FC70FA">
              <w:rPr>
                <w:rFonts w:cs="Arial"/>
                <w:lang w:val="en-AU" w:eastAsia="en-GB"/>
              </w:rPr>
              <w:t>656</w:t>
            </w:r>
          </w:p>
        </w:tc>
      </w:tr>
      <w:tr w:rsidR="00932C3D" w:rsidRPr="00C328EF" w14:paraId="36636243" w14:textId="77777777" w:rsidTr="00932C3D">
        <w:trPr>
          <w:cantSplit/>
          <w:trHeight w:val="226"/>
        </w:trPr>
        <w:tc>
          <w:tcPr>
            <w:tcW w:w="4278" w:type="dxa"/>
            <w:tcBorders>
              <w:top w:val="nil"/>
              <w:left w:val="nil"/>
              <w:bottom w:val="nil"/>
              <w:right w:val="nil"/>
            </w:tcBorders>
          </w:tcPr>
          <w:p w14:paraId="7DC9E49B" w14:textId="77777777" w:rsidR="00932C3D" w:rsidRPr="00C328EF" w:rsidRDefault="00932C3D" w:rsidP="00E74BAB">
            <w:pPr>
              <w:rPr>
                <w:rFonts w:cs="Arial"/>
                <w:highlight w:val="yellow"/>
                <w:lang w:val="en-AU" w:eastAsia="en-GB"/>
              </w:rPr>
            </w:pPr>
          </w:p>
        </w:tc>
        <w:tc>
          <w:tcPr>
            <w:tcW w:w="967" w:type="dxa"/>
            <w:gridSpan w:val="4"/>
            <w:tcBorders>
              <w:top w:val="nil"/>
              <w:left w:val="nil"/>
              <w:bottom w:val="nil"/>
              <w:right w:val="nil"/>
            </w:tcBorders>
          </w:tcPr>
          <w:p w14:paraId="4554054B" w14:textId="77777777" w:rsidR="00932C3D" w:rsidRPr="00C328EF" w:rsidRDefault="00932C3D" w:rsidP="00932C3D">
            <w:pPr>
              <w:ind w:right="283"/>
              <w:jc w:val="right"/>
              <w:rPr>
                <w:rFonts w:cs="Arial"/>
                <w:highlight w:val="yellow"/>
                <w:lang w:val="en-AU" w:eastAsia="en-GB"/>
              </w:rPr>
            </w:pPr>
          </w:p>
        </w:tc>
        <w:tc>
          <w:tcPr>
            <w:tcW w:w="1843" w:type="dxa"/>
            <w:gridSpan w:val="2"/>
            <w:tcBorders>
              <w:top w:val="nil"/>
              <w:left w:val="nil"/>
              <w:bottom w:val="nil"/>
              <w:right w:val="nil"/>
            </w:tcBorders>
            <w:vAlign w:val="bottom"/>
          </w:tcPr>
          <w:p w14:paraId="435BF92B" w14:textId="77777777" w:rsidR="00932C3D" w:rsidRPr="00FC70FA" w:rsidRDefault="00932C3D" w:rsidP="00E74BAB">
            <w:pPr>
              <w:ind w:right="283"/>
              <w:jc w:val="right"/>
              <w:rPr>
                <w:rFonts w:cs="Arial"/>
                <w:lang w:val="en-AU" w:eastAsia="en-GB"/>
              </w:rPr>
            </w:pPr>
            <w:r w:rsidRPr="00FC70FA">
              <w:rPr>
                <w:rFonts w:cs="Arial"/>
                <w:lang w:val="en-AU" w:eastAsia="en-GB"/>
              </w:rPr>
              <w:t>───────</w:t>
            </w:r>
          </w:p>
        </w:tc>
        <w:tc>
          <w:tcPr>
            <w:tcW w:w="1559" w:type="dxa"/>
            <w:gridSpan w:val="2"/>
            <w:tcBorders>
              <w:top w:val="nil"/>
              <w:left w:val="nil"/>
              <w:bottom w:val="nil"/>
              <w:right w:val="nil"/>
            </w:tcBorders>
            <w:vAlign w:val="bottom"/>
          </w:tcPr>
          <w:p w14:paraId="3A72C82E" w14:textId="77777777" w:rsidR="00932C3D" w:rsidRPr="001265E9" w:rsidRDefault="00932C3D" w:rsidP="00E74BAB">
            <w:pPr>
              <w:ind w:right="283"/>
              <w:jc w:val="right"/>
              <w:rPr>
                <w:rFonts w:cs="Arial"/>
                <w:lang w:val="en-AU" w:eastAsia="en-GB"/>
              </w:rPr>
            </w:pPr>
            <w:r w:rsidRPr="001265E9">
              <w:rPr>
                <w:rFonts w:cs="Arial"/>
                <w:lang w:val="en-AU" w:eastAsia="en-GB"/>
              </w:rPr>
              <w:t>───────</w:t>
            </w:r>
          </w:p>
        </w:tc>
        <w:tc>
          <w:tcPr>
            <w:tcW w:w="1560" w:type="dxa"/>
            <w:gridSpan w:val="2"/>
            <w:tcBorders>
              <w:top w:val="nil"/>
              <w:left w:val="nil"/>
              <w:bottom w:val="nil"/>
              <w:right w:val="nil"/>
            </w:tcBorders>
            <w:vAlign w:val="bottom"/>
          </w:tcPr>
          <w:p w14:paraId="60765338" w14:textId="77777777" w:rsidR="00932C3D" w:rsidRPr="00FC70FA" w:rsidRDefault="00932C3D" w:rsidP="00E74BAB">
            <w:pPr>
              <w:ind w:right="283"/>
              <w:jc w:val="right"/>
              <w:rPr>
                <w:rFonts w:cs="Arial"/>
                <w:lang w:val="en-AU" w:eastAsia="en-GB"/>
              </w:rPr>
            </w:pPr>
            <w:r w:rsidRPr="00FC70FA">
              <w:rPr>
                <w:rFonts w:cs="Arial"/>
                <w:lang w:val="en-AU" w:eastAsia="en-GB"/>
              </w:rPr>
              <w:t>──────</w:t>
            </w:r>
          </w:p>
        </w:tc>
      </w:tr>
      <w:tr w:rsidR="00932C3D" w:rsidRPr="00C328EF" w14:paraId="02FFD3D1" w14:textId="77777777" w:rsidTr="00932C3D">
        <w:trPr>
          <w:cantSplit/>
          <w:trHeight w:val="164"/>
        </w:trPr>
        <w:tc>
          <w:tcPr>
            <w:tcW w:w="4278" w:type="dxa"/>
            <w:tcBorders>
              <w:top w:val="nil"/>
              <w:left w:val="nil"/>
              <w:bottom w:val="nil"/>
              <w:right w:val="nil"/>
            </w:tcBorders>
          </w:tcPr>
          <w:p w14:paraId="1DBD72CB" w14:textId="77777777" w:rsidR="00932C3D" w:rsidRPr="00E44847" w:rsidRDefault="00932C3D" w:rsidP="00E5253A">
            <w:pPr>
              <w:rPr>
                <w:rFonts w:cs="Arial"/>
                <w:lang w:val="en-AU" w:eastAsia="en-GB"/>
              </w:rPr>
            </w:pPr>
            <w:r w:rsidRPr="00E44847">
              <w:rPr>
                <w:rFonts w:cs="Arial"/>
                <w:lang w:val="en-AU" w:eastAsia="en-GB"/>
              </w:rPr>
              <w:t xml:space="preserve">Net </w:t>
            </w:r>
            <w:r w:rsidR="00D30CEC" w:rsidRPr="00E44847">
              <w:rPr>
                <w:rFonts w:cs="Arial"/>
                <w:lang w:val="en-AU" w:eastAsia="en-GB"/>
              </w:rPr>
              <w:t>inflow/(</w:t>
            </w:r>
            <w:r w:rsidRPr="00E44847">
              <w:rPr>
                <w:rFonts w:cs="Arial"/>
                <w:lang w:val="en-AU" w:eastAsia="en-GB"/>
              </w:rPr>
              <w:t>outflow</w:t>
            </w:r>
            <w:r w:rsidR="00D30CEC" w:rsidRPr="00E44847">
              <w:rPr>
                <w:rFonts w:cs="Arial"/>
                <w:lang w:val="en-AU" w:eastAsia="en-GB"/>
              </w:rPr>
              <w:t>)</w:t>
            </w:r>
            <w:r w:rsidRPr="00E44847">
              <w:rPr>
                <w:rFonts w:cs="Arial"/>
                <w:lang w:val="en-AU" w:eastAsia="en-GB"/>
              </w:rPr>
              <w:t xml:space="preserve"> of financial instruments</w:t>
            </w:r>
          </w:p>
        </w:tc>
        <w:tc>
          <w:tcPr>
            <w:tcW w:w="967" w:type="dxa"/>
            <w:gridSpan w:val="4"/>
            <w:tcBorders>
              <w:top w:val="nil"/>
              <w:left w:val="nil"/>
              <w:bottom w:val="nil"/>
              <w:right w:val="nil"/>
            </w:tcBorders>
          </w:tcPr>
          <w:p w14:paraId="07E9900B" w14:textId="77777777" w:rsidR="00932C3D" w:rsidRPr="00E44847" w:rsidRDefault="00932C3D" w:rsidP="00932C3D">
            <w:pPr>
              <w:ind w:right="283"/>
              <w:jc w:val="right"/>
              <w:rPr>
                <w:rFonts w:cs="Arial"/>
                <w:lang w:val="en-AU" w:eastAsia="en-GB"/>
              </w:rPr>
            </w:pPr>
          </w:p>
        </w:tc>
        <w:tc>
          <w:tcPr>
            <w:tcW w:w="1843" w:type="dxa"/>
            <w:gridSpan w:val="2"/>
            <w:tcBorders>
              <w:top w:val="nil"/>
              <w:left w:val="nil"/>
              <w:bottom w:val="nil"/>
              <w:right w:val="nil"/>
            </w:tcBorders>
          </w:tcPr>
          <w:p w14:paraId="2647B59D" w14:textId="77777777" w:rsidR="00932C3D" w:rsidRPr="00E44847" w:rsidRDefault="00E44847" w:rsidP="00E14507">
            <w:pPr>
              <w:ind w:right="283"/>
              <w:jc w:val="right"/>
              <w:rPr>
                <w:rFonts w:cs="Arial"/>
                <w:lang w:val="en-AU" w:eastAsia="en-GB"/>
              </w:rPr>
            </w:pPr>
            <w:r w:rsidRPr="00E44847">
              <w:rPr>
                <w:rFonts w:cs="Arial"/>
                <w:lang w:val="en-AU" w:eastAsia="en-GB"/>
              </w:rPr>
              <w:t>2</w:t>
            </w:r>
            <w:r w:rsidR="00F93FE3" w:rsidRPr="00E44847">
              <w:rPr>
                <w:rFonts w:cs="Arial"/>
                <w:lang w:val="en-AU" w:eastAsia="en-GB"/>
              </w:rPr>
              <w:t>,</w:t>
            </w:r>
            <w:r w:rsidRPr="00E44847">
              <w:rPr>
                <w:rFonts w:cs="Arial"/>
                <w:lang w:val="en-AU" w:eastAsia="en-GB"/>
              </w:rPr>
              <w:t>199</w:t>
            </w:r>
          </w:p>
        </w:tc>
        <w:tc>
          <w:tcPr>
            <w:tcW w:w="1559" w:type="dxa"/>
            <w:gridSpan w:val="2"/>
            <w:tcBorders>
              <w:top w:val="nil"/>
              <w:left w:val="nil"/>
              <w:bottom w:val="nil"/>
              <w:right w:val="nil"/>
            </w:tcBorders>
          </w:tcPr>
          <w:p w14:paraId="280F03AE" w14:textId="77777777" w:rsidR="00932C3D" w:rsidRPr="00E44847" w:rsidRDefault="001309F4" w:rsidP="00AA4543">
            <w:pPr>
              <w:ind w:right="283"/>
              <w:jc w:val="right"/>
              <w:rPr>
                <w:rFonts w:cs="Arial"/>
                <w:lang w:val="en-AU" w:eastAsia="en-GB"/>
              </w:rPr>
            </w:pPr>
            <w:r w:rsidRPr="00E44847">
              <w:rPr>
                <w:rFonts w:cs="Arial"/>
                <w:lang w:val="en-AU" w:eastAsia="en-GB"/>
              </w:rPr>
              <w:t>(</w:t>
            </w:r>
            <w:r w:rsidR="00FC70FA" w:rsidRPr="00E44847">
              <w:rPr>
                <w:rFonts w:cs="Arial"/>
                <w:spacing w:val="-2"/>
              </w:rPr>
              <w:t>37</w:t>
            </w:r>
            <w:r w:rsidR="00E9606B" w:rsidRPr="00E44847">
              <w:rPr>
                <w:rFonts w:cs="Arial"/>
                <w:spacing w:val="-2"/>
              </w:rPr>
              <w:t>,</w:t>
            </w:r>
            <w:r w:rsidR="00FC70FA" w:rsidRPr="00E44847">
              <w:rPr>
                <w:rFonts w:cs="Arial"/>
                <w:spacing w:val="-2"/>
              </w:rPr>
              <w:t>851</w:t>
            </w:r>
            <w:r w:rsidRPr="00E44847">
              <w:rPr>
                <w:rFonts w:cs="Arial"/>
                <w:lang w:val="en-AU" w:eastAsia="en-GB"/>
              </w:rPr>
              <w:t>)</w:t>
            </w:r>
          </w:p>
        </w:tc>
        <w:tc>
          <w:tcPr>
            <w:tcW w:w="1560" w:type="dxa"/>
            <w:gridSpan w:val="2"/>
            <w:tcBorders>
              <w:top w:val="nil"/>
              <w:left w:val="nil"/>
              <w:bottom w:val="nil"/>
              <w:right w:val="nil"/>
            </w:tcBorders>
          </w:tcPr>
          <w:p w14:paraId="630CF42A" w14:textId="77777777" w:rsidR="00932C3D" w:rsidRPr="00E44847" w:rsidRDefault="001309F4" w:rsidP="00E14507">
            <w:pPr>
              <w:ind w:right="283"/>
              <w:jc w:val="right"/>
              <w:rPr>
                <w:rFonts w:cs="Arial"/>
                <w:lang w:val="en-AU" w:eastAsia="en-GB"/>
              </w:rPr>
            </w:pPr>
            <w:r w:rsidRPr="00E44847">
              <w:rPr>
                <w:rFonts w:cs="Arial"/>
                <w:lang w:val="en-AU" w:eastAsia="en-GB"/>
              </w:rPr>
              <w:t>(</w:t>
            </w:r>
            <w:r w:rsidR="00E9606B" w:rsidRPr="00E44847">
              <w:rPr>
                <w:rFonts w:cs="Arial"/>
                <w:lang w:val="en-AU" w:eastAsia="en-GB"/>
              </w:rPr>
              <w:t>35</w:t>
            </w:r>
            <w:r w:rsidR="00F93FE3" w:rsidRPr="00E44847">
              <w:rPr>
                <w:rFonts w:cs="Arial"/>
                <w:lang w:val="en-AU" w:eastAsia="en-GB"/>
              </w:rPr>
              <w:t>,</w:t>
            </w:r>
            <w:r w:rsidR="00E44847" w:rsidRPr="00E44847">
              <w:rPr>
                <w:rFonts w:cs="Arial"/>
                <w:lang w:val="en-AU" w:eastAsia="en-GB"/>
              </w:rPr>
              <w:t>652</w:t>
            </w:r>
            <w:r w:rsidRPr="00E44847">
              <w:rPr>
                <w:rFonts w:cs="Arial"/>
                <w:lang w:val="en-AU" w:eastAsia="en-GB"/>
              </w:rPr>
              <w:t>)</w:t>
            </w:r>
          </w:p>
        </w:tc>
      </w:tr>
      <w:tr w:rsidR="00932C3D" w:rsidRPr="00C328EF" w14:paraId="654D5FE4" w14:textId="77777777" w:rsidTr="00932C3D">
        <w:trPr>
          <w:cantSplit/>
          <w:trHeight w:val="189"/>
        </w:trPr>
        <w:tc>
          <w:tcPr>
            <w:tcW w:w="4278" w:type="dxa"/>
            <w:tcBorders>
              <w:top w:val="nil"/>
              <w:left w:val="nil"/>
              <w:bottom w:val="nil"/>
              <w:right w:val="nil"/>
            </w:tcBorders>
          </w:tcPr>
          <w:p w14:paraId="2B6DA343" w14:textId="77777777" w:rsidR="00932C3D" w:rsidRPr="00E44847" w:rsidRDefault="00932C3D" w:rsidP="00E74BAB">
            <w:pPr>
              <w:rPr>
                <w:rFonts w:cs="Arial"/>
                <w:lang w:val="en-AU" w:eastAsia="en-GB"/>
              </w:rPr>
            </w:pPr>
          </w:p>
        </w:tc>
        <w:tc>
          <w:tcPr>
            <w:tcW w:w="967" w:type="dxa"/>
            <w:gridSpan w:val="4"/>
            <w:tcBorders>
              <w:top w:val="nil"/>
              <w:left w:val="nil"/>
              <w:bottom w:val="nil"/>
              <w:right w:val="nil"/>
            </w:tcBorders>
          </w:tcPr>
          <w:p w14:paraId="281D0CDF" w14:textId="77777777" w:rsidR="00932C3D" w:rsidRPr="00E44847" w:rsidRDefault="00932C3D" w:rsidP="00932C3D">
            <w:pPr>
              <w:ind w:right="283"/>
              <w:jc w:val="right"/>
              <w:rPr>
                <w:rFonts w:cs="Arial"/>
                <w:lang w:val="en-AU" w:eastAsia="en-GB"/>
              </w:rPr>
            </w:pPr>
          </w:p>
        </w:tc>
        <w:tc>
          <w:tcPr>
            <w:tcW w:w="1843" w:type="dxa"/>
            <w:gridSpan w:val="2"/>
            <w:tcBorders>
              <w:top w:val="nil"/>
              <w:left w:val="nil"/>
              <w:bottom w:val="nil"/>
              <w:right w:val="nil"/>
            </w:tcBorders>
          </w:tcPr>
          <w:p w14:paraId="7D839515" w14:textId="77777777" w:rsidR="00932C3D" w:rsidRPr="00E44847" w:rsidRDefault="00932C3D" w:rsidP="00E74BAB">
            <w:pPr>
              <w:ind w:right="283"/>
              <w:jc w:val="right"/>
              <w:rPr>
                <w:rFonts w:cs="Arial"/>
                <w:lang w:val="en-AU" w:eastAsia="en-GB"/>
              </w:rPr>
            </w:pPr>
            <w:r w:rsidRPr="00E44847">
              <w:rPr>
                <w:rFonts w:cs="Arial"/>
                <w:lang w:val="en-AU" w:eastAsia="en-GB"/>
              </w:rPr>
              <w:t>═══════</w:t>
            </w:r>
          </w:p>
        </w:tc>
        <w:tc>
          <w:tcPr>
            <w:tcW w:w="1559" w:type="dxa"/>
            <w:gridSpan w:val="2"/>
            <w:tcBorders>
              <w:top w:val="nil"/>
              <w:left w:val="nil"/>
              <w:bottom w:val="nil"/>
              <w:right w:val="nil"/>
            </w:tcBorders>
          </w:tcPr>
          <w:p w14:paraId="3BFB512C" w14:textId="77777777" w:rsidR="00932C3D" w:rsidRPr="00E44847" w:rsidRDefault="00932C3D" w:rsidP="00E74BAB">
            <w:pPr>
              <w:ind w:right="283"/>
              <w:jc w:val="right"/>
              <w:rPr>
                <w:rFonts w:cs="Arial"/>
                <w:lang w:val="en-AU" w:eastAsia="en-GB"/>
              </w:rPr>
            </w:pPr>
            <w:r w:rsidRPr="00E44847">
              <w:rPr>
                <w:rFonts w:cs="Arial"/>
                <w:lang w:val="en-AU" w:eastAsia="en-GB"/>
              </w:rPr>
              <w:t>═══════</w:t>
            </w:r>
          </w:p>
        </w:tc>
        <w:tc>
          <w:tcPr>
            <w:tcW w:w="1560" w:type="dxa"/>
            <w:gridSpan w:val="2"/>
            <w:tcBorders>
              <w:top w:val="nil"/>
              <w:left w:val="nil"/>
              <w:bottom w:val="nil"/>
              <w:right w:val="nil"/>
            </w:tcBorders>
          </w:tcPr>
          <w:p w14:paraId="3365D948" w14:textId="77777777" w:rsidR="00932C3D" w:rsidRPr="00E44847" w:rsidRDefault="00932C3D" w:rsidP="00E74BAB">
            <w:pPr>
              <w:ind w:right="283"/>
              <w:jc w:val="right"/>
              <w:rPr>
                <w:rFonts w:cs="Arial"/>
                <w:lang w:val="en-AU" w:eastAsia="en-GB"/>
              </w:rPr>
            </w:pPr>
            <w:r w:rsidRPr="00E44847">
              <w:rPr>
                <w:rFonts w:cs="Arial"/>
                <w:lang w:val="en-AU" w:eastAsia="en-GB"/>
              </w:rPr>
              <w:t>══════</w:t>
            </w:r>
          </w:p>
        </w:tc>
      </w:tr>
      <w:tr w:rsidR="00932C3D" w:rsidRPr="00C328EF" w14:paraId="03069569" w14:textId="77777777" w:rsidTr="00932C3D">
        <w:trPr>
          <w:cantSplit/>
          <w:trHeight w:val="189"/>
        </w:trPr>
        <w:tc>
          <w:tcPr>
            <w:tcW w:w="4278" w:type="dxa"/>
            <w:tcBorders>
              <w:top w:val="nil"/>
              <w:left w:val="nil"/>
              <w:bottom w:val="nil"/>
              <w:right w:val="nil"/>
            </w:tcBorders>
          </w:tcPr>
          <w:p w14:paraId="6464ABA1" w14:textId="77777777" w:rsidR="00932C3D" w:rsidRPr="00C328EF" w:rsidRDefault="00932C3D" w:rsidP="00E74BAB">
            <w:pPr>
              <w:rPr>
                <w:rFonts w:cs="Arial"/>
                <w:b/>
                <w:highlight w:val="yellow"/>
                <w:lang w:val="en-AU" w:eastAsia="en-GB"/>
              </w:rPr>
            </w:pPr>
          </w:p>
        </w:tc>
        <w:tc>
          <w:tcPr>
            <w:tcW w:w="967" w:type="dxa"/>
            <w:gridSpan w:val="4"/>
            <w:tcBorders>
              <w:top w:val="nil"/>
              <w:left w:val="nil"/>
              <w:bottom w:val="nil"/>
              <w:right w:val="nil"/>
            </w:tcBorders>
          </w:tcPr>
          <w:p w14:paraId="05193EB8" w14:textId="77777777" w:rsidR="00932C3D" w:rsidRPr="00C328EF" w:rsidRDefault="00932C3D" w:rsidP="00932C3D">
            <w:pPr>
              <w:jc w:val="right"/>
              <w:rPr>
                <w:rFonts w:cs="Arial"/>
                <w:b/>
                <w:highlight w:val="yellow"/>
                <w:lang w:val="en-AU" w:eastAsia="en-GB"/>
              </w:rPr>
            </w:pPr>
          </w:p>
        </w:tc>
        <w:tc>
          <w:tcPr>
            <w:tcW w:w="1843" w:type="dxa"/>
            <w:gridSpan w:val="2"/>
            <w:tcBorders>
              <w:top w:val="nil"/>
              <w:left w:val="nil"/>
              <w:bottom w:val="nil"/>
              <w:right w:val="nil"/>
            </w:tcBorders>
          </w:tcPr>
          <w:p w14:paraId="3487DCA8" w14:textId="77777777" w:rsidR="00932C3D" w:rsidRPr="00C328EF" w:rsidRDefault="00932C3D" w:rsidP="00E74BAB">
            <w:pPr>
              <w:rPr>
                <w:rFonts w:cs="Arial"/>
                <w:b/>
                <w:highlight w:val="yellow"/>
                <w:lang w:val="en-AU" w:eastAsia="en-GB"/>
              </w:rPr>
            </w:pPr>
          </w:p>
        </w:tc>
        <w:tc>
          <w:tcPr>
            <w:tcW w:w="1559" w:type="dxa"/>
            <w:gridSpan w:val="2"/>
            <w:tcBorders>
              <w:top w:val="nil"/>
              <w:left w:val="nil"/>
              <w:bottom w:val="nil"/>
              <w:right w:val="nil"/>
            </w:tcBorders>
          </w:tcPr>
          <w:p w14:paraId="5B28DB44" w14:textId="77777777" w:rsidR="00932C3D" w:rsidRPr="00C328EF" w:rsidRDefault="00932C3D" w:rsidP="00E74BAB">
            <w:pPr>
              <w:rPr>
                <w:rFonts w:cs="Arial"/>
                <w:b/>
                <w:highlight w:val="yellow"/>
                <w:lang w:val="en-AU" w:eastAsia="en-GB"/>
              </w:rPr>
            </w:pPr>
          </w:p>
        </w:tc>
        <w:tc>
          <w:tcPr>
            <w:tcW w:w="1560" w:type="dxa"/>
            <w:gridSpan w:val="2"/>
            <w:tcBorders>
              <w:top w:val="nil"/>
              <w:left w:val="nil"/>
              <w:bottom w:val="nil"/>
              <w:right w:val="nil"/>
            </w:tcBorders>
          </w:tcPr>
          <w:p w14:paraId="4970AF6C" w14:textId="77777777" w:rsidR="00932C3D" w:rsidRPr="00C328EF" w:rsidRDefault="00932C3D" w:rsidP="00E74BAB">
            <w:pPr>
              <w:rPr>
                <w:rFonts w:cs="Arial"/>
                <w:b/>
                <w:highlight w:val="yellow"/>
                <w:lang w:val="en-AU" w:eastAsia="en-GB"/>
              </w:rPr>
            </w:pPr>
          </w:p>
        </w:tc>
      </w:tr>
    </w:tbl>
    <w:p w14:paraId="2E9E8216" w14:textId="77777777" w:rsidR="00FA2772" w:rsidRPr="00C328EF" w:rsidRDefault="00FA2772" w:rsidP="00FA2772">
      <w:pPr>
        <w:rPr>
          <w:rFonts w:cs="Arial"/>
          <w:b/>
          <w:highlight w:val="yellow"/>
          <w:lang w:val="en-AU" w:eastAsia="en-GB"/>
        </w:rPr>
      </w:pPr>
    </w:p>
    <w:tbl>
      <w:tblPr>
        <w:tblpPr w:leftFromText="180" w:rightFromText="180" w:vertAnchor="text" w:horzAnchor="margin" w:tblpXSpec="right" w:tblpY="62"/>
        <w:tblW w:w="25765" w:type="dxa"/>
        <w:tblLook w:val="0000" w:firstRow="0" w:lastRow="0" w:firstColumn="0" w:lastColumn="0" w:noHBand="0" w:noVBand="0"/>
      </w:tblPr>
      <w:tblGrid>
        <w:gridCol w:w="1525"/>
        <w:gridCol w:w="133"/>
        <w:gridCol w:w="833"/>
        <w:gridCol w:w="492"/>
        <w:gridCol w:w="833"/>
        <w:gridCol w:w="11495"/>
        <w:gridCol w:w="4359"/>
        <w:gridCol w:w="992"/>
        <w:gridCol w:w="142"/>
        <w:gridCol w:w="142"/>
        <w:gridCol w:w="708"/>
        <w:gridCol w:w="993"/>
        <w:gridCol w:w="1701"/>
        <w:gridCol w:w="1417"/>
      </w:tblGrid>
      <w:tr w:rsidR="00133768" w:rsidRPr="00C328EF" w14:paraId="4AECF7AA" w14:textId="77777777" w:rsidTr="00BA7AAF">
        <w:trPr>
          <w:gridAfter w:val="11"/>
          <w:wAfter w:w="23274" w:type="dxa"/>
          <w:trHeight w:val="255"/>
        </w:trPr>
        <w:tc>
          <w:tcPr>
            <w:tcW w:w="1658" w:type="dxa"/>
            <w:gridSpan w:val="2"/>
            <w:tcBorders>
              <w:top w:val="nil"/>
              <w:left w:val="nil"/>
              <w:bottom w:val="nil"/>
              <w:right w:val="nil"/>
            </w:tcBorders>
          </w:tcPr>
          <w:p w14:paraId="11F14E87" w14:textId="77777777" w:rsidR="00133768" w:rsidRPr="00C328EF" w:rsidRDefault="00133768" w:rsidP="00FC77F3">
            <w:pPr>
              <w:rPr>
                <w:rFonts w:cs="Arial"/>
                <w:b/>
                <w:highlight w:val="yellow"/>
                <w:lang w:val="en-AU" w:eastAsia="en-GB"/>
              </w:rPr>
            </w:pPr>
          </w:p>
        </w:tc>
        <w:tc>
          <w:tcPr>
            <w:tcW w:w="833" w:type="dxa"/>
            <w:tcBorders>
              <w:top w:val="nil"/>
              <w:left w:val="nil"/>
              <w:bottom w:val="nil"/>
              <w:right w:val="nil"/>
            </w:tcBorders>
          </w:tcPr>
          <w:p w14:paraId="715E54ED" w14:textId="77777777" w:rsidR="00133768" w:rsidRPr="00C328EF" w:rsidRDefault="00133768" w:rsidP="00FC77F3">
            <w:pPr>
              <w:rPr>
                <w:rFonts w:cs="Arial"/>
                <w:b/>
                <w:highlight w:val="yellow"/>
                <w:lang w:val="en-AU" w:eastAsia="en-GB"/>
              </w:rPr>
            </w:pPr>
          </w:p>
        </w:tc>
      </w:tr>
      <w:tr w:rsidR="00133768" w:rsidRPr="00C328EF" w14:paraId="56209CD9" w14:textId="77777777" w:rsidTr="00BA7AAF">
        <w:trPr>
          <w:gridAfter w:val="9"/>
          <w:wAfter w:w="21949" w:type="dxa"/>
          <w:trHeight w:val="255"/>
        </w:trPr>
        <w:tc>
          <w:tcPr>
            <w:tcW w:w="1525" w:type="dxa"/>
            <w:tcBorders>
              <w:top w:val="nil"/>
              <w:left w:val="nil"/>
              <w:bottom w:val="nil"/>
              <w:right w:val="nil"/>
            </w:tcBorders>
          </w:tcPr>
          <w:p w14:paraId="7FE6206D" w14:textId="77777777" w:rsidR="00133768" w:rsidRPr="00C328EF" w:rsidRDefault="00133768" w:rsidP="008B1297">
            <w:pPr>
              <w:jc w:val="center"/>
              <w:rPr>
                <w:rFonts w:cs="Arial"/>
                <w:b/>
                <w:highlight w:val="yellow"/>
                <w:lang w:val="en-AU" w:eastAsia="en-GB"/>
              </w:rPr>
            </w:pPr>
          </w:p>
        </w:tc>
        <w:tc>
          <w:tcPr>
            <w:tcW w:w="1458" w:type="dxa"/>
            <w:gridSpan w:val="3"/>
            <w:tcBorders>
              <w:top w:val="nil"/>
              <w:left w:val="nil"/>
              <w:bottom w:val="nil"/>
              <w:right w:val="nil"/>
            </w:tcBorders>
          </w:tcPr>
          <w:p w14:paraId="3A76F67A" w14:textId="77777777" w:rsidR="00133768" w:rsidRPr="00C328EF" w:rsidRDefault="00133768" w:rsidP="008B1297">
            <w:pPr>
              <w:jc w:val="center"/>
              <w:rPr>
                <w:rFonts w:cs="Arial"/>
                <w:b/>
                <w:highlight w:val="yellow"/>
                <w:lang w:val="en-AU" w:eastAsia="en-GB"/>
              </w:rPr>
            </w:pPr>
          </w:p>
        </w:tc>
        <w:tc>
          <w:tcPr>
            <w:tcW w:w="833" w:type="dxa"/>
            <w:tcBorders>
              <w:top w:val="nil"/>
              <w:left w:val="nil"/>
              <w:bottom w:val="nil"/>
              <w:right w:val="nil"/>
            </w:tcBorders>
          </w:tcPr>
          <w:p w14:paraId="00DA69FC" w14:textId="77777777" w:rsidR="00133768" w:rsidRPr="00C328EF" w:rsidRDefault="00133768" w:rsidP="008B1297">
            <w:pPr>
              <w:jc w:val="center"/>
              <w:rPr>
                <w:rFonts w:cs="Arial"/>
                <w:b/>
                <w:highlight w:val="yellow"/>
                <w:lang w:val="en-AU" w:eastAsia="en-GB"/>
              </w:rPr>
            </w:pPr>
          </w:p>
        </w:tc>
      </w:tr>
      <w:tr w:rsidR="00133768" w:rsidRPr="001265E9" w14:paraId="4C2013D8" w14:textId="77777777" w:rsidTr="001866D8">
        <w:trPr>
          <w:gridBefore w:val="6"/>
          <w:gridAfter w:val="4"/>
          <w:wBefore w:w="15311" w:type="dxa"/>
          <w:wAfter w:w="4819" w:type="dxa"/>
          <w:trHeight w:val="358"/>
        </w:trPr>
        <w:tc>
          <w:tcPr>
            <w:tcW w:w="5635" w:type="dxa"/>
            <w:gridSpan w:val="4"/>
            <w:tcBorders>
              <w:top w:val="nil"/>
              <w:left w:val="nil"/>
              <w:right w:val="nil"/>
            </w:tcBorders>
          </w:tcPr>
          <w:p w14:paraId="3C2E026E" w14:textId="77777777" w:rsidR="00133768" w:rsidRPr="001265E9" w:rsidRDefault="00133768" w:rsidP="00E013DA">
            <w:pPr>
              <w:ind w:left="227"/>
              <w:rPr>
                <w:rFonts w:cs="Arial"/>
                <w:b/>
                <w:lang w:val="en-AU" w:eastAsia="en-GB"/>
              </w:rPr>
            </w:pPr>
            <w:r w:rsidRPr="001265E9">
              <w:rPr>
                <w:rFonts w:cs="Arial"/>
                <w:b/>
                <w:lang w:val="en-AU" w:eastAsia="en-GB"/>
              </w:rPr>
              <w:t>Financial liability and financial asset maturity analysis</w:t>
            </w:r>
          </w:p>
        </w:tc>
      </w:tr>
      <w:tr w:rsidR="00BA7AAF" w:rsidRPr="00C328EF" w14:paraId="2FACAB9B" w14:textId="77777777" w:rsidTr="001866D8">
        <w:trPr>
          <w:gridBefore w:val="6"/>
          <w:wBefore w:w="15311" w:type="dxa"/>
          <w:trHeight w:val="129"/>
        </w:trPr>
        <w:tc>
          <w:tcPr>
            <w:tcW w:w="4359" w:type="dxa"/>
            <w:tcBorders>
              <w:top w:val="nil"/>
              <w:left w:val="nil"/>
              <w:right w:val="nil"/>
            </w:tcBorders>
          </w:tcPr>
          <w:p w14:paraId="05A6362A" w14:textId="77777777" w:rsidR="00133768" w:rsidRPr="001265E9" w:rsidRDefault="00133768" w:rsidP="00E013DA">
            <w:pPr>
              <w:tabs>
                <w:tab w:val="left" w:pos="1418"/>
              </w:tabs>
              <w:ind w:left="227"/>
              <w:jc w:val="right"/>
              <w:rPr>
                <w:rFonts w:cs="Arial"/>
                <w:b/>
                <w:lang w:val="en-AU" w:eastAsia="en-GB"/>
              </w:rPr>
            </w:pPr>
          </w:p>
        </w:tc>
        <w:tc>
          <w:tcPr>
            <w:tcW w:w="1134" w:type="dxa"/>
            <w:gridSpan w:val="2"/>
            <w:tcBorders>
              <w:top w:val="nil"/>
              <w:left w:val="nil"/>
              <w:right w:val="nil"/>
            </w:tcBorders>
          </w:tcPr>
          <w:p w14:paraId="5478A3ED" w14:textId="77777777" w:rsidR="00133768" w:rsidRPr="001265E9" w:rsidRDefault="00133768" w:rsidP="001866D8">
            <w:pPr>
              <w:tabs>
                <w:tab w:val="left" w:pos="1418"/>
              </w:tabs>
              <w:ind w:right="283"/>
              <w:jc w:val="right"/>
              <w:rPr>
                <w:rFonts w:cs="Arial"/>
                <w:b/>
                <w:lang w:val="en-AU" w:eastAsia="en-GB"/>
              </w:rPr>
            </w:pPr>
          </w:p>
        </w:tc>
        <w:tc>
          <w:tcPr>
            <w:tcW w:w="1843" w:type="dxa"/>
            <w:gridSpan w:val="3"/>
            <w:tcBorders>
              <w:top w:val="nil"/>
              <w:left w:val="nil"/>
              <w:right w:val="nil"/>
            </w:tcBorders>
          </w:tcPr>
          <w:p w14:paraId="33359D8E" w14:textId="77777777" w:rsidR="00133768" w:rsidRPr="001265E9" w:rsidRDefault="00133768" w:rsidP="001866D8">
            <w:pPr>
              <w:tabs>
                <w:tab w:val="left" w:pos="1418"/>
              </w:tabs>
              <w:ind w:right="283"/>
              <w:jc w:val="right"/>
              <w:rPr>
                <w:rFonts w:cs="Arial"/>
                <w:b/>
                <w:lang w:val="en-AU" w:eastAsia="en-GB"/>
              </w:rPr>
            </w:pPr>
            <w:r w:rsidRPr="001265E9">
              <w:rPr>
                <w:rFonts w:cs="Arial"/>
                <w:b/>
                <w:lang w:val="en-AU" w:eastAsia="en-GB"/>
              </w:rPr>
              <w:t>Within 1 Year</w:t>
            </w:r>
          </w:p>
        </w:tc>
        <w:tc>
          <w:tcPr>
            <w:tcW w:w="1701" w:type="dxa"/>
            <w:tcBorders>
              <w:top w:val="nil"/>
              <w:left w:val="nil"/>
              <w:right w:val="nil"/>
            </w:tcBorders>
          </w:tcPr>
          <w:p w14:paraId="2AEA1DFD" w14:textId="77777777" w:rsidR="00133768" w:rsidRPr="001265E9" w:rsidRDefault="00133768" w:rsidP="001866D8">
            <w:pPr>
              <w:tabs>
                <w:tab w:val="left" w:pos="1418"/>
              </w:tabs>
              <w:ind w:right="284"/>
              <w:jc w:val="right"/>
              <w:rPr>
                <w:rFonts w:cs="Arial"/>
                <w:b/>
                <w:lang w:val="en-AU" w:eastAsia="en-GB"/>
              </w:rPr>
            </w:pPr>
            <w:r w:rsidRPr="001265E9">
              <w:rPr>
                <w:rFonts w:cs="Arial"/>
                <w:b/>
                <w:lang w:val="en-AU" w:eastAsia="en-GB"/>
              </w:rPr>
              <w:t>1 to 5 Years</w:t>
            </w:r>
          </w:p>
        </w:tc>
        <w:tc>
          <w:tcPr>
            <w:tcW w:w="1417" w:type="dxa"/>
            <w:tcBorders>
              <w:top w:val="nil"/>
              <w:left w:val="nil"/>
              <w:right w:val="nil"/>
            </w:tcBorders>
          </w:tcPr>
          <w:p w14:paraId="728D3EBC" w14:textId="77777777" w:rsidR="00133768" w:rsidRPr="001265E9" w:rsidRDefault="001866D8" w:rsidP="001866D8">
            <w:pPr>
              <w:tabs>
                <w:tab w:val="left" w:pos="992"/>
                <w:tab w:val="left" w:pos="1134"/>
              </w:tabs>
              <w:ind w:right="-283"/>
              <w:jc w:val="center"/>
              <w:rPr>
                <w:rFonts w:cs="Arial"/>
                <w:b/>
                <w:lang w:val="en-AU" w:eastAsia="en-GB"/>
              </w:rPr>
            </w:pPr>
            <w:r w:rsidRPr="001265E9">
              <w:rPr>
                <w:rFonts w:cs="Arial"/>
                <w:b/>
                <w:lang w:val="en-AU" w:eastAsia="en-GB"/>
              </w:rPr>
              <w:t xml:space="preserve"> </w:t>
            </w:r>
            <w:r w:rsidR="00133768" w:rsidRPr="001265E9">
              <w:rPr>
                <w:rFonts w:cs="Arial"/>
                <w:b/>
                <w:lang w:val="en-AU" w:eastAsia="en-GB"/>
              </w:rPr>
              <w:t>Total</w:t>
            </w:r>
          </w:p>
        </w:tc>
      </w:tr>
      <w:tr w:rsidR="001866D8" w:rsidRPr="00C328EF" w14:paraId="6E29AB71" w14:textId="77777777" w:rsidTr="00006C5B">
        <w:trPr>
          <w:gridBefore w:val="6"/>
          <w:wBefore w:w="15311" w:type="dxa"/>
          <w:trHeight w:val="255"/>
        </w:trPr>
        <w:tc>
          <w:tcPr>
            <w:tcW w:w="4359" w:type="dxa"/>
            <w:tcBorders>
              <w:top w:val="nil"/>
              <w:left w:val="nil"/>
              <w:bottom w:val="nil"/>
              <w:right w:val="nil"/>
            </w:tcBorders>
          </w:tcPr>
          <w:p w14:paraId="0E403626" w14:textId="77777777" w:rsidR="001866D8" w:rsidRPr="001265E9" w:rsidRDefault="001866D8" w:rsidP="00E013DA">
            <w:pPr>
              <w:ind w:left="227"/>
              <w:rPr>
                <w:rFonts w:cs="Arial"/>
                <w:b/>
                <w:lang w:val="en-AU" w:eastAsia="en-GB"/>
              </w:rPr>
            </w:pPr>
            <w:r w:rsidRPr="001265E9">
              <w:rPr>
                <w:rFonts w:cs="Arial"/>
                <w:b/>
                <w:lang w:val="en-AU" w:eastAsia="en-GB"/>
              </w:rPr>
              <w:t>Group</w:t>
            </w:r>
          </w:p>
        </w:tc>
        <w:tc>
          <w:tcPr>
            <w:tcW w:w="1984" w:type="dxa"/>
            <w:gridSpan w:val="4"/>
            <w:tcBorders>
              <w:top w:val="nil"/>
              <w:left w:val="nil"/>
              <w:bottom w:val="nil"/>
              <w:right w:val="nil"/>
            </w:tcBorders>
          </w:tcPr>
          <w:p w14:paraId="506A054E" w14:textId="77777777" w:rsidR="001866D8" w:rsidRPr="001265E9" w:rsidRDefault="001866D8" w:rsidP="00E013DA">
            <w:pPr>
              <w:tabs>
                <w:tab w:val="left" w:pos="1418"/>
              </w:tabs>
              <w:ind w:right="397"/>
              <w:rPr>
                <w:rFonts w:cs="Arial"/>
                <w:b/>
                <w:lang w:val="en-AU" w:eastAsia="en-GB"/>
              </w:rPr>
            </w:pPr>
            <w:r w:rsidRPr="001265E9">
              <w:rPr>
                <w:rFonts w:cs="Arial"/>
                <w:b/>
                <w:lang w:val="en-AU" w:eastAsia="en-GB"/>
              </w:rPr>
              <w:t xml:space="preserve">      Note</w:t>
            </w:r>
          </w:p>
        </w:tc>
        <w:tc>
          <w:tcPr>
            <w:tcW w:w="993" w:type="dxa"/>
            <w:tcBorders>
              <w:top w:val="nil"/>
              <w:left w:val="nil"/>
              <w:bottom w:val="nil"/>
              <w:right w:val="nil"/>
            </w:tcBorders>
          </w:tcPr>
          <w:p w14:paraId="0E5A4F57" w14:textId="77777777" w:rsidR="001866D8" w:rsidRPr="001265E9" w:rsidRDefault="001866D8" w:rsidP="001866D8">
            <w:pPr>
              <w:rPr>
                <w:rFonts w:cs="Arial"/>
                <w:b/>
                <w:lang w:val="en-AU" w:eastAsia="en-GB"/>
              </w:rPr>
            </w:pPr>
            <w:r w:rsidRPr="001265E9">
              <w:rPr>
                <w:rFonts w:cs="Arial"/>
                <w:b/>
                <w:lang w:val="en-AU" w:eastAsia="en-GB"/>
              </w:rPr>
              <w:t>202</w:t>
            </w:r>
            <w:r w:rsidR="001265E9" w:rsidRPr="001265E9">
              <w:rPr>
                <w:rFonts w:cs="Arial"/>
                <w:b/>
                <w:lang w:val="en-AU" w:eastAsia="en-GB"/>
              </w:rPr>
              <w:t>3</w:t>
            </w:r>
          </w:p>
        </w:tc>
        <w:tc>
          <w:tcPr>
            <w:tcW w:w="1701" w:type="dxa"/>
            <w:tcBorders>
              <w:top w:val="nil"/>
              <w:left w:val="nil"/>
              <w:bottom w:val="nil"/>
              <w:right w:val="nil"/>
            </w:tcBorders>
          </w:tcPr>
          <w:p w14:paraId="39A27374" w14:textId="77777777" w:rsidR="001866D8" w:rsidRPr="001265E9" w:rsidRDefault="001866D8" w:rsidP="001866D8">
            <w:pPr>
              <w:tabs>
                <w:tab w:val="left" w:pos="1418"/>
              </w:tabs>
              <w:jc w:val="center"/>
              <w:rPr>
                <w:rFonts w:cs="Arial"/>
                <w:b/>
                <w:lang w:val="en-AU" w:eastAsia="en-GB"/>
              </w:rPr>
            </w:pPr>
            <w:r w:rsidRPr="001265E9">
              <w:rPr>
                <w:rFonts w:cs="Arial"/>
                <w:b/>
                <w:lang w:val="en-AU" w:eastAsia="en-GB"/>
              </w:rPr>
              <w:t>202</w:t>
            </w:r>
            <w:r w:rsidR="001265E9" w:rsidRPr="001265E9">
              <w:rPr>
                <w:rFonts w:cs="Arial"/>
                <w:b/>
                <w:lang w:val="en-AU" w:eastAsia="en-GB"/>
              </w:rPr>
              <w:t>3</w:t>
            </w:r>
          </w:p>
        </w:tc>
        <w:tc>
          <w:tcPr>
            <w:tcW w:w="1417" w:type="dxa"/>
            <w:tcBorders>
              <w:top w:val="nil"/>
              <w:left w:val="nil"/>
              <w:bottom w:val="nil"/>
              <w:right w:val="nil"/>
            </w:tcBorders>
          </w:tcPr>
          <w:p w14:paraId="2834017C" w14:textId="77777777" w:rsidR="001866D8" w:rsidRPr="001265E9" w:rsidRDefault="001866D8" w:rsidP="001866D8">
            <w:pPr>
              <w:tabs>
                <w:tab w:val="left" w:pos="1418"/>
              </w:tabs>
              <w:jc w:val="center"/>
              <w:rPr>
                <w:rFonts w:cs="Arial"/>
                <w:b/>
                <w:lang w:val="en-AU" w:eastAsia="en-GB"/>
              </w:rPr>
            </w:pPr>
            <w:r w:rsidRPr="001265E9">
              <w:rPr>
                <w:rFonts w:cs="Arial"/>
                <w:b/>
                <w:lang w:val="en-AU" w:eastAsia="en-GB"/>
              </w:rPr>
              <w:t>202</w:t>
            </w:r>
            <w:r w:rsidR="001265E9" w:rsidRPr="001265E9">
              <w:rPr>
                <w:rFonts w:cs="Arial"/>
                <w:b/>
                <w:lang w:val="en-AU" w:eastAsia="en-GB"/>
              </w:rPr>
              <w:t>3</w:t>
            </w:r>
          </w:p>
        </w:tc>
      </w:tr>
      <w:tr w:rsidR="001866D8" w:rsidRPr="00C328EF" w14:paraId="0D0735E8" w14:textId="77777777" w:rsidTr="00006C5B">
        <w:trPr>
          <w:gridBefore w:val="6"/>
          <w:wBefore w:w="15311" w:type="dxa"/>
          <w:trHeight w:val="255"/>
        </w:trPr>
        <w:tc>
          <w:tcPr>
            <w:tcW w:w="4359" w:type="dxa"/>
            <w:tcBorders>
              <w:top w:val="nil"/>
              <w:left w:val="nil"/>
              <w:bottom w:val="nil"/>
              <w:right w:val="nil"/>
            </w:tcBorders>
          </w:tcPr>
          <w:p w14:paraId="4FA2ED22" w14:textId="77777777" w:rsidR="001866D8" w:rsidRPr="001265E9" w:rsidRDefault="001866D8" w:rsidP="00E013DA">
            <w:pPr>
              <w:ind w:left="227"/>
              <w:jc w:val="center"/>
              <w:rPr>
                <w:rFonts w:cs="Arial"/>
                <w:b/>
                <w:lang w:val="en-AU" w:eastAsia="en-GB"/>
              </w:rPr>
            </w:pPr>
          </w:p>
        </w:tc>
        <w:tc>
          <w:tcPr>
            <w:tcW w:w="1984" w:type="dxa"/>
            <w:gridSpan w:val="4"/>
            <w:tcBorders>
              <w:top w:val="nil"/>
              <w:left w:val="nil"/>
              <w:bottom w:val="nil"/>
              <w:right w:val="nil"/>
            </w:tcBorders>
          </w:tcPr>
          <w:p w14:paraId="38701E86" w14:textId="77777777" w:rsidR="001866D8" w:rsidRPr="001265E9" w:rsidRDefault="001866D8" w:rsidP="00E013DA">
            <w:pPr>
              <w:jc w:val="center"/>
              <w:rPr>
                <w:rFonts w:cs="Arial"/>
                <w:b/>
                <w:lang w:val="en-AU" w:eastAsia="en-GB"/>
              </w:rPr>
            </w:pPr>
          </w:p>
        </w:tc>
        <w:tc>
          <w:tcPr>
            <w:tcW w:w="993" w:type="dxa"/>
            <w:tcBorders>
              <w:top w:val="nil"/>
              <w:left w:val="nil"/>
              <w:bottom w:val="nil"/>
              <w:right w:val="nil"/>
            </w:tcBorders>
          </w:tcPr>
          <w:p w14:paraId="404FC71B" w14:textId="77777777" w:rsidR="001866D8" w:rsidRPr="001265E9" w:rsidRDefault="001866D8" w:rsidP="001866D8">
            <w:pPr>
              <w:rPr>
                <w:rFonts w:cs="Arial"/>
                <w:b/>
                <w:lang w:val="en-AU" w:eastAsia="en-GB"/>
              </w:rPr>
            </w:pPr>
            <w:r w:rsidRPr="001265E9">
              <w:rPr>
                <w:rFonts w:cs="Arial"/>
                <w:b/>
                <w:lang w:val="en-AU" w:eastAsia="en-GB"/>
              </w:rPr>
              <w:t>£’000</w:t>
            </w:r>
          </w:p>
        </w:tc>
        <w:tc>
          <w:tcPr>
            <w:tcW w:w="1701" w:type="dxa"/>
            <w:tcBorders>
              <w:top w:val="nil"/>
              <w:left w:val="nil"/>
              <w:bottom w:val="nil"/>
              <w:right w:val="nil"/>
            </w:tcBorders>
          </w:tcPr>
          <w:p w14:paraId="4F963B23" w14:textId="77777777" w:rsidR="001866D8" w:rsidRPr="001265E9" w:rsidRDefault="001866D8" w:rsidP="001866D8">
            <w:pPr>
              <w:tabs>
                <w:tab w:val="left" w:pos="1418"/>
              </w:tabs>
              <w:jc w:val="center"/>
              <w:rPr>
                <w:rFonts w:cs="Arial"/>
                <w:b/>
                <w:lang w:val="en-AU" w:eastAsia="en-GB"/>
              </w:rPr>
            </w:pPr>
            <w:r w:rsidRPr="001265E9">
              <w:rPr>
                <w:rFonts w:cs="Arial"/>
                <w:b/>
                <w:lang w:val="en-AU" w:eastAsia="en-GB"/>
              </w:rPr>
              <w:t>£’000</w:t>
            </w:r>
          </w:p>
        </w:tc>
        <w:tc>
          <w:tcPr>
            <w:tcW w:w="1417" w:type="dxa"/>
            <w:tcBorders>
              <w:top w:val="nil"/>
              <w:left w:val="nil"/>
              <w:bottom w:val="nil"/>
              <w:right w:val="nil"/>
            </w:tcBorders>
          </w:tcPr>
          <w:p w14:paraId="51678FDF" w14:textId="77777777" w:rsidR="001866D8" w:rsidRPr="001265E9" w:rsidRDefault="001866D8" w:rsidP="001866D8">
            <w:pPr>
              <w:tabs>
                <w:tab w:val="left" w:pos="1418"/>
              </w:tabs>
              <w:jc w:val="center"/>
              <w:rPr>
                <w:rFonts w:cs="Arial"/>
                <w:b/>
                <w:lang w:val="en-AU" w:eastAsia="en-GB"/>
              </w:rPr>
            </w:pPr>
            <w:r w:rsidRPr="001265E9">
              <w:rPr>
                <w:rFonts w:cs="Arial"/>
                <w:b/>
                <w:lang w:val="en-AU" w:eastAsia="en-GB"/>
              </w:rPr>
              <w:t>£’000</w:t>
            </w:r>
          </w:p>
        </w:tc>
      </w:tr>
      <w:tr w:rsidR="001265E9" w:rsidRPr="00C328EF" w14:paraId="0B0F1886" w14:textId="77777777" w:rsidTr="00006C5B">
        <w:trPr>
          <w:gridBefore w:val="6"/>
          <w:wBefore w:w="15311" w:type="dxa"/>
          <w:trHeight w:val="255"/>
        </w:trPr>
        <w:tc>
          <w:tcPr>
            <w:tcW w:w="4359" w:type="dxa"/>
            <w:tcBorders>
              <w:top w:val="nil"/>
              <w:left w:val="nil"/>
              <w:bottom w:val="nil"/>
              <w:right w:val="nil"/>
            </w:tcBorders>
          </w:tcPr>
          <w:p w14:paraId="68ABBB3A" w14:textId="77777777" w:rsidR="001265E9" w:rsidRPr="001265E9" w:rsidRDefault="001265E9" w:rsidP="001265E9">
            <w:pPr>
              <w:ind w:left="227"/>
              <w:rPr>
                <w:b/>
                <w:lang w:val="en-AU" w:eastAsia="en-GB"/>
              </w:rPr>
            </w:pPr>
            <w:r w:rsidRPr="001265E9">
              <w:rPr>
                <w:b/>
                <w:lang w:val="en-AU" w:eastAsia="en-GB"/>
              </w:rPr>
              <w:t>Financial liabilities due for payment</w:t>
            </w:r>
          </w:p>
        </w:tc>
        <w:tc>
          <w:tcPr>
            <w:tcW w:w="992" w:type="dxa"/>
            <w:tcBorders>
              <w:top w:val="nil"/>
              <w:left w:val="nil"/>
              <w:bottom w:val="nil"/>
              <w:right w:val="nil"/>
            </w:tcBorders>
          </w:tcPr>
          <w:p w14:paraId="1F3A97E2" w14:textId="77777777" w:rsidR="001265E9" w:rsidRPr="001265E9" w:rsidRDefault="001265E9" w:rsidP="001265E9">
            <w:pPr>
              <w:jc w:val="right"/>
              <w:rPr>
                <w:rFonts w:cs="Arial"/>
                <w:lang w:val="en-AU" w:eastAsia="en-GB"/>
              </w:rPr>
            </w:pPr>
          </w:p>
        </w:tc>
        <w:tc>
          <w:tcPr>
            <w:tcW w:w="1985" w:type="dxa"/>
            <w:gridSpan w:val="4"/>
            <w:tcBorders>
              <w:top w:val="nil"/>
              <w:left w:val="nil"/>
              <w:bottom w:val="nil"/>
              <w:right w:val="nil"/>
            </w:tcBorders>
          </w:tcPr>
          <w:p w14:paraId="25E17D97" w14:textId="77777777" w:rsidR="001265E9" w:rsidRPr="001265E9" w:rsidRDefault="001265E9" w:rsidP="001265E9">
            <w:pPr>
              <w:rPr>
                <w:rFonts w:cs="Arial"/>
                <w:lang w:val="en-AU" w:eastAsia="en-GB"/>
              </w:rPr>
            </w:pPr>
          </w:p>
        </w:tc>
        <w:tc>
          <w:tcPr>
            <w:tcW w:w="1701" w:type="dxa"/>
            <w:tcBorders>
              <w:top w:val="nil"/>
              <w:left w:val="nil"/>
              <w:bottom w:val="nil"/>
              <w:right w:val="nil"/>
            </w:tcBorders>
          </w:tcPr>
          <w:p w14:paraId="569BBE14" w14:textId="77777777" w:rsidR="001265E9" w:rsidRPr="001265E9" w:rsidRDefault="001265E9" w:rsidP="001265E9">
            <w:pPr>
              <w:rPr>
                <w:rFonts w:cs="Arial"/>
                <w:lang w:val="en-AU" w:eastAsia="en-GB"/>
              </w:rPr>
            </w:pPr>
          </w:p>
        </w:tc>
        <w:tc>
          <w:tcPr>
            <w:tcW w:w="1417" w:type="dxa"/>
            <w:tcBorders>
              <w:top w:val="nil"/>
              <w:left w:val="nil"/>
              <w:bottom w:val="nil"/>
              <w:right w:val="nil"/>
            </w:tcBorders>
          </w:tcPr>
          <w:p w14:paraId="2FD7F642" w14:textId="77777777" w:rsidR="001265E9" w:rsidRPr="001265E9" w:rsidRDefault="001265E9" w:rsidP="001265E9">
            <w:pPr>
              <w:rPr>
                <w:rFonts w:cs="Arial"/>
                <w:lang w:val="en-AU" w:eastAsia="en-GB"/>
              </w:rPr>
            </w:pPr>
          </w:p>
        </w:tc>
      </w:tr>
      <w:tr w:rsidR="001265E9" w:rsidRPr="00C328EF" w14:paraId="5EEA88DC" w14:textId="77777777" w:rsidTr="00006C5B">
        <w:trPr>
          <w:gridBefore w:val="6"/>
          <w:wBefore w:w="15311" w:type="dxa"/>
          <w:trHeight w:val="255"/>
        </w:trPr>
        <w:tc>
          <w:tcPr>
            <w:tcW w:w="4359" w:type="dxa"/>
            <w:tcBorders>
              <w:top w:val="nil"/>
              <w:left w:val="nil"/>
              <w:bottom w:val="nil"/>
              <w:right w:val="nil"/>
            </w:tcBorders>
          </w:tcPr>
          <w:p w14:paraId="5D2C7849" w14:textId="77777777" w:rsidR="001265E9" w:rsidRPr="001265E9" w:rsidRDefault="001265E9" w:rsidP="001265E9">
            <w:pPr>
              <w:ind w:left="227"/>
              <w:rPr>
                <w:rFonts w:cs="Arial"/>
                <w:lang w:val="en-AU" w:eastAsia="en-GB"/>
              </w:rPr>
            </w:pPr>
            <w:r w:rsidRPr="001265E9">
              <w:rPr>
                <w:rFonts w:cs="Arial"/>
                <w:lang w:val="en-AU" w:eastAsia="en-GB"/>
              </w:rPr>
              <w:t>Current liabilities</w:t>
            </w:r>
          </w:p>
        </w:tc>
        <w:tc>
          <w:tcPr>
            <w:tcW w:w="992" w:type="dxa"/>
            <w:tcBorders>
              <w:top w:val="nil"/>
              <w:left w:val="nil"/>
              <w:bottom w:val="nil"/>
              <w:right w:val="nil"/>
            </w:tcBorders>
          </w:tcPr>
          <w:p w14:paraId="0E0F7DC9" w14:textId="77777777" w:rsidR="001265E9" w:rsidRPr="00F0414A" w:rsidRDefault="001265E9" w:rsidP="001265E9">
            <w:pPr>
              <w:jc w:val="right"/>
              <w:rPr>
                <w:rFonts w:cs="Arial"/>
                <w:lang w:val="en-AU" w:eastAsia="en-GB"/>
              </w:rPr>
            </w:pPr>
            <w:r w:rsidRPr="00F0414A">
              <w:rPr>
                <w:rFonts w:cs="Arial"/>
                <w:lang w:val="en-AU" w:eastAsia="en-GB"/>
              </w:rPr>
              <w:t>1</w:t>
            </w:r>
            <w:r w:rsidR="00F0414A" w:rsidRPr="00F0414A">
              <w:rPr>
                <w:rFonts w:cs="Arial"/>
                <w:lang w:val="en-AU" w:eastAsia="en-GB"/>
              </w:rPr>
              <w:t>4</w:t>
            </w:r>
            <w:r w:rsidRPr="00F0414A">
              <w:rPr>
                <w:rFonts w:cs="Arial"/>
                <w:lang w:val="en-AU" w:eastAsia="en-GB"/>
              </w:rPr>
              <w:t>,1</w:t>
            </w:r>
            <w:r w:rsidR="00F0414A" w:rsidRPr="00F0414A">
              <w:rPr>
                <w:rFonts w:cs="Arial"/>
                <w:lang w:val="en-AU" w:eastAsia="en-GB"/>
              </w:rPr>
              <w:t>5</w:t>
            </w:r>
          </w:p>
        </w:tc>
        <w:tc>
          <w:tcPr>
            <w:tcW w:w="1985" w:type="dxa"/>
            <w:gridSpan w:val="4"/>
            <w:tcBorders>
              <w:top w:val="nil"/>
              <w:left w:val="nil"/>
              <w:bottom w:val="nil"/>
              <w:right w:val="nil"/>
            </w:tcBorders>
          </w:tcPr>
          <w:p w14:paraId="035945C4" w14:textId="77777777" w:rsidR="001265E9" w:rsidRPr="001265E9" w:rsidRDefault="001265E9" w:rsidP="001265E9">
            <w:pPr>
              <w:jc w:val="right"/>
              <w:rPr>
                <w:rFonts w:cs="Arial"/>
                <w:lang w:val="en-AU" w:eastAsia="en-GB"/>
              </w:rPr>
            </w:pPr>
            <w:r w:rsidRPr="001265E9">
              <w:rPr>
                <w:rFonts w:cs="Arial"/>
                <w:lang w:val="en-AU" w:eastAsia="en-GB"/>
              </w:rPr>
              <w:t>25,703</w:t>
            </w:r>
          </w:p>
        </w:tc>
        <w:tc>
          <w:tcPr>
            <w:tcW w:w="1701" w:type="dxa"/>
            <w:tcBorders>
              <w:top w:val="nil"/>
              <w:left w:val="nil"/>
              <w:bottom w:val="nil"/>
              <w:right w:val="nil"/>
            </w:tcBorders>
          </w:tcPr>
          <w:p w14:paraId="12D61718" w14:textId="77777777" w:rsidR="001265E9" w:rsidRPr="001265E9" w:rsidRDefault="001265E9" w:rsidP="001265E9">
            <w:pPr>
              <w:jc w:val="right"/>
              <w:rPr>
                <w:rFonts w:cs="Arial"/>
                <w:lang w:val="en-AU" w:eastAsia="en-GB"/>
              </w:rPr>
            </w:pPr>
            <w:r w:rsidRPr="001265E9">
              <w:rPr>
                <w:rFonts w:cs="Arial"/>
                <w:lang w:val="en-AU" w:eastAsia="en-GB"/>
              </w:rPr>
              <w:t>-</w:t>
            </w:r>
          </w:p>
        </w:tc>
        <w:tc>
          <w:tcPr>
            <w:tcW w:w="1417" w:type="dxa"/>
            <w:tcBorders>
              <w:top w:val="nil"/>
              <w:left w:val="nil"/>
              <w:bottom w:val="nil"/>
              <w:right w:val="nil"/>
            </w:tcBorders>
          </w:tcPr>
          <w:p w14:paraId="3A40B19C" w14:textId="77777777" w:rsidR="001265E9" w:rsidRPr="001265E9" w:rsidRDefault="001265E9" w:rsidP="001265E9">
            <w:pPr>
              <w:jc w:val="right"/>
              <w:rPr>
                <w:rFonts w:cs="Arial"/>
                <w:lang w:val="en-AU" w:eastAsia="en-GB"/>
              </w:rPr>
            </w:pPr>
            <w:r w:rsidRPr="001265E9">
              <w:rPr>
                <w:rFonts w:cs="Arial"/>
                <w:lang w:val="en-AU" w:eastAsia="en-GB"/>
              </w:rPr>
              <w:t>25,703</w:t>
            </w:r>
          </w:p>
        </w:tc>
      </w:tr>
      <w:tr w:rsidR="001265E9" w:rsidRPr="00C328EF" w14:paraId="4DE8EA8C" w14:textId="77777777" w:rsidTr="00006C5B">
        <w:trPr>
          <w:gridBefore w:val="6"/>
          <w:wBefore w:w="15311" w:type="dxa"/>
          <w:trHeight w:val="255"/>
        </w:trPr>
        <w:tc>
          <w:tcPr>
            <w:tcW w:w="4359" w:type="dxa"/>
            <w:tcBorders>
              <w:top w:val="nil"/>
              <w:left w:val="nil"/>
              <w:bottom w:val="nil"/>
              <w:right w:val="nil"/>
            </w:tcBorders>
          </w:tcPr>
          <w:p w14:paraId="66913BEF" w14:textId="77777777" w:rsidR="001265E9" w:rsidRPr="001265E9" w:rsidRDefault="001265E9" w:rsidP="001265E9">
            <w:pPr>
              <w:ind w:left="227"/>
              <w:rPr>
                <w:rFonts w:cs="Arial"/>
                <w:lang w:val="en-AU" w:eastAsia="en-GB"/>
              </w:rPr>
            </w:pPr>
            <w:r w:rsidRPr="001265E9">
              <w:rPr>
                <w:rFonts w:cs="Arial"/>
                <w:lang w:val="en-AU" w:eastAsia="en-GB"/>
              </w:rPr>
              <w:t>Lease obligations</w:t>
            </w:r>
          </w:p>
        </w:tc>
        <w:tc>
          <w:tcPr>
            <w:tcW w:w="992" w:type="dxa"/>
            <w:tcBorders>
              <w:top w:val="nil"/>
              <w:left w:val="nil"/>
              <w:bottom w:val="nil"/>
              <w:right w:val="nil"/>
            </w:tcBorders>
          </w:tcPr>
          <w:p w14:paraId="6CB51BC2" w14:textId="77777777" w:rsidR="001265E9" w:rsidRPr="00F0414A" w:rsidRDefault="001265E9" w:rsidP="001265E9">
            <w:pPr>
              <w:jc w:val="right"/>
              <w:rPr>
                <w:rFonts w:cs="Arial"/>
                <w:lang w:val="en-AU" w:eastAsia="en-GB"/>
              </w:rPr>
            </w:pPr>
            <w:r w:rsidRPr="00F0414A">
              <w:rPr>
                <w:rFonts w:cs="Arial"/>
                <w:lang w:val="en-AU" w:eastAsia="en-GB"/>
              </w:rPr>
              <w:t>1</w:t>
            </w:r>
            <w:r w:rsidR="00F0414A" w:rsidRPr="00F0414A">
              <w:rPr>
                <w:rFonts w:cs="Arial"/>
                <w:lang w:val="en-AU" w:eastAsia="en-GB"/>
              </w:rPr>
              <w:t>6</w:t>
            </w:r>
          </w:p>
        </w:tc>
        <w:tc>
          <w:tcPr>
            <w:tcW w:w="1985" w:type="dxa"/>
            <w:gridSpan w:val="4"/>
            <w:tcBorders>
              <w:top w:val="nil"/>
              <w:left w:val="nil"/>
              <w:bottom w:val="nil"/>
              <w:right w:val="nil"/>
            </w:tcBorders>
          </w:tcPr>
          <w:p w14:paraId="7AF6DCCE" w14:textId="77777777" w:rsidR="001265E9" w:rsidRPr="001265E9" w:rsidRDefault="001265E9" w:rsidP="001265E9">
            <w:pPr>
              <w:jc w:val="right"/>
              <w:rPr>
                <w:rFonts w:cs="Arial"/>
                <w:lang w:val="en-AU" w:eastAsia="en-GB"/>
              </w:rPr>
            </w:pPr>
            <w:r w:rsidRPr="001265E9">
              <w:rPr>
                <w:rFonts w:cs="Arial"/>
                <w:lang w:val="en-AU" w:eastAsia="en-GB"/>
              </w:rPr>
              <w:t>12,762</w:t>
            </w:r>
          </w:p>
        </w:tc>
        <w:tc>
          <w:tcPr>
            <w:tcW w:w="1701" w:type="dxa"/>
            <w:tcBorders>
              <w:top w:val="nil"/>
              <w:left w:val="nil"/>
              <w:bottom w:val="nil"/>
              <w:right w:val="nil"/>
            </w:tcBorders>
          </w:tcPr>
          <w:p w14:paraId="6B81CA70" w14:textId="77777777" w:rsidR="001265E9" w:rsidRPr="001265E9" w:rsidRDefault="001265E9" w:rsidP="001265E9">
            <w:pPr>
              <w:jc w:val="right"/>
              <w:rPr>
                <w:rFonts w:cs="Arial"/>
                <w:lang w:val="en-AU" w:eastAsia="en-GB"/>
              </w:rPr>
            </w:pPr>
            <w:r w:rsidRPr="001265E9">
              <w:rPr>
                <w:rFonts w:cs="Arial"/>
                <w:spacing w:val="-2"/>
              </w:rPr>
              <w:t>50,016</w:t>
            </w:r>
          </w:p>
        </w:tc>
        <w:tc>
          <w:tcPr>
            <w:tcW w:w="1417" w:type="dxa"/>
            <w:tcBorders>
              <w:top w:val="nil"/>
              <w:left w:val="nil"/>
              <w:bottom w:val="nil"/>
              <w:right w:val="nil"/>
            </w:tcBorders>
          </w:tcPr>
          <w:p w14:paraId="6D401169" w14:textId="77777777" w:rsidR="001265E9" w:rsidRPr="001265E9" w:rsidRDefault="001265E9" w:rsidP="001265E9">
            <w:pPr>
              <w:jc w:val="right"/>
              <w:rPr>
                <w:rFonts w:cs="Arial"/>
                <w:lang w:val="en-AU" w:eastAsia="en-GB"/>
              </w:rPr>
            </w:pPr>
            <w:r w:rsidRPr="001265E9">
              <w:rPr>
                <w:rFonts w:cs="Arial"/>
                <w:lang w:val="en-AU" w:eastAsia="en-GB"/>
              </w:rPr>
              <w:t>62,778</w:t>
            </w:r>
          </w:p>
        </w:tc>
      </w:tr>
      <w:tr w:rsidR="001265E9" w:rsidRPr="00C328EF" w14:paraId="2CB7C777" w14:textId="77777777" w:rsidTr="00006C5B">
        <w:trPr>
          <w:gridBefore w:val="6"/>
          <w:wBefore w:w="15311" w:type="dxa"/>
          <w:trHeight w:val="244"/>
        </w:trPr>
        <w:tc>
          <w:tcPr>
            <w:tcW w:w="4359" w:type="dxa"/>
            <w:tcBorders>
              <w:top w:val="nil"/>
              <w:left w:val="nil"/>
              <w:bottom w:val="nil"/>
              <w:right w:val="nil"/>
            </w:tcBorders>
          </w:tcPr>
          <w:p w14:paraId="7B7ACB02" w14:textId="77777777" w:rsidR="001265E9" w:rsidRPr="001265E9" w:rsidRDefault="001265E9" w:rsidP="001265E9">
            <w:pPr>
              <w:ind w:left="227"/>
              <w:rPr>
                <w:rFonts w:cs="Arial"/>
                <w:lang w:val="en-AU" w:eastAsia="en-GB"/>
              </w:rPr>
            </w:pPr>
          </w:p>
        </w:tc>
        <w:tc>
          <w:tcPr>
            <w:tcW w:w="992" w:type="dxa"/>
            <w:tcBorders>
              <w:top w:val="nil"/>
              <w:left w:val="nil"/>
              <w:bottom w:val="nil"/>
              <w:right w:val="nil"/>
            </w:tcBorders>
          </w:tcPr>
          <w:p w14:paraId="30CAF6E0" w14:textId="77777777" w:rsidR="001265E9" w:rsidRPr="00F0414A" w:rsidRDefault="001265E9" w:rsidP="001265E9">
            <w:pPr>
              <w:jc w:val="right"/>
              <w:rPr>
                <w:rFonts w:cs="Arial"/>
                <w:lang w:val="en-AU" w:eastAsia="en-GB"/>
              </w:rPr>
            </w:pPr>
          </w:p>
        </w:tc>
        <w:tc>
          <w:tcPr>
            <w:tcW w:w="1985" w:type="dxa"/>
            <w:gridSpan w:val="4"/>
            <w:tcBorders>
              <w:top w:val="nil"/>
              <w:left w:val="nil"/>
              <w:bottom w:val="nil"/>
              <w:right w:val="nil"/>
            </w:tcBorders>
            <w:vAlign w:val="bottom"/>
          </w:tcPr>
          <w:p w14:paraId="756DBF9F" w14:textId="77777777" w:rsidR="001265E9" w:rsidRPr="001265E9" w:rsidRDefault="001265E9" w:rsidP="001265E9">
            <w:pPr>
              <w:jc w:val="right"/>
              <w:rPr>
                <w:rFonts w:cs="Arial"/>
                <w:lang w:val="en-AU" w:eastAsia="en-GB"/>
              </w:rPr>
            </w:pPr>
            <w:r w:rsidRPr="001265E9">
              <w:rPr>
                <w:rFonts w:cs="Arial"/>
                <w:lang w:val="en-AU" w:eastAsia="en-GB"/>
              </w:rPr>
              <w:t>───────</w:t>
            </w:r>
          </w:p>
        </w:tc>
        <w:tc>
          <w:tcPr>
            <w:tcW w:w="1701" w:type="dxa"/>
            <w:tcBorders>
              <w:top w:val="nil"/>
              <w:left w:val="nil"/>
              <w:bottom w:val="nil"/>
              <w:right w:val="nil"/>
            </w:tcBorders>
            <w:vAlign w:val="bottom"/>
          </w:tcPr>
          <w:p w14:paraId="0E5D2536" w14:textId="77777777" w:rsidR="001265E9" w:rsidRPr="001265E9" w:rsidRDefault="001265E9" w:rsidP="001265E9">
            <w:pPr>
              <w:jc w:val="right"/>
              <w:rPr>
                <w:rFonts w:cs="Arial"/>
                <w:lang w:val="en-AU" w:eastAsia="en-GB"/>
              </w:rPr>
            </w:pPr>
            <w:r w:rsidRPr="001265E9">
              <w:rPr>
                <w:rFonts w:cs="Arial"/>
                <w:lang w:val="en-AU" w:eastAsia="en-GB"/>
              </w:rPr>
              <w:t>───────</w:t>
            </w:r>
          </w:p>
        </w:tc>
        <w:tc>
          <w:tcPr>
            <w:tcW w:w="1417" w:type="dxa"/>
            <w:tcBorders>
              <w:top w:val="nil"/>
              <w:left w:val="nil"/>
              <w:bottom w:val="nil"/>
              <w:right w:val="nil"/>
            </w:tcBorders>
            <w:vAlign w:val="bottom"/>
          </w:tcPr>
          <w:p w14:paraId="26693234" w14:textId="77777777" w:rsidR="001265E9" w:rsidRPr="001265E9" w:rsidRDefault="001265E9" w:rsidP="001265E9">
            <w:pPr>
              <w:jc w:val="right"/>
              <w:rPr>
                <w:rFonts w:cs="Arial"/>
                <w:lang w:val="en-AU" w:eastAsia="en-GB"/>
              </w:rPr>
            </w:pPr>
            <w:r w:rsidRPr="001265E9">
              <w:rPr>
                <w:rFonts w:cs="Arial"/>
                <w:lang w:val="en-AU" w:eastAsia="en-GB"/>
              </w:rPr>
              <w:t>──────</w:t>
            </w:r>
          </w:p>
        </w:tc>
      </w:tr>
      <w:tr w:rsidR="001265E9" w:rsidRPr="00C328EF" w14:paraId="2A085987" w14:textId="77777777" w:rsidTr="00006C5B">
        <w:trPr>
          <w:gridBefore w:val="6"/>
          <w:wBefore w:w="15311" w:type="dxa"/>
          <w:trHeight w:val="255"/>
        </w:trPr>
        <w:tc>
          <w:tcPr>
            <w:tcW w:w="4359" w:type="dxa"/>
            <w:tcBorders>
              <w:top w:val="nil"/>
              <w:left w:val="nil"/>
              <w:bottom w:val="nil"/>
              <w:right w:val="nil"/>
            </w:tcBorders>
          </w:tcPr>
          <w:p w14:paraId="216BDA27" w14:textId="77777777" w:rsidR="001265E9" w:rsidRPr="001265E9" w:rsidRDefault="001265E9" w:rsidP="001265E9">
            <w:pPr>
              <w:ind w:left="227"/>
              <w:rPr>
                <w:rFonts w:cs="Arial"/>
                <w:lang w:val="en-AU" w:eastAsia="en-GB"/>
              </w:rPr>
            </w:pPr>
            <w:r w:rsidRPr="001265E9">
              <w:rPr>
                <w:rFonts w:cs="Arial"/>
                <w:lang w:val="en-AU" w:eastAsia="en-GB"/>
              </w:rPr>
              <w:t>Total expected outflows</w:t>
            </w:r>
          </w:p>
        </w:tc>
        <w:tc>
          <w:tcPr>
            <w:tcW w:w="992" w:type="dxa"/>
            <w:tcBorders>
              <w:top w:val="nil"/>
              <w:left w:val="nil"/>
              <w:bottom w:val="nil"/>
              <w:right w:val="nil"/>
            </w:tcBorders>
          </w:tcPr>
          <w:p w14:paraId="419CCD4E" w14:textId="77777777" w:rsidR="001265E9" w:rsidRPr="00F0414A" w:rsidRDefault="001265E9" w:rsidP="001265E9">
            <w:pPr>
              <w:jc w:val="right"/>
              <w:rPr>
                <w:rFonts w:cs="Arial"/>
                <w:lang w:val="en-AU" w:eastAsia="en-GB"/>
              </w:rPr>
            </w:pPr>
          </w:p>
        </w:tc>
        <w:tc>
          <w:tcPr>
            <w:tcW w:w="1985" w:type="dxa"/>
            <w:gridSpan w:val="4"/>
            <w:tcBorders>
              <w:top w:val="nil"/>
              <w:left w:val="nil"/>
              <w:bottom w:val="nil"/>
              <w:right w:val="nil"/>
            </w:tcBorders>
          </w:tcPr>
          <w:p w14:paraId="377CF996" w14:textId="77777777" w:rsidR="001265E9" w:rsidRPr="001265E9" w:rsidRDefault="001265E9" w:rsidP="001265E9">
            <w:pPr>
              <w:jc w:val="right"/>
              <w:rPr>
                <w:rFonts w:cs="Arial"/>
                <w:lang w:val="en-AU" w:eastAsia="en-GB"/>
              </w:rPr>
            </w:pPr>
            <w:r w:rsidRPr="001265E9">
              <w:rPr>
                <w:rFonts w:cs="Arial"/>
                <w:spacing w:val="-2"/>
              </w:rPr>
              <w:t>38,465</w:t>
            </w:r>
          </w:p>
        </w:tc>
        <w:tc>
          <w:tcPr>
            <w:tcW w:w="1701" w:type="dxa"/>
            <w:tcBorders>
              <w:top w:val="nil"/>
              <w:left w:val="nil"/>
              <w:bottom w:val="nil"/>
              <w:right w:val="nil"/>
            </w:tcBorders>
          </w:tcPr>
          <w:p w14:paraId="507FB793" w14:textId="77777777" w:rsidR="001265E9" w:rsidRPr="001265E9" w:rsidRDefault="001265E9" w:rsidP="001265E9">
            <w:pPr>
              <w:jc w:val="right"/>
              <w:rPr>
                <w:rFonts w:cs="Arial"/>
                <w:lang w:val="en-AU" w:eastAsia="en-GB"/>
              </w:rPr>
            </w:pPr>
            <w:r w:rsidRPr="001265E9">
              <w:rPr>
                <w:rFonts w:cs="Arial"/>
                <w:spacing w:val="-2"/>
              </w:rPr>
              <w:t>50,016</w:t>
            </w:r>
          </w:p>
        </w:tc>
        <w:tc>
          <w:tcPr>
            <w:tcW w:w="1417" w:type="dxa"/>
            <w:tcBorders>
              <w:top w:val="nil"/>
              <w:left w:val="nil"/>
              <w:bottom w:val="nil"/>
              <w:right w:val="nil"/>
            </w:tcBorders>
          </w:tcPr>
          <w:p w14:paraId="4EB25233" w14:textId="77777777" w:rsidR="001265E9" w:rsidRPr="001265E9" w:rsidRDefault="001265E9" w:rsidP="001265E9">
            <w:pPr>
              <w:jc w:val="right"/>
              <w:rPr>
                <w:rFonts w:cs="Arial"/>
                <w:lang w:val="en-AU" w:eastAsia="en-GB"/>
              </w:rPr>
            </w:pPr>
            <w:r w:rsidRPr="001265E9">
              <w:rPr>
                <w:rFonts w:cs="Arial"/>
                <w:lang w:val="en-AU" w:eastAsia="en-GB"/>
              </w:rPr>
              <w:t>88,481</w:t>
            </w:r>
          </w:p>
        </w:tc>
      </w:tr>
      <w:tr w:rsidR="001265E9" w:rsidRPr="00C328EF" w14:paraId="0A1AC6B1" w14:textId="77777777" w:rsidTr="00006C5B">
        <w:trPr>
          <w:gridBefore w:val="6"/>
          <w:wBefore w:w="15311" w:type="dxa"/>
          <w:trHeight w:val="155"/>
        </w:trPr>
        <w:tc>
          <w:tcPr>
            <w:tcW w:w="4359" w:type="dxa"/>
            <w:tcBorders>
              <w:top w:val="nil"/>
              <w:left w:val="nil"/>
              <w:bottom w:val="nil"/>
              <w:right w:val="nil"/>
            </w:tcBorders>
          </w:tcPr>
          <w:p w14:paraId="1D5F5235" w14:textId="77777777" w:rsidR="001265E9" w:rsidRPr="001265E9" w:rsidRDefault="001265E9" w:rsidP="001265E9">
            <w:pPr>
              <w:ind w:left="227"/>
              <w:rPr>
                <w:rFonts w:cs="Arial"/>
                <w:lang w:val="en-AU" w:eastAsia="en-GB"/>
              </w:rPr>
            </w:pPr>
          </w:p>
        </w:tc>
        <w:tc>
          <w:tcPr>
            <w:tcW w:w="992" w:type="dxa"/>
            <w:tcBorders>
              <w:top w:val="nil"/>
              <w:left w:val="nil"/>
              <w:bottom w:val="nil"/>
              <w:right w:val="nil"/>
            </w:tcBorders>
          </w:tcPr>
          <w:p w14:paraId="6CE17DA3" w14:textId="77777777" w:rsidR="001265E9" w:rsidRPr="00F0414A" w:rsidRDefault="001265E9" w:rsidP="001265E9">
            <w:pPr>
              <w:jc w:val="right"/>
              <w:rPr>
                <w:rFonts w:cs="Arial"/>
                <w:lang w:val="en-AU" w:eastAsia="en-GB"/>
              </w:rPr>
            </w:pPr>
          </w:p>
        </w:tc>
        <w:tc>
          <w:tcPr>
            <w:tcW w:w="1985" w:type="dxa"/>
            <w:gridSpan w:val="4"/>
            <w:tcBorders>
              <w:top w:val="nil"/>
              <w:left w:val="nil"/>
              <w:bottom w:val="nil"/>
              <w:right w:val="nil"/>
            </w:tcBorders>
          </w:tcPr>
          <w:p w14:paraId="219DD3DF" w14:textId="77777777" w:rsidR="001265E9" w:rsidRPr="001265E9" w:rsidRDefault="001265E9" w:rsidP="001265E9">
            <w:pPr>
              <w:jc w:val="right"/>
              <w:rPr>
                <w:rFonts w:cs="Arial"/>
                <w:lang w:val="en-AU" w:eastAsia="en-GB"/>
              </w:rPr>
            </w:pPr>
            <w:r w:rsidRPr="001265E9">
              <w:rPr>
                <w:rFonts w:cs="Arial"/>
                <w:lang w:val="en-AU" w:eastAsia="en-GB"/>
              </w:rPr>
              <w:t>═══════</w:t>
            </w:r>
          </w:p>
        </w:tc>
        <w:tc>
          <w:tcPr>
            <w:tcW w:w="1701" w:type="dxa"/>
            <w:tcBorders>
              <w:top w:val="nil"/>
              <w:left w:val="nil"/>
              <w:bottom w:val="nil"/>
              <w:right w:val="nil"/>
            </w:tcBorders>
          </w:tcPr>
          <w:p w14:paraId="3ED5DD04" w14:textId="77777777" w:rsidR="001265E9" w:rsidRPr="001265E9" w:rsidRDefault="001265E9" w:rsidP="001265E9">
            <w:pPr>
              <w:jc w:val="right"/>
              <w:rPr>
                <w:rFonts w:cs="Arial"/>
                <w:lang w:val="en-AU" w:eastAsia="en-GB"/>
              </w:rPr>
            </w:pPr>
            <w:r w:rsidRPr="001265E9">
              <w:rPr>
                <w:rFonts w:cs="Arial"/>
                <w:lang w:val="en-AU" w:eastAsia="en-GB"/>
              </w:rPr>
              <w:t>═══════</w:t>
            </w:r>
          </w:p>
        </w:tc>
        <w:tc>
          <w:tcPr>
            <w:tcW w:w="1417" w:type="dxa"/>
            <w:tcBorders>
              <w:top w:val="nil"/>
              <w:left w:val="nil"/>
              <w:bottom w:val="nil"/>
              <w:right w:val="nil"/>
            </w:tcBorders>
          </w:tcPr>
          <w:p w14:paraId="2D8CB57A" w14:textId="77777777" w:rsidR="001265E9" w:rsidRPr="001265E9" w:rsidRDefault="001265E9" w:rsidP="001265E9">
            <w:pPr>
              <w:jc w:val="right"/>
              <w:rPr>
                <w:rFonts w:cs="Arial"/>
                <w:lang w:val="en-AU" w:eastAsia="en-GB"/>
              </w:rPr>
            </w:pPr>
            <w:r w:rsidRPr="001265E9">
              <w:rPr>
                <w:rFonts w:cs="Arial"/>
                <w:lang w:val="en-AU" w:eastAsia="en-GB"/>
              </w:rPr>
              <w:t>══════</w:t>
            </w:r>
          </w:p>
        </w:tc>
      </w:tr>
      <w:tr w:rsidR="001265E9" w:rsidRPr="00C328EF" w14:paraId="7E844C8D" w14:textId="77777777" w:rsidTr="00006C5B">
        <w:trPr>
          <w:gridBefore w:val="6"/>
          <w:wBefore w:w="15311" w:type="dxa"/>
          <w:trHeight w:val="159"/>
        </w:trPr>
        <w:tc>
          <w:tcPr>
            <w:tcW w:w="4359" w:type="dxa"/>
            <w:tcBorders>
              <w:top w:val="nil"/>
              <w:left w:val="nil"/>
              <w:bottom w:val="nil"/>
              <w:right w:val="nil"/>
            </w:tcBorders>
          </w:tcPr>
          <w:p w14:paraId="40451EB6" w14:textId="77777777" w:rsidR="001265E9" w:rsidRPr="001265E9" w:rsidRDefault="001265E9" w:rsidP="001265E9">
            <w:pPr>
              <w:ind w:left="227"/>
              <w:rPr>
                <w:b/>
                <w:lang w:val="en-AU" w:eastAsia="en-GB"/>
              </w:rPr>
            </w:pPr>
            <w:r w:rsidRPr="001265E9">
              <w:rPr>
                <w:b/>
                <w:lang w:val="en-AU" w:eastAsia="en-GB"/>
              </w:rPr>
              <w:t>Financial assets — cash flows realisable</w:t>
            </w:r>
          </w:p>
        </w:tc>
        <w:tc>
          <w:tcPr>
            <w:tcW w:w="992" w:type="dxa"/>
            <w:tcBorders>
              <w:top w:val="nil"/>
              <w:left w:val="nil"/>
              <w:bottom w:val="nil"/>
              <w:right w:val="nil"/>
            </w:tcBorders>
          </w:tcPr>
          <w:p w14:paraId="36B7FE9D" w14:textId="77777777" w:rsidR="001265E9" w:rsidRPr="00F0414A" w:rsidRDefault="001265E9" w:rsidP="001265E9">
            <w:pPr>
              <w:jc w:val="right"/>
              <w:rPr>
                <w:rFonts w:cs="Arial"/>
                <w:lang w:val="en-AU" w:eastAsia="en-GB"/>
              </w:rPr>
            </w:pPr>
          </w:p>
        </w:tc>
        <w:tc>
          <w:tcPr>
            <w:tcW w:w="1985" w:type="dxa"/>
            <w:gridSpan w:val="4"/>
            <w:tcBorders>
              <w:top w:val="nil"/>
              <w:left w:val="nil"/>
              <w:bottom w:val="nil"/>
              <w:right w:val="nil"/>
            </w:tcBorders>
          </w:tcPr>
          <w:p w14:paraId="4BAFA659" w14:textId="77777777" w:rsidR="001265E9" w:rsidRPr="001265E9" w:rsidRDefault="001265E9" w:rsidP="001265E9">
            <w:pPr>
              <w:jc w:val="right"/>
              <w:rPr>
                <w:rFonts w:cs="Arial"/>
                <w:lang w:val="en-AU" w:eastAsia="en-GB"/>
              </w:rPr>
            </w:pPr>
          </w:p>
        </w:tc>
        <w:tc>
          <w:tcPr>
            <w:tcW w:w="1701" w:type="dxa"/>
            <w:tcBorders>
              <w:top w:val="nil"/>
              <w:left w:val="nil"/>
              <w:bottom w:val="nil"/>
              <w:right w:val="nil"/>
            </w:tcBorders>
          </w:tcPr>
          <w:p w14:paraId="2C8D91F4" w14:textId="77777777" w:rsidR="001265E9" w:rsidRPr="001265E9" w:rsidRDefault="001265E9" w:rsidP="001265E9">
            <w:pPr>
              <w:jc w:val="right"/>
              <w:rPr>
                <w:rFonts w:cs="Arial"/>
                <w:lang w:val="en-AU" w:eastAsia="en-GB"/>
              </w:rPr>
            </w:pPr>
          </w:p>
        </w:tc>
        <w:tc>
          <w:tcPr>
            <w:tcW w:w="1417" w:type="dxa"/>
            <w:tcBorders>
              <w:top w:val="nil"/>
              <w:left w:val="nil"/>
              <w:bottom w:val="nil"/>
              <w:right w:val="nil"/>
            </w:tcBorders>
          </w:tcPr>
          <w:p w14:paraId="4E250D83" w14:textId="77777777" w:rsidR="001265E9" w:rsidRPr="001265E9" w:rsidRDefault="001265E9" w:rsidP="001265E9">
            <w:pPr>
              <w:jc w:val="right"/>
              <w:rPr>
                <w:rFonts w:cs="Arial"/>
                <w:lang w:val="en-AU" w:eastAsia="en-GB"/>
              </w:rPr>
            </w:pPr>
          </w:p>
        </w:tc>
      </w:tr>
      <w:tr w:rsidR="001265E9" w:rsidRPr="00C328EF" w14:paraId="269538BA" w14:textId="77777777" w:rsidTr="00006C5B">
        <w:trPr>
          <w:gridBefore w:val="6"/>
          <w:wBefore w:w="15311" w:type="dxa"/>
          <w:trHeight w:val="219"/>
        </w:trPr>
        <w:tc>
          <w:tcPr>
            <w:tcW w:w="4359" w:type="dxa"/>
            <w:tcBorders>
              <w:top w:val="nil"/>
              <w:left w:val="nil"/>
              <w:bottom w:val="nil"/>
              <w:right w:val="nil"/>
            </w:tcBorders>
          </w:tcPr>
          <w:p w14:paraId="3479C7FE" w14:textId="77777777" w:rsidR="001265E9" w:rsidRPr="001265E9" w:rsidRDefault="001265E9" w:rsidP="001265E9">
            <w:pPr>
              <w:ind w:left="227"/>
              <w:rPr>
                <w:rFonts w:cs="Arial"/>
                <w:lang w:val="en-AU" w:eastAsia="en-GB"/>
              </w:rPr>
            </w:pPr>
            <w:r w:rsidRPr="001265E9">
              <w:rPr>
                <w:rFonts w:cs="Arial"/>
                <w:lang w:val="en-AU" w:eastAsia="en-GB"/>
              </w:rPr>
              <w:t>Cash and cash equivalents</w:t>
            </w:r>
          </w:p>
        </w:tc>
        <w:tc>
          <w:tcPr>
            <w:tcW w:w="992" w:type="dxa"/>
            <w:tcBorders>
              <w:top w:val="nil"/>
              <w:left w:val="nil"/>
              <w:bottom w:val="nil"/>
              <w:right w:val="nil"/>
            </w:tcBorders>
          </w:tcPr>
          <w:p w14:paraId="3EFA1E09" w14:textId="77777777" w:rsidR="001265E9" w:rsidRPr="00F0414A" w:rsidRDefault="001265E9" w:rsidP="001265E9">
            <w:pPr>
              <w:jc w:val="right"/>
              <w:rPr>
                <w:rFonts w:cs="Arial"/>
                <w:lang w:val="en-AU" w:eastAsia="en-GB"/>
              </w:rPr>
            </w:pPr>
            <w:r w:rsidRPr="00F0414A">
              <w:rPr>
                <w:rFonts w:cs="Arial"/>
                <w:lang w:val="en-AU" w:eastAsia="en-GB"/>
              </w:rPr>
              <w:t>1</w:t>
            </w:r>
            <w:r w:rsidR="00F0414A" w:rsidRPr="00F0414A">
              <w:rPr>
                <w:rFonts w:cs="Arial"/>
                <w:lang w:val="en-AU" w:eastAsia="en-GB"/>
              </w:rPr>
              <w:t>3</w:t>
            </w:r>
          </w:p>
        </w:tc>
        <w:tc>
          <w:tcPr>
            <w:tcW w:w="1985" w:type="dxa"/>
            <w:gridSpan w:val="4"/>
            <w:tcBorders>
              <w:top w:val="nil"/>
              <w:left w:val="nil"/>
              <w:bottom w:val="nil"/>
              <w:right w:val="nil"/>
            </w:tcBorders>
          </w:tcPr>
          <w:p w14:paraId="1C5F130B" w14:textId="77777777" w:rsidR="001265E9" w:rsidRPr="001265E9" w:rsidRDefault="001265E9" w:rsidP="001265E9">
            <w:pPr>
              <w:jc w:val="right"/>
              <w:rPr>
                <w:rFonts w:cs="Arial"/>
                <w:lang w:val="en-AU" w:eastAsia="en-GB"/>
              </w:rPr>
            </w:pPr>
            <w:r w:rsidRPr="001265E9">
              <w:rPr>
                <w:rFonts w:cs="Arial"/>
                <w:lang w:val="en-AU" w:eastAsia="en-GB"/>
              </w:rPr>
              <w:t>47,915</w:t>
            </w:r>
          </w:p>
        </w:tc>
        <w:tc>
          <w:tcPr>
            <w:tcW w:w="1701" w:type="dxa"/>
            <w:tcBorders>
              <w:top w:val="nil"/>
              <w:left w:val="nil"/>
              <w:bottom w:val="nil"/>
              <w:right w:val="nil"/>
            </w:tcBorders>
          </w:tcPr>
          <w:p w14:paraId="066A4353" w14:textId="77777777" w:rsidR="001265E9" w:rsidRPr="001265E9" w:rsidRDefault="001265E9" w:rsidP="001265E9">
            <w:pPr>
              <w:jc w:val="right"/>
              <w:rPr>
                <w:rFonts w:cs="Arial"/>
                <w:lang w:val="en-AU" w:eastAsia="en-GB"/>
              </w:rPr>
            </w:pPr>
            <w:r w:rsidRPr="001265E9">
              <w:rPr>
                <w:rFonts w:cs="Arial"/>
                <w:lang w:val="en-AU" w:eastAsia="en-GB"/>
              </w:rPr>
              <w:t>-</w:t>
            </w:r>
          </w:p>
        </w:tc>
        <w:tc>
          <w:tcPr>
            <w:tcW w:w="1417" w:type="dxa"/>
            <w:tcBorders>
              <w:top w:val="nil"/>
              <w:left w:val="nil"/>
              <w:bottom w:val="nil"/>
              <w:right w:val="nil"/>
            </w:tcBorders>
          </w:tcPr>
          <w:p w14:paraId="35A56EB7" w14:textId="77777777" w:rsidR="001265E9" w:rsidRPr="001265E9" w:rsidRDefault="001265E9" w:rsidP="001265E9">
            <w:pPr>
              <w:jc w:val="right"/>
              <w:rPr>
                <w:rFonts w:cs="Arial"/>
                <w:lang w:val="en-AU" w:eastAsia="en-GB"/>
              </w:rPr>
            </w:pPr>
            <w:r w:rsidRPr="001265E9">
              <w:rPr>
                <w:rFonts w:cs="Arial"/>
                <w:lang w:val="en-AU" w:eastAsia="en-GB"/>
              </w:rPr>
              <w:t>47,915</w:t>
            </w:r>
          </w:p>
        </w:tc>
      </w:tr>
      <w:tr w:rsidR="001265E9" w:rsidRPr="00C328EF" w14:paraId="4C1E84D7" w14:textId="77777777" w:rsidTr="00006C5B">
        <w:trPr>
          <w:gridBefore w:val="6"/>
          <w:wBefore w:w="15311" w:type="dxa"/>
          <w:trHeight w:val="255"/>
        </w:trPr>
        <w:tc>
          <w:tcPr>
            <w:tcW w:w="4359" w:type="dxa"/>
            <w:tcBorders>
              <w:top w:val="nil"/>
              <w:left w:val="nil"/>
              <w:bottom w:val="nil"/>
              <w:right w:val="nil"/>
            </w:tcBorders>
          </w:tcPr>
          <w:p w14:paraId="45ADEDAB" w14:textId="77777777" w:rsidR="001265E9" w:rsidRPr="001265E9" w:rsidRDefault="001265E9" w:rsidP="001265E9">
            <w:pPr>
              <w:ind w:left="227"/>
              <w:rPr>
                <w:rFonts w:cs="Arial"/>
                <w:lang w:val="en-AU" w:eastAsia="en-GB"/>
              </w:rPr>
            </w:pPr>
            <w:r w:rsidRPr="001265E9">
              <w:rPr>
                <w:rFonts w:cs="Arial"/>
                <w:lang w:val="en-AU" w:eastAsia="en-GB"/>
              </w:rPr>
              <w:t>Trade and other receivables</w:t>
            </w:r>
          </w:p>
        </w:tc>
        <w:tc>
          <w:tcPr>
            <w:tcW w:w="992" w:type="dxa"/>
            <w:tcBorders>
              <w:top w:val="nil"/>
              <w:left w:val="nil"/>
              <w:bottom w:val="nil"/>
              <w:right w:val="nil"/>
            </w:tcBorders>
          </w:tcPr>
          <w:p w14:paraId="3C839881" w14:textId="77777777" w:rsidR="001265E9" w:rsidRPr="00F0414A" w:rsidRDefault="001265E9" w:rsidP="001265E9">
            <w:pPr>
              <w:jc w:val="right"/>
              <w:rPr>
                <w:rFonts w:cs="Arial"/>
                <w:lang w:val="en-AU" w:eastAsia="en-GB"/>
              </w:rPr>
            </w:pPr>
            <w:r w:rsidRPr="00F0414A">
              <w:rPr>
                <w:rFonts w:cs="Arial"/>
                <w:lang w:val="en-AU" w:eastAsia="en-GB"/>
              </w:rPr>
              <w:t>1</w:t>
            </w:r>
            <w:r w:rsidR="00F0414A" w:rsidRPr="00F0414A">
              <w:rPr>
                <w:rFonts w:cs="Arial"/>
                <w:lang w:val="en-AU" w:eastAsia="en-GB"/>
              </w:rPr>
              <w:t>2</w:t>
            </w:r>
          </w:p>
        </w:tc>
        <w:tc>
          <w:tcPr>
            <w:tcW w:w="1985" w:type="dxa"/>
            <w:gridSpan w:val="4"/>
            <w:tcBorders>
              <w:top w:val="nil"/>
              <w:left w:val="nil"/>
              <w:bottom w:val="nil"/>
              <w:right w:val="nil"/>
            </w:tcBorders>
          </w:tcPr>
          <w:p w14:paraId="1F7E6F79" w14:textId="77777777" w:rsidR="001265E9" w:rsidRPr="001265E9" w:rsidRDefault="001265E9" w:rsidP="001265E9">
            <w:pPr>
              <w:jc w:val="right"/>
              <w:rPr>
                <w:rFonts w:cs="Arial"/>
                <w:lang w:val="en-AU" w:eastAsia="en-GB"/>
              </w:rPr>
            </w:pPr>
            <w:r w:rsidRPr="001265E9">
              <w:rPr>
                <w:rFonts w:cs="Arial"/>
                <w:lang w:val="en-AU" w:eastAsia="en-GB"/>
              </w:rPr>
              <w:t>5,179</w:t>
            </w:r>
          </w:p>
        </w:tc>
        <w:tc>
          <w:tcPr>
            <w:tcW w:w="1701" w:type="dxa"/>
            <w:tcBorders>
              <w:top w:val="nil"/>
              <w:left w:val="nil"/>
              <w:bottom w:val="nil"/>
              <w:right w:val="nil"/>
            </w:tcBorders>
          </w:tcPr>
          <w:p w14:paraId="508729EE" w14:textId="77777777" w:rsidR="001265E9" w:rsidRPr="001265E9" w:rsidRDefault="001265E9" w:rsidP="001265E9">
            <w:pPr>
              <w:jc w:val="right"/>
              <w:rPr>
                <w:rFonts w:cs="Arial"/>
                <w:lang w:val="en-AU" w:eastAsia="en-GB"/>
              </w:rPr>
            </w:pPr>
            <w:r w:rsidRPr="001265E9">
              <w:rPr>
                <w:rFonts w:cs="Arial"/>
                <w:lang w:val="en-AU" w:eastAsia="en-GB"/>
              </w:rPr>
              <w:t>-</w:t>
            </w:r>
          </w:p>
        </w:tc>
        <w:tc>
          <w:tcPr>
            <w:tcW w:w="1417" w:type="dxa"/>
            <w:tcBorders>
              <w:top w:val="nil"/>
              <w:left w:val="nil"/>
              <w:bottom w:val="nil"/>
              <w:right w:val="nil"/>
            </w:tcBorders>
          </w:tcPr>
          <w:p w14:paraId="6C607968" w14:textId="77777777" w:rsidR="001265E9" w:rsidRPr="001265E9" w:rsidRDefault="001265E9" w:rsidP="001265E9">
            <w:pPr>
              <w:jc w:val="right"/>
              <w:rPr>
                <w:rFonts w:cs="Arial"/>
                <w:lang w:val="en-AU" w:eastAsia="en-GB"/>
              </w:rPr>
            </w:pPr>
            <w:r w:rsidRPr="001265E9">
              <w:rPr>
                <w:rFonts w:cs="Arial"/>
                <w:lang w:val="en-AU" w:eastAsia="en-GB"/>
              </w:rPr>
              <w:t>5,179</w:t>
            </w:r>
          </w:p>
        </w:tc>
      </w:tr>
      <w:tr w:rsidR="001265E9" w:rsidRPr="00C328EF" w14:paraId="3AB15AEF" w14:textId="77777777" w:rsidTr="00006C5B">
        <w:trPr>
          <w:gridBefore w:val="6"/>
          <w:wBefore w:w="15311" w:type="dxa"/>
          <w:trHeight w:val="143"/>
        </w:trPr>
        <w:tc>
          <w:tcPr>
            <w:tcW w:w="4359" w:type="dxa"/>
            <w:tcBorders>
              <w:top w:val="nil"/>
              <w:left w:val="nil"/>
              <w:bottom w:val="nil"/>
              <w:right w:val="nil"/>
            </w:tcBorders>
          </w:tcPr>
          <w:p w14:paraId="49DB01E6" w14:textId="77777777" w:rsidR="001265E9" w:rsidRPr="001265E9" w:rsidRDefault="001265E9" w:rsidP="001265E9">
            <w:pPr>
              <w:ind w:left="227"/>
              <w:rPr>
                <w:rFonts w:cs="Arial"/>
                <w:lang w:val="en-AU" w:eastAsia="en-GB"/>
              </w:rPr>
            </w:pPr>
          </w:p>
        </w:tc>
        <w:tc>
          <w:tcPr>
            <w:tcW w:w="992" w:type="dxa"/>
            <w:tcBorders>
              <w:top w:val="nil"/>
              <w:left w:val="nil"/>
              <w:bottom w:val="nil"/>
              <w:right w:val="nil"/>
            </w:tcBorders>
          </w:tcPr>
          <w:p w14:paraId="71E4AD91" w14:textId="77777777" w:rsidR="001265E9" w:rsidRPr="00F0414A" w:rsidRDefault="001265E9" w:rsidP="001265E9">
            <w:pPr>
              <w:jc w:val="right"/>
              <w:rPr>
                <w:rFonts w:cs="Arial"/>
                <w:lang w:val="en-AU" w:eastAsia="en-GB"/>
              </w:rPr>
            </w:pPr>
          </w:p>
        </w:tc>
        <w:tc>
          <w:tcPr>
            <w:tcW w:w="1985" w:type="dxa"/>
            <w:gridSpan w:val="4"/>
            <w:tcBorders>
              <w:top w:val="nil"/>
              <w:left w:val="nil"/>
              <w:bottom w:val="nil"/>
              <w:right w:val="nil"/>
            </w:tcBorders>
            <w:vAlign w:val="bottom"/>
          </w:tcPr>
          <w:p w14:paraId="6CE38BC9" w14:textId="77777777" w:rsidR="001265E9" w:rsidRPr="001265E9" w:rsidRDefault="001265E9" w:rsidP="001265E9">
            <w:pPr>
              <w:jc w:val="right"/>
              <w:rPr>
                <w:rFonts w:cs="Arial"/>
                <w:lang w:val="en-AU" w:eastAsia="en-GB"/>
              </w:rPr>
            </w:pPr>
            <w:r w:rsidRPr="001265E9">
              <w:rPr>
                <w:rFonts w:cs="Arial"/>
                <w:lang w:val="en-AU" w:eastAsia="en-GB"/>
              </w:rPr>
              <w:t>───────</w:t>
            </w:r>
          </w:p>
        </w:tc>
        <w:tc>
          <w:tcPr>
            <w:tcW w:w="1701" w:type="dxa"/>
            <w:tcBorders>
              <w:top w:val="nil"/>
              <w:left w:val="nil"/>
              <w:bottom w:val="nil"/>
              <w:right w:val="nil"/>
            </w:tcBorders>
            <w:vAlign w:val="bottom"/>
          </w:tcPr>
          <w:p w14:paraId="70767E73" w14:textId="77777777" w:rsidR="001265E9" w:rsidRPr="001265E9" w:rsidRDefault="001265E9" w:rsidP="001265E9">
            <w:pPr>
              <w:jc w:val="right"/>
              <w:rPr>
                <w:rFonts w:cs="Arial"/>
                <w:lang w:val="en-AU" w:eastAsia="en-GB"/>
              </w:rPr>
            </w:pPr>
            <w:r w:rsidRPr="001265E9">
              <w:rPr>
                <w:rFonts w:cs="Arial"/>
                <w:lang w:val="en-AU" w:eastAsia="en-GB"/>
              </w:rPr>
              <w:t>───────</w:t>
            </w:r>
          </w:p>
        </w:tc>
        <w:tc>
          <w:tcPr>
            <w:tcW w:w="1417" w:type="dxa"/>
            <w:tcBorders>
              <w:top w:val="nil"/>
              <w:left w:val="nil"/>
              <w:bottom w:val="nil"/>
              <w:right w:val="nil"/>
            </w:tcBorders>
            <w:vAlign w:val="bottom"/>
          </w:tcPr>
          <w:p w14:paraId="0CDDF94B" w14:textId="77777777" w:rsidR="001265E9" w:rsidRPr="001265E9" w:rsidRDefault="001265E9" w:rsidP="001265E9">
            <w:pPr>
              <w:jc w:val="right"/>
              <w:rPr>
                <w:rFonts w:cs="Arial"/>
                <w:lang w:val="en-AU" w:eastAsia="en-GB"/>
              </w:rPr>
            </w:pPr>
            <w:r w:rsidRPr="001265E9">
              <w:rPr>
                <w:rFonts w:cs="Arial"/>
                <w:lang w:val="en-AU" w:eastAsia="en-GB"/>
              </w:rPr>
              <w:t>──────</w:t>
            </w:r>
          </w:p>
        </w:tc>
      </w:tr>
      <w:tr w:rsidR="001265E9" w:rsidRPr="00C328EF" w14:paraId="133D3113" w14:textId="77777777" w:rsidTr="00006C5B">
        <w:trPr>
          <w:gridBefore w:val="6"/>
          <w:wBefore w:w="15311" w:type="dxa"/>
          <w:trHeight w:val="255"/>
        </w:trPr>
        <w:tc>
          <w:tcPr>
            <w:tcW w:w="4359" w:type="dxa"/>
            <w:tcBorders>
              <w:top w:val="nil"/>
              <w:left w:val="nil"/>
              <w:bottom w:val="nil"/>
              <w:right w:val="nil"/>
            </w:tcBorders>
          </w:tcPr>
          <w:p w14:paraId="40FA4E81" w14:textId="77777777" w:rsidR="001265E9" w:rsidRPr="001265E9" w:rsidRDefault="001265E9" w:rsidP="001265E9">
            <w:pPr>
              <w:ind w:left="227"/>
              <w:rPr>
                <w:rFonts w:cs="Arial"/>
                <w:lang w:val="en-AU" w:eastAsia="en-GB"/>
              </w:rPr>
            </w:pPr>
            <w:r w:rsidRPr="001265E9">
              <w:rPr>
                <w:rFonts w:cs="Arial"/>
                <w:lang w:val="en-AU" w:eastAsia="en-GB"/>
              </w:rPr>
              <w:t>Total anticipated inflows</w:t>
            </w:r>
          </w:p>
        </w:tc>
        <w:tc>
          <w:tcPr>
            <w:tcW w:w="992" w:type="dxa"/>
            <w:tcBorders>
              <w:top w:val="nil"/>
              <w:left w:val="nil"/>
              <w:bottom w:val="nil"/>
              <w:right w:val="nil"/>
            </w:tcBorders>
          </w:tcPr>
          <w:p w14:paraId="5DA26FDF" w14:textId="77777777" w:rsidR="001265E9" w:rsidRPr="001265E9" w:rsidRDefault="001265E9" w:rsidP="001265E9">
            <w:pPr>
              <w:jc w:val="right"/>
              <w:rPr>
                <w:rFonts w:cs="Arial"/>
                <w:lang w:val="en-AU" w:eastAsia="en-GB"/>
              </w:rPr>
            </w:pPr>
          </w:p>
        </w:tc>
        <w:tc>
          <w:tcPr>
            <w:tcW w:w="1985" w:type="dxa"/>
            <w:gridSpan w:val="4"/>
            <w:tcBorders>
              <w:top w:val="nil"/>
              <w:left w:val="nil"/>
              <w:bottom w:val="nil"/>
              <w:right w:val="nil"/>
            </w:tcBorders>
          </w:tcPr>
          <w:p w14:paraId="3BAAA304" w14:textId="77777777" w:rsidR="001265E9" w:rsidRPr="001265E9" w:rsidRDefault="001265E9" w:rsidP="001265E9">
            <w:pPr>
              <w:jc w:val="right"/>
              <w:rPr>
                <w:rFonts w:cs="Arial"/>
                <w:lang w:val="en-AU" w:eastAsia="en-GB"/>
              </w:rPr>
            </w:pPr>
            <w:r w:rsidRPr="001265E9">
              <w:rPr>
                <w:rFonts w:cs="Arial"/>
                <w:lang w:val="en-AU" w:eastAsia="en-GB"/>
              </w:rPr>
              <w:t>53,094</w:t>
            </w:r>
          </w:p>
        </w:tc>
        <w:tc>
          <w:tcPr>
            <w:tcW w:w="1701" w:type="dxa"/>
            <w:tcBorders>
              <w:top w:val="nil"/>
              <w:left w:val="nil"/>
              <w:bottom w:val="nil"/>
              <w:right w:val="nil"/>
            </w:tcBorders>
          </w:tcPr>
          <w:p w14:paraId="1C3CA49A" w14:textId="77777777" w:rsidR="001265E9" w:rsidRPr="001265E9" w:rsidRDefault="001265E9" w:rsidP="001265E9">
            <w:pPr>
              <w:jc w:val="right"/>
              <w:rPr>
                <w:rFonts w:cs="Arial"/>
                <w:lang w:val="en-AU" w:eastAsia="en-GB"/>
              </w:rPr>
            </w:pPr>
            <w:r w:rsidRPr="001265E9">
              <w:rPr>
                <w:rFonts w:cs="Arial"/>
                <w:lang w:val="en-AU" w:eastAsia="en-GB"/>
              </w:rPr>
              <w:t>-</w:t>
            </w:r>
          </w:p>
        </w:tc>
        <w:tc>
          <w:tcPr>
            <w:tcW w:w="1417" w:type="dxa"/>
            <w:tcBorders>
              <w:top w:val="nil"/>
              <w:left w:val="nil"/>
              <w:bottom w:val="nil"/>
              <w:right w:val="nil"/>
            </w:tcBorders>
          </w:tcPr>
          <w:p w14:paraId="5D835ABF" w14:textId="77777777" w:rsidR="001265E9" w:rsidRPr="001265E9" w:rsidRDefault="001265E9" w:rsidP="001265E9">
            <w:pPr>
              <w:jc w:val="right"/>
              <w:rPr>
                <w:rFonts w:cs="Arial"/>
                <w:lang w:val="en-AU" w:eastAsia="en-GB"/>
              </w:rPr>
            </w:pPr>
            <w:r w:rsidRPr="001265E9">
              <w:rPr>
                <w:rFonts w:cs="Arial"/>
                <w:lang w:val="en-AU" w:eastAsia="en-GB"/>
              </w:rPr>
              <w:t>53,094</w:t>
            </w:r>
          </w:p>
        </w:tc>
      </w:tr>
      <w:tr w:rsidR="001265E9" w:rsidRPr="00C328EF" w14:paraId="6D5FECF4" w14:textId="77777777" w:rsidTr="00006C5B">
        <w:trPr>
          <w:gridBefore w:val="6"/>
          <w:wBefore w:w="15311" w:type="dxa"/>
          <w:trHeight w:val="259"/>
        </w:trPr>
        <w:tc>
          <w:tcPr>
            <w:tcW w:w="4359" w:type="dxa"/>
            <w:tcBorders>
              <w:top w:val="nil"/>
              <w:left w:val="nil"/>
              <w:bottom w:val="nil"/>
              <w:right w:val="nil"/>
            </w:tcBorders>
          </w:tcPr>
          <w:p w14:paraId="2D9057A8" w14:textId="77777777" w:rsidR="001265E9" w:rsidRPr="001265E9" w:rsidRDefault="001265E9" w:rsidP="001265E9">
            <w:pPr>
              <w:ind w:left="227"/>
              <w:rPr>
                <w:rFonts w:cs="Arial"/>
                <w:lang w:val="en-AU" w:eastAsia="en-GB"/>
              </w:rPr>
            </w:pPr>
          </w:p>
        </w:tc>
        <w:tc>
          <w:tcPr>
            <w:tcW w:w="992" w:type="dxa"/>
            <w:tcBorders>
              <w:top w:val="nil"/>
              <w:left w:val="nil"/>
              <w:bottom w:val="nil"/>
              <w:right w:val="nil"/>
            </w:tcBorders>
          </w:tcPr>
          <w:p w14:paraId="157F92E3" w14:textId="77777777" w:rsidR="001265E9" w:rsidRPr="001265E9" w:rsidRDefault="001265E9" w:rsidP="001265E9">
            <w:pPr>
              <w:jc w:val="right"/>
              <w:rPr>
                <w:rFonts w:cs="Arial"/>
                <w:lang w:val="en-AU" w:eastAsia="en-GB"/>
              </w:rPr>
            </w:pPr>
          </w:p>
        </w:tc>
        <w:tc>
          <w:tcPr>
            <w:tcW w:w="1985" w:type="dxa"/>
            <w:gridSpan w:val="4"/>
            <w:tcBorders>
              <w:top w:val="nil"/>
              <w:left w:val="nil"/>
              <w:bottom w:val="nil"/>
              <w:right w:val="nil"/>
            </w:tcBorders>
            <w:vAlign w:val="bottom"/>
          </w:tcPr>
          <w:p w14:paraId="5A32D38C" w14:textId="77777777" w:rsidR="001265E9" w:rsidRPr="001265E9" w:rsidRDefault="001265E9" w:rsidP="001265E9">
            <w:pPr>
              <w:jc w:val="right"/>
              <w:rPr>
                <w:rFonts w:cs="Arial"/>
                <w:lang w:val="en-AU" w:eastAsia="en-GB"/>
              </w:rPr>
            </w:pPr>
            <w:r w:rsidRPr="001265E9">
              <w:rPr>
                <w:rFonts w:cs="Arial"/>
                <w:lang w:val="en-AU" w:eastAsia="en-GB"/>
              </w:rPr>
              <w:t>───────</w:t>
            </w:r>
          </w:p>
        </w:tc>
        <w:tc>
          <w:tcPr>
            <w:tcW w:w="1701" w:type="dxa"/>
            <w:tcBorders>
              <w:top w:val="nil"/>
              <w:left w:val="nil"/>
              <w:bottom w:val="nil"/>
              <w:right w:val="nil"/>
            </w:tcBorders>
            <w:vAlign w:val="bottom"/>
          </w:tcPr>
          <w:p w14:paraId="6AEA8DD4" w14:textId="77777777" w:rsidR="001265E9" w:rsidRPr="001265E9" w:rsidRDefault="001265E9" w:rsidP="001265E9">
            <w:pPr>
              <w:jc w:val="right"/>
              <w:rPr>
                <w:rFonts w:cs="Arial"/>
                <w:lang w:val="en-AU" w:eastAsia="en-GB"/>
              </w:rPr>
            </w:pPr>
            <w:r w:rsidRPr="001265E9">
              <w:rPr>
                <w:rFonts w:cs="Arial"/>
                <w:lang w:val="en-AU" w:eastAsia="en-GB"/>
              </w:rPr>
              <w:t>───────</w:t>
            </w:r>
          </w:p>
        </w:tc>
        <w:tc>
          <w:tcPr>
            <w:tcW w:w="1417" w:type="dxa"/>
            <w:tcBorders>
              <w:top w:val="nil"/>
              <w:left w:val="nil"/>
              <w:bottom w:val="nil"/>
              <w:right w:val="nil"/>
            </w:tcBorders>
            <w:vAlign w:val="bottom"/>
          </w:tcPr>
          <w:p w14:paraId="434FF467" w14:textId="77777777" w:rsidR="001265E9" w:rsidRPr="001265E9" w:rsidRDefault="001265E9" w:rsidP="001265E9">
            <w:pPr>
              <w:jc w:val="right"/>
              <w:rPr>
                <w:rFonts w:cs="Arial"/>
                <w:lang w:val="en-AU" w:eastAsia="en-GB"/>
              </w:rPr>
            </w:pPr>
            <w:r w:rsidRPr="001265E9">
              <w:rPr>
                <w:rFonts w:cs="Arial"/>
                <w:lang w:val="en-AU" w:eastAsia="en-GB"/>
              </w:rPr>
              <w:t>──────</w:t>
            </w:r>
          </w:p>
        </w:tc>
      </w:tr>
      <w:tr w:rsidR="001265E9" w:rsidRPr="00C328EF" w14:paraId="472F98D0" w14:textId="77777777" w:rsidTr="00006C5B">
        <w:trPr>
          <w:gridBefore w:val="6"/>
          <w:wBefore w:w="15311" w:type="dxa"/>
          <w:trHeight w:val="259"/>
        </w:trPr>
        <w:tc>
          <w:tcPr>
            <w:tcW w:w="4359" w:type="dxa"/>
            <w:tcBorders>
              <w:top w:val="nil"/>
              <w:left w:val="nil"/>
              <w:bottom w:val="nil"/>
              <w:right w:val="nil"/>
            </w:tcBorders>
          </w:tcPr>
          <w:p w14:paraId="14124F2B" w14:textId="77777777" w:rsidR="001265E9" w:rsidRPr="001265E9" w:rsidRDefault="001265E9" w:rsidP="001265E9">
            <w:pPr>
              <w:ind w:left="227"/>
              <w:rPr>
                <w:rFonts w:cs="Arial"/>
                <w:lang w:val="en-AU" w:eastAsia="en-GB"/>
              </w:rPr>
            </w:pPr>
            <w:r w:rsidRPr="001265E9">
              <w:rPr>
                <w:rFonts w:cs="Arial"/>
                <w:lang w:val="en-AU" w:eastAsia="en-GB"/>
              </w:rPr>
              <w:t>Net inflow/(outflow) of financial instruments</w:t>
            </w:r>
          </w:p>
        </w:tc>
        <w:tc>
          <w:tcPr>
            <w:tcW w:w="992" w:type="dxa"/>
            <w:tcBorders>
              <w:top w:val="nil"/>
              <w:left w:val="nil"/>
              <w:bottom w:val="nil"/>
              <w:right w:val="nil"/>
            </w:tcBorders>
          </w:tcPr>
          <w:p w14:paraId="1D73E849" w14:textId="77777777" w:rsidR="001265E9" w:rsidRPr="001265E9" w:rsidRDefault="001265E9" w:rsidP="001265E9">
            <w:pPr>
              <w:jc w:val="right"/>
              <w:rPr>
                <w:rFonts w:cs="Arial"/>
                <w:lang w:val="en-AU" w:eastAsia="en-GB"/>
              </w:rPr>
            </w:pPr>
          </w:p>
        </w:tc>
        <w:tc>
          <w:tcPr>
            <w:tcW w:w="1985" w:type="dxa"/>
            <w:gridSpan w:val="4"/>
            <w:tcBorders>
              <w:top w:val="nil"/>
              <w:left w:val="nil"/>
              <w:bottom w:val="nil"/>
              <w:right w:val="nil"/>
            </w:tcBorders>
          </w:tcPr>
          <w:p w14:paraId="02A2ECD3" w14:textId="77777777" w:rsidR="001265E9" w:rsidRPr="001265E9" w:rsidRDefault="001265E9" w:rsidP="001265E9">
            <w:pPr>
              <w:jc w:val="right"/>
              <w:rPr>
                <w:rFonts w:cs="Arial"/>
                <w:lang w:val="en-AU" w:eastAsia="en-GB"/>
              </w:rPr>
            </w:pPr>
            <w:r w:rsidRPr="001265E9">
              <w:rPr>
                <w:rFonts w:cs="Arial"/>
                <w:lang w:val="en-AU" w:eastAsia="en-GB"/>
              </w:rPr>
              <w:t>14,629</w:t>
            </w:r>
          </w:p>
        </w:tc>
        <w:tc>
          <w:tcPr>
            <w:tcW w:w="1701" w:type="dxa"/>
            <w:tcBorders>
              <w:top w:val="nil"/>
              <w:left w:val="nil"/>
              <w:bottom w:val="nil"/>
              <w:right w:val="nil"/>
            </w:tcBorders>
          </w:tcPr>
          <w:p w14:paraId="3F6405E3" w14:textId="77777777" w:rsidR="001265E9" w:rsidRPr="001265E9" w:rsidRDefault="001265E9" w:rsidP="001265E9">
            <w:pPr>
              <w:jc w:val="right"/>
              <w:rPr>
                <w:rFonts w:cs="Arial"/>
                <w:lang w:val="en-AU" w:eastAsia="en-GB"/>
              </w:rPr>
            </w:pPr>
            <w:r w:rsidRPr="001265E9">
              <w:rPr>
                <w:rFonts w:cs="Arial"/>
                <w:lang w:val="en-AU" w:eastAsia="en-GB"/>
              </w:rPr>
              <w:t>(</w:t>
            </w:r>
            <w:r w:rsidRPr="001265E9">
              <w:rPr>
                <w:rFonts w:cs="Arial"/>
                <w:spacing w:val="-2"/>
              </w:rPr>
              <w:t>50,016</w:t>
            </w:r>
            <w:r w:rsidRPr="001265E9">
              <w:rPr>
                <w:rFonts w:cs="Arial"/>
                <w:lang w:val="en-AU" w:eastAsia="en-GB"/>
              </w:rPr>
              <w:t>)</w:t>
            </w:r>
          </w:p>
        </w:tc>
        <w:tc>
          <w:tcPr>
            <w:tcW w:w="1417" w:type="dxa"/>
            <w:tcBorders>
              <w:top w:val="nil"/>
              <w:left w:val="nil"/>
              <w:bottom w:val="nil"/>
              <w:right w:val="nil"/>
            </w:tcBorders>
          </w:tcPr>
          <w:p w14:paraId="7B42A7E3" w14:textId="77777777" w:rsidR="001265E9" w:rsidRPr="001265E9" w:rsidRDefault="001265E9" w:rsidP="001265E9">
            <w:pPr>
              <w:jc w:val="right"/>
              <w:rPr>
                <w:rFonts w:cs="Arial"/>
                <w:lang w:val="en-AU" w:eastAsia="en-GB"/>
              </w:rPr>
            </w:pPr>
            <w:r w:rsidRPr="001265E9">
              <w:rPr>
                <w:rFonts w:cs="Arial"/>
                <w:lang w:val="en-AU" w:eastAsia="en-GB"/>
              </w:rPr>
              <w:t>(35,387)</w:t>
            </w:r>
          </w:p>
        </w:tc>
      </w:tr>
      <w:tr w:rsidR="001265E9" w:rsidRPr="00C328EF" w14:paraId="4167208A" w14:textId="77777777" w:rsidTr="00006C5B">
        <w:trPr>
          <w:gridBefore w:val="6"/>
          <w:wBefore w:w="15311" w:type="dxa"/>
          <w:trHeight w:val="202"/>
        </w:trPr>
        <w:tc>
          <w:tcPr>
            <w:tcW w:w="4359" w:type="dxa"/>
            <w:tcBorders>
              <w:top w:val="nil"/>
              <w:left w:val="nil"/>
              <w:bottom w:val="nil"/>
              <w:right w:val="nil"/>
            </w:tcBorders>
          </w:tcPr>
          <w:p w14:paraId="08064C64" w14:textId="77777777" w:rsidR="001265E9" w:rsidRPr="001265E9" w:rsidRDefault="001265E9" w:rsidP="001265E9">
            <w:pPr>
              <w:rPr>
                <w:rFonts w:cs="Arial"/>
                <w:lang w:val="en-AU" w:eastAsia="en-GB"/>
              </w:rPr>
            </w:pPr>
          </w:p>
        </w:tc>
        <w:tc>
          <w:tcPr>
            <w:tcW w:w="992" w:type="dxa"/>
            <w:tcBorders>
              <w:top w:val="nil"/>
              <w:left w:val="nil"/>
              <w:bottom w:val="nil"/>
              <w:right w:val="nil"/>
            </w:tcBorders>
          </w:tcPr>
          <w:p w14:paraId="74AD5039" w14:textId="77777777" w:rsidR="001265E9" w:rsidRPr="001265E9" w:rsidRDefault="001265E9" w:rsidP="001265E9">
            <w:pPr>
              <w:jc w:val="right"/>
              <w:rPr>
                <w:rFonts w:cs="Arial"/>
                <w:lang w:val="en-AU" w:eastAsia="en-GB"/>
              </w:rPr>
            </w:pPr>
          </w:p>
        </w:tc>
        <w:tc>
          <w:tcPr>
            <w:tcW w:w="1985" w:type="dxa"/>
            <w:gridSpan w:val="4"/>
            <w:tcBorders>
              <w:top w:val="nil"/>
              <w:left w:val="nil"/>
              <w:bottom w:val="nil"/>
              <w:right w:val="nil"/>
            </w:tcBorders>
          </w:tcPr>
          <w:p w14:paraId="37EB87E1" w14:textId="77777777" w:rsidR="001265E9" w:rsidRPr="001265E9" w:rsidRDefault="001265E9" w:rsidP="001265E9">
            <w:pPr>
              <w:jc w:val="right"/>
              <w:rPr>
                <w:rFonts w:cs="Arial"/>
                <w:lang w:val="en-AU" w:eastAsia="en-GB"/>
              </w:rPr>
            </w:pPr>
            <w:r w:rsidRPr="001265E9">
              <w:rPr>
                <w:rFonts w:cs="Arial"/>
                <w:lang w:val="en-AU" w:eastAsia="en-GB"/>
              </w:rPr>
              <w:t>═══════</w:t>
            </w:r>
          </w:p>
        </w:tc>
        <w:tc>
          <w:tcPr>
            <w:tcW w:w="1701" w:type="dxa"/>
            <w:tcBorders>
              <w:top w:val="nil"/>
              <w:left w:val="nil"/>
              <w:bottom w:val="nil"/>
              <w:right w:val="nil"/>
            </w:tcBorders>
          </w:tcPr>
          <w:p w14:paraId="61C88F3D" w14:textId="77777777" w:rsidR="001265E9" w:rsidRPr="001265E9" w:rsidRDefault="001265E9" w:rsidP="001265E9">
            <w:pPr>
              <w:jc w:val="right"/>
              <w:rPr>
                <w:rFonts w:cs="Arial"/>
                <w:lang w:val="en-AU" w:eastAsia="en-GB"/>
              </w:rPr>
            </w:pPr>
            <w:r w:rsidRPr="001265E9">
              <w:rPr>
                <w:rFonts w:cs="Arial"/>
                <w:lang w:val="en-AU" w:eastAsia="en-GB"/>
              </w:rPr>
              <w:t>═══════</w:t>
            </w:r>
          </w:p>
        </w:tc>
        <w:tc>
          <w:tcPr>
            <w:tcW w:w="1417" w:type="dxa"/>
            <w:tcBorders>
              <w:top w:val="nil"/>
              <w:left w:val="nil"/>
              <w:bottom w:val="nil"/>
              <w:right w:val="nil"/>
            </w:tcBorders>
          </w:tcPr>
          <w:p w14:paraId="662C0275" w14:textId="77777777" w:rsidR="001265E9" w:rsidRPr="001265E9" w:rsidRDefault="001265E9" w:rsidP="001265E9">
            <w:pPr>
              <w:jc w:val="right"/>
              <w:rPr>
                <w:rFonts w:cs="Arial"/>
                <w:lang w:val="en-AU" w:eastAsia="en-GB"/>
              </w:rPr>
            </w:pPr>
            <w:r w:rsidRPr="001265E9">
              <w:rPr>
                <w:rFonts w:cs="Arial"/>
                <w:lang w:val="en-AU" w:eastAsia="en-GB"/>
              </w:rPr>
              <w:t>══════</w:t>
            </w:r>
          </w:p>
        </w:tc>
      </w:tr>
    </w:tbl>
    <w:p w14:paraId="2C582666" w14:textId="77777777" w:rsidR="007C3FD2" w:rsidRPr="00C328EF" w:rsidRDefault="007C3FD2" w:rsidP="007318EF">
      <w:pPr>
        <w:rPr>
          <w:b/>
          <w:highlight w:val="yellow"/>
        </w:rPr>
      </w:pPr>
    </w:p>
    <w:p w14:paraId="4CC5EFD8" w14:textId="77777777" w:rsidR="003B1A17" w:rsidRPr="00631312" w:rsidRDefault="005265B7" w:rsidP="004E37A5">
      <w:pPr>
        <w:jc w:val="center"/>
        <w:rPr>
          <w:b/>
        </w:rPr>
      </w:pPr>
      <w:r w:rsidRPr="00C328EF">
        <w:rPr>
          <w:b/>
          <w:highlight w:val="yellow"/>
        </w:rPr>
        <w:br w:type="page"/>
      </w:r>
      <w:r w:rsidR="00263AA9" w:rsidRPr="00631312">
        <w:rPr>
          <w:b/>
        </w:rPr>
        <w:lastRenderedPageBreak/>
        <w:t>TRANSPORT FOR EDINBURGH LIMITED</w:t>
      </w:r>
    </w:p>
    <w:p w14:paraId="608F14AC" w14:textId="77777777" w:rsidR="003B1A17" w:rsidRPr="00631312" w:rsidRDefault="003B1A17" w:rsidP="003B1A17">
      <w:pPr>
        <w:jc w:val="center"/>
        <w:rPr>
          <w:b/>
        </w:rPr>
      </w:pPr>
    </w:p>
    <w:p w14:paraId="6C18F734" w14:textId="77777777" w:rsidR="003B1A17" w:rsidRPr="00631312" w:rsidRDefault="003B1A17" w:rsidP="003B1A17">
      <w:pPr>
        <w:jc w:val="center"/>
        <w:rPr>
          <w:b/>
        </w:rPr>
      </w:pPr>
      <w:r w:rsidRPr="00631312">
        <w:rPr>
          <w:b/>
        </w:rPr>
        <w:t>Notes to the Financial Statements (continued)</w:t>
      </w:r>
    </w:p>
    <w:p w14:paraId="14D0753D" w14:textId="77777777" w:rsidR="003B1A17" w:rsidRPr="00631312" w:rsidRDefault="003B1A17" w:rsidP="003B1A17">
      <w:pPr>
        <w:jc w:val="center"/>
        <w:rPr>
          <w:b/>
        </w:rPr>
      </w:pPr>
    </w:p>
    <w:p w14:paraId="1C2E55A4" w14:textId="77777777" w:rsidR="003B1A17" w:rsidRPr="00AE607B" w:rsidRDefault="00D90B89" w:rsidP="003B1A17">
      <w:pPr>
        <w:jc w:val="center"/>
      </w:pPr>
      <w:r w:rsidRPr="00AE607B">
        <w:rPr>
          <w:b/>
        </w:rPr>
        <w:t>For the period ended 28 December 2024</w:t>
      </w:r>
    </w:p>
    <w:p w14:paraId="38983C0F" w14:textId="77777777" w:rsidR="00303CB0" w:rsidRPr="00AE607B" w:rsidRDefault="00303CB0" w:rsidP="003B1E47">
      <w:pPr>
        <w:jc w:val="center"/>
        <w:rPr>
          <w:rFonts w:cs="Arial"/>
          <w:b/>
          <w:iCs/>
        </w:rPr>
      </w:pPr>
    </w:p>
    <w:p w14:paraId="4344F03A" w14:textId="77777777" w:rsidR="00A769D3" w:rsidRPr="00AE607B" w:rsidRDefault="00FC77F3" w:rsidP="00A769D3">
      <w:pPr>
        <w:rPr>
          <w:b/>
        </w:rPr>
      </w:pPr>
      <w:r w:rsidRPr="00AE607B">
        <w:rPr>
          <w:b/>
        </w:rPr>
        <w:t>2</w:t>
      </w:r>
      <w:r w:rsidR="00F72DA3">
        <w:rPr>
          <w:b/>
        </w:rPr>
        <w:t>6</w:t>
      </w:r>
      <w:r w:rsidR="00A769D3" w:rsidRPr="00AE607B">
        <w:rPr>
          <w:b/>
        </w:rPr>
        <w:t>.</w:t>
      </w:r>
      <w:r w:rsidR="00A769D3" w:rsidRPr="00AE607B">
        <w:rPr>
          <w:b/>
        </w:rPr>
        <w:tab/>
        <w:t>Financial risk management (continued)</w:t>
      </w:r>
    </w:p>
    <w:p w14:paraId="46C0C6AC" w14:textId="77777777" w:rsidR="00D6498C" w:rsidRPr="00AE607B" w:rsidRDefault="00D6498C" w:rsidP="003B1E47">
      <w:pPr>
        <w:jc w:val="center"/>
        <w:rPr>
          <w:rFonts w:cs="Arial"/>
          <w:b/>
          <w:iCs/>
        </w:rPr>
      </w:pPr>
    </w:p>
    <w:p w14:paraId="6C929A03" w14:textId="77777777" w:rsidR="003B1A17" w:rsidRPr="001265E9" w:rsidRDefault="003B1A17" w:rsidP="003B1A17">
      <w:pPr>
        <w:ind w:left="1170" w:right="267" w:hanging="567"/>
        <w:rPr>
          <w:rFonts w:cs="Arial"/>
          <w:b/>
          <w:iCs/>
        </w:rPr>
      </w:pPr>
      <w:r w:rsidRPr="00AE607B">
        <w:rPr>
          <w:rFonts w:cs="Arial"/>
          <w:b/>
          <w:iCs/>
        </w:rPr>
        <w:t>b.</w:t>
      </w:r>
      <w:r w:rsidRPr="00AE607B">
        <w:rPr>
          <w:rFonts w:cs="Arial"/>
          <w:b/>
          <w:iCs/>
        </w:rPr>
        <w:tab/>
        <w:t xml:space="preserve">Liquidity </w:t>
      </w:r>
      <w:r w:rsidR="00D0070A" w:rsidRPr="00AE607B">
        <w:rPr>
          <w:rFonts w:cs="Arial"/>
          <w:b/>
          <w:iCs/>
        </w:rPr>
        <w:t>r</w:t>
      </w:r>
      <w:r w:rsidRPr="00AE607B">
        <w:rPr>
          <w:rFonts w:cs="Arial"/>
          <w:b/>
          <w:iCs/>
        </w:rPr>
        <w:t>isk (continued)</w:t>
      </w:r>
    </w:p>
    <w:p w14:paraId="4F2B43A6" w14:textId="77777777" w:rsidR="003B1A17" w:rsidRPr="001265E9" w:rsidRDefault="003B1A17" w:rsidP="003B1E47">
      <w:pPr>
        <w:jc w:val="center"/>
        <w:rPr>
          <w:rFonts w:cs="Arial"/>
          <w:b/>
          <w:iCs/>
        </w:rPr>
      </w:pPr>
    </w:p>
    <w:tbl>
      <w:tblPr>
        <w:tblW w:w="9802" w:type="dxa"/>
        <w:tblInd w:w="654" w:type="dxa"/>
        <w:tblLayout w:type="fixed"/>
        <w:tblLook w:val="0000" w:firstRow="0" w:lastRow="0" w:firstColumn="0" w:lastColumn="0" w:noHBand="0" w:noVBand="0"/>
      </w:tblPr>
      <w:tblGrid>
        <w:gridCol w:w="3423"/>
        <w:gridCol w:w="284"/>
        <w:gridCol w:w="425"/>
        <w:gridCol w:w="142"/>
        <w:gridCol w:w="567"/>
        <w:gridCol w:w="1701"/>
        <w:gridCol w:w="1701"/>
        <w:gridCol w:w="1559"/>
      </w:tblGrid>
      <w:tr w:rsidR="00FD155C" w:rsidRPr="001265E9" w14:paraId="3EBB5D1B" w14:textId="77777777" w:rsidTr="00092C40">
        <w:trPr>
          <w:trHeight w:val="255"/>
        </w:trPr>
        <w:tc>
          <w:tcPr>
            <w:tcW w:w="3423" w:type="dxa"/>
            <w:tcBorders>
              <w:top w:val="nil"/>
              <w:left w:val="nil"/>
              <w:bottom w:val="nil"/>
              <w:right w:val="nil"/>
            </w:tcBorders>
          </w:tcPr>
          <w:p w14:paraId="49CF1A23" w14:textId="77777777" w:rsidR="00FD155C" w:rsidRPr="001265E9" w:rsidRDefault="00FD155C" w:rsidP="00FD155C">
            <w:pPr>
              <w:rPr>
                <w:rFonts w:cs="Arial"/>
                <w:b/>
                <w:bCs/>
                <w:lang w:eastAsia="en-GB"/>
              </w:rPr>
            </w:pPr>
            <w:r w:rsidRPr="001265E9">
              <w:rPr>
                <w:rFonts w:cs="Arial"/>
                <w:b/>
                <w:bCs/>
                <w:lang w:eastAsia="en-GB"/>
              </w:rPr>
              <w:t>Company</w:t>
            </w:r>
          </w:p>
        </w:tc>
        <w:tc>
          <w:tcPr>
            <w:tcW w:w="1418" w:type="dxa"/>
            <w:gridSpan w:val="4"/>
            <w:tcBorders>
              <w:top w:val="nil"/>
              <w:left w:val="nil"/>
              <w:bottom w:val="nil"/>
              <w:right w:val="nil"/>
            </w:tcBorders>
          </w:tcPr>
          <w:p w14:paraId="292A7A99" w14:textId="77777777" w:rsidR="00FD155C" w:rsidRPr="001265E9" w:rsidRDefault="00092C40" w:rsidP="00FC77F3">
            <w:pPr>
              <w:tabs>
                <w:tab w:val="left" w:pos="1500"/>
                <w:tab w:val="left" w:pos="1534"/>
              </w:tabs>
              <w:rPr>
                <w:rFonts w:cs="Arial"/>
                <w:b/>
                <w:lang w:val="en-AU" w:eastAsia="en-GB"/>
              </w:rPr>
            </w:pPr>
            <w:r w:rsidRPr="001265E9">
              <w:rPr>
                <w:rFonts w:cs="Arial"/>
                <w:b/>
                <w:bCs/>
                <w:lang w:eastAsia="en-GB"/>
              </w:rPr>
              <w:t xml:space="preserve">    </w:t>
            </w:r>
            <w:r w:rsidR="00FD155C" w:rsidRPr="001265E9">
              <w:rPr>
                <w:rFonts w:cs="Arial"/>
                <w:b/>
                <w:bCs/>
                <w:lang w:eastAsia="en-GB"/>
              </w:rPr>
              <w:t>Note</w:t>
            </w:r>
          </w:p>
        </w:tc>
        <w:tc>
          <w:tcPr>
            <w:tcW w:w="1701" w:type="dxa"/>
            <w:tcBorders>
              <w:top w:val="nil"/>
              <w:left w:val="nil"/>
              <w:bottom w:val="nil"/>
              <w:right w:val="nil"/>
            </w:tcBorders>
          </w:tcPr>
          <w:p w14:paraId="5DADF6CD" w14:textId="77777777" w:rsidR="00FD155C" w:rsidRPr="001265E9" w:rsidRDefault="00FD155C" w:rsidP="00FC77F3">
            <w:pPr>
              <w:tabs>
                <w:tab w:val="left" w:pos="1500"/>
                <w:tab w:val="left" w:pos="1534"/>
              </w:tabs>
              <w:rPr>
                <w:rFonts w:cs="Arial"/>
                <w:b/>
                <w:lang w:val="en-AU" w:eastAsia="en-GB"/>
              </w:rPr>
            </w:pPr>
            <w:r w:rsidRPr="001265E9">
              <w:rPr>
                <w:rFonts w:cs="Arial"/>
                <w:b/>
                <w:lang w:val="en-AU" w:eastAsia="en-GB"/>
              </w:rPr>
              <w:t>Within 1 Year</w:t>
            </w:r>
          </w:p>
        </w:tc>
        <w:tc>
          <w:tcPr>
            <w:tcW w:w="1701" w:type="dxa"/>
            <w:tcBorders>
              <w:top w:val="nil"/>
              <w:left w:val="nil"/>
              <w:bottom w:val="nil"/>
              <w:right w:val="nil"/>
            </w:tcBorders>
          </w:tcPr>
          <w:p w14:paraId="75E211A7" w14:textId="77777777" w:rsidR="00FD155C" w:rsidRPr="001265E9" w:rsidRDefault="00FD155C" w:rsidP="00A138AC">
            <w:pPr>
              <w:tabs>
                <w:tab w:val="left" w:pos="1418"/>
              </w:tabs>
              <w:ind w:right="284"/>
              <w:jc w:val="right"/>
              <w:rPr>
                <w:rFonts w:cs="Arial"/>
                <w:b/>
                <w:lang w:val="en-AU" w:eastAsia="en-GB"/>
              </w:rPr>
            </w:pPr>
            <w:r w:rsidRPr="001265E9">
              <w:rPr>
                <w:rFonts w:cs="Arial"/>
                <w:b/>
                <w:lang w:val="en-AU" w:eastAsia="en-GB"/>
              </w:rPr>
              <w:t>1 to 5 Years</w:t>
            </w:r>
          </w:p>
        </w:tc>
        <w:tc>
          <w:tcPr>
            <w:tcW w:w="1559" w:type="dxa"/>
            <w:tcBorders>
              <w:top w:val="nil"/>
              <w:left w:val="nil"/>
              <w:bottom w:val="nil"/>
              <w:right w:val="nil"/>
            </w:tcBorders>
          </w:tcPr>
          <w:p w14:paraId="7CCC252E" w14:textId="77777777" w:rsidR="00FD155C" w:rsidRPr="001265E9" w:rsidRDefault="00FD155C" w:rsidP="00092C40">
            <w:pPr>
              <w:tabs>
                <w:tab w:val="left" w:pos="992"/>
                <w:tab w:val="left" w:pos="1134"/>
              </w:tabs>
              <w:ind w:right="227"/>
              <w:jc w:val="center"/>
              <w:rPr>
                <w:rFonts w:cs="Arial"/>
                <w:b/>
                <w:lang w:val="en-AU" w:eastAsia="en-GB"/>
              </w:rPr>
            </w:pPr>
            <w:r w:rsidRPr="001265E9">
              <w:rPr>
                <w:rFonts w:cs="Arial"/>
                <w:b/>
                <w:lang w:val="en-AU" w:eastAsia="en-GB"/>
              </w:rPr>
              <w:t xml:space="preserve">   Total</w:t>
            </w:r>
          </w:p>
        </w:tc>
      </w:tr>
      <w:tr w:rsidR="00FD155C" w:rsidRPr="00C328EF" w14:paraId="7AF347B8" w14:textId="77777777" w:rsidTr="00092C40">
        <w:trPr>
          <w:trHeight w:val="255"/>
        </w:trPr>
        <w:tc>
          <w:tcPr>
            <w:tcW w:w="3423" w:type="dxa"/>
            <w:tcBorders>
              <w:top w:val="nil"/>
              <w:left w:val="nil"/>
              <w:bottom w:val="nil"/>
              <w:right w:val="nil"/>
            </w:tcBorders>
          </w:tcPr>
          <w:p w14:paraId="34EFB757" w14:textId="77777777" w:rsidR="00FD155C" w:rsidRPr="00C328EF" w:rsidRDefault="00FD155C" w:rsidP="00DF6653">
            <w:pPr>
              <w:rPr>
                <w:rFonts w:cs="Arial"/>
                <w:highlight w:val="yellow"/>
                <w:lang w:eastAsia="en-GB"/>
              </w:rPr>
            </w:pPr>
          </w:p>
        </w:tc>
        <w:tc>
          <w:tcPr>
            <w:tcW w:w="1418" w:type="dxa"/>
            <w:gridSpan w:val="4"/>
            <w:tcBorders>
              <w:top w:val="nil"/>
              <w:left w:val="nil"/>
              <w:bottom w:val="nil"/>
              <w:right w:val="nil"/>
            </w:tcBorders>
          </w:tcPr>
          <w:p w14:paraId="6B5958F9" w14:textId="77777777" w:rsidR="00FD155C" w:rsidRPr="00C328EF" w:rsidRDefault="00FD155C" w:rsidP="00145EB9">
            <w:pPr>
              <w:jc w:val="center"/>
              <w:rPr>
                <w:rFonts w:cs="Arial"/>
                <w:b/>
                <w:highlight w:val="yellow"/>
                <w:lang w:val="en-AU" w:eastAsia="en-GB"/>
              </w:rPr>
            </w:pPr>
          </w:p>
        </w:tc>
        <w:tc>
          <w:tcPr>
            <w:tcW w:w="1701" w:type="dxa"/>
            <w:tcBorders>
              <w:top w:val="nil"/>
              <w:left w:val="nil"/>
              <w:bottom w:val="nil"/>
              <w:right w:val="nil"/>
            </w:tcBorders>
          </w:tcPr>
          <w:p w14:paraId="5DB73686" w14:textId="77777777" w:rsidR="00FD155C" w:rsidRPr="001265E9" w:rsidRDefault="00FD155C" w:rsidP="00BA7AAF">
            <w:pPr>
              <w:jc w:val="center"/>
              <w:rPr>
                <w:rFonts w:cs="Arial"/>
                <w:b/>
                <w:lang w:val="en-AU" w:eastAsia="en-GB"/>
              </w:rPr>
            </w:pPr>
            <w:r w:rsidRPr="001265E9">
              <w:rPr>
                <w:rFonts w:cs="Arial"/>
                <w:b/>
                <w:lang w:val="en-AU" w:eastAsia="en-GB"/>
              </w:rPr>
              <w:t>20</w:t>
            </w:r>
            <w:r w:rsidR="00991736" w:rsidRPr="001265E9">
              <w:rPr>
                <w:rFonts w:cs="Arial"/>
                <w:b/>
                <w:lang w:val="en-AU" w:eastAsia="en-GB"/>
              </w:rPr>
              <w:t>2</w:t>
            </w:r>
            <w:r w:rsidR="001265E9" w:rsidRPr="001265E9">
              <w:rPr>
                <w:rFonts w:cs="Arial"/>
                <w:b/>
                <w:lang w:val="en-AU" w:eastAsia="en-GB"/>
              </w:rPr>
              <w:t>4</w:t>
            </w:r>
          </w:p>
        </w:tc>
        <w:tc>
          <w:tcPr>
            <w:tcW w:w="1701" w:type="dxa"/>
            <w:tcBorders>
              <w:top w:val="nil"/>
              <w:left w:val="nil"/>
              <w:bottom w:val="nil"/>
              <w:right w:val="nil"/>
            </w:tcBorders>
          </w:tcPr>
          <w:p w14:paraId="58B3AC70" w14:textId="77777777" w:rsidR="00FD155C" w:rsidRPr="001265E9" w:rsidRDefault="00FD155C" w:rsidP="00BA7AAF">
            <w:pPr>
              <w:tabs>
                <w:tab w:val="left" w:pos="1418"/>
              </w:tabs>
              <w:jc w:val="center"/>
              <w:rPr>
                <w:rFonts w:cs="Arial"/>
                <w:b/>
                <w:lang w:val="en-AU" w:eastAsia="en-GB"/>
              </w:rPr>
            </w:pPr>
            <w:r w:rsidRPr="001265E9">
              <w:rPr>
                <w:rFonts w:cs="Arial"/>
                <w:b/>
                <w:lang w:val="en-AU" w:eastAsia="en-GB"/>
              </w:rPr>
              <w:t>20</w:t>
            </w:r>
            <w:r w:rsidR="00991736" w:rsidRPr="001265E9">
              <w:rPr>
                <w:rFonts w:cs="Arial"/>
                <w:b/>
                <w:lang w:val="en-AU" w:eastAsia="en-GB"/>
              </w:rPr>
              <w:t>2</w:t>
            </w:r>
            <w:r w:rsidR="001265E9" w:rsidRPr="001265E9">
              <w:rPr>
                <w:rFonts w:cs="Arial"/>
                <w:b/>
                <w:lang w:val="en-AU" w:eastAsia="en-GB"/>
              </w:rPr>
              <w:t>4</w:t>
            </w:r>
          </w:p>
        </w:tc>
        <w:tc>
          <w:tcPr>
            <w:tcW w:w="1559" w:type="dxa"/>
            <w:tcBorders>
              <w:top w:val="nil"/>
              <w:left w:val="nil"/>
              <w:bottom w:val="nil"/>
              <w:right w:val="nil"/>
            </w:tcBorders>
          </w:tcPr>
          <w:p w14:paraId="7FEB24E4" w14:textId="77777777" w:rsidR="00FD155C" w:rsidRPr="001265E9" w:rsidRDefault="00FD155C" w:rsidP="00BA7AAF">
            <w:pPr>
              <w:tabs>
                <w:tab w:val="left" w:pos="1418"/>
              </w:tabs>
              <w:jc w:val="center"/>
              <w:rPr>
                <w:rFonts w:cs="Arial"/>
                <w:b/>
                <w:lang w:val="en-AU" w:eastAsia="en-GB"/>
              </w:rPr>
            </w:pPr>
            <w:r w:rsidRPr="001265E9">
              <w:rPr>
                <w:rFonts w:cs="Arial"/>
                <w:b/>
                <w:lang w:val="en-AU" w:eastAsia="en-GB"/>
              </w:rPr>
              <w:t>20</w:t>
            </w:r>
            <w:r w:rsidR="00991736" w:rsidRPr="001265E9">
              <w:rPr>
                <w:rFonts w:cs="Arial"/>
                <w:b/>
                <w:lang w:val="en-AU" w:eastAsia="en-GB"/>
              </w:rPr>
              <w:t>2</w:t>
            </w:r>
            <w:r w:rsidR="001265E9" w:rsidRPr="001265E9">
              <w:rPr>
                <w:rFonts w:cs="Arial"/>
                <w:b/>
                <w:lang w:val="en-AU" w:eastAsia="en-GB"/>
              </w:rPr>
              <w:t>4</w:t>
            </w:r>
          </w:p>
        </w:tc>
      </w:tr>
      <w:tr w:rsidR="00FD155C" w:rsidRPr="00C328EF" w14:paraId="0460DC39" w14:textId="77777777" w:rsidTr="00092C40">
        <w:trPr>
          <w:trHeight w:val="255"/>
        </w:trPr>
        <w:tc>
          <w:tcPr>
            <w:tcW w:w="3423" w:type="dxa"/>
            <w:tcBorders>
              <w:top w:val="nil"/>
              <w:left w:val="nil"/>
              <w:bottom w:val="nil"/>
              <w:right w:val="nil"/>
            </w:tcBorders>
          </w:tcPr>
          <w:p w14:paraId="621358A6" w14:textId="77777777" w:rsidR="00FD155C" w:rsidRPr="00C328EF" w:rsidRDefault="00FD155C" w:rsidP="00DF6653">
            <w:pPr>
              <w:rPr>
                <w:rFonts w:cs="Arial"/>
                <w:highlight w:val="yellow"/>
                <w:lang w:eastAsia="en-GB"/>
              </w:rPr>
            </w:pPr>
          </w:p>
        </w:tc>
        <w:tc>
          <w:tcPr>
            <w:tcW w:w="1418" w:type="dxa"/>
            <w:gridSpan w:val="4"/>
            <w:tcBorders>
              <w:top w:val="nil"/>
              <w:left w:val="nil"/>
              <w:bottom w:val="nil"/>
              <w:right w:val="nil"/>
            </w:tcBorders>
          </w:tcPr>
          <w:p w14:paraId="1B3CCD6C" w14:textId="77777777" w:rsidR="00FD155C" w:rsidRPr="00C328EF" w:rsidRDefault="00FD155C" w:rsidP="00A138AC">
            <w:pPr>
              <w:jc w:val="center"/>
              <w:rPr>
                <w:rFonts w:cs="Arial"/>
                <w:b/>
                <w:highlight w:val="yellow"/>
                <w:lang w:val="en-AU" w:eastAsia="en-GB"/>
              </w:rPr>
            </w:pPr>
          </w:p>
        </w:tc>
        <w:tc>
          <w:tcPr>
            <w:tcW w:w="1701" w:type="dxa"/>
            <w:tcBorders>
              <w:top w:val="nil"/>
              <w:left w:val="nil"/>
              <w:bottom w:val="nil"/>
              <w:right w:val="nil"/>
            </w:tcBorders>
          </w:tcPr>
          <w:p w14:paraId="06A1580B" w14:textId="77777777" w:rsidR="00FD155C" w:rsidRPr="001265E9" w:rsidRDefault="00FD155C" w:rsidP="00A138AC">
            <w:pPr>
              <w:jc w:val="center"/>
              <w:rPr>
                <w:rFonts w:cs="Arial"/>
                <w:b/>
                <w:lang w:val="en-AU" w:eastAsia="en-GB"/>
              </w:rPr>
            </w:pPr>
            <w:r w:rsidRPr="001265E9">
              <w:rPr>
                <w:rFonts w:cs="Arial"/>
                <w:b/>
                <w:lang w:val="en-AU" w:eastAsia="en-GB"/>
              </w:rPr>
              <w:t>£’000</w:t>
            </w:r>
          </w:p>
        </w:tc>
        <w:tc>
          <w:tcPr>
            <w:tcW w:w="1701" w:type="dxa"/>
            <w:tcBorders>
              <w:top w:val="nil"/>
              <w:left w:val="nil"/>
              <w:bottom w:val="nil"/>
              <w:right w:val="nil"/>
            </w:tcBorders>
          </w:tcPr>
          <w:p w14:paraId="76BB4D1F" w14:textId="77777777" w:rsidR="00FD155C" w:rsidRPr="001265E9" w:rsidRDefault="00FD155C" w:rsidP="00A138AC">
            <w:pPr>
              <w:tabs>
                <w:tab w:val="left" w:pos="1418"/>
              </w:tabs>
              <w:jc w:val="center"/>
              <w:rPr>
                <w:rFonts w:cs="Arial"/>
                <w:b/>
                <w:lang w:val="en-AU" w:eastAsia="en-GB"/>
              </w:rPr>
            </w:pPr>
            <w:r w:rsidRPr="001265E9">
              <w:rPr>
                <w:rFonts w:cs="Arial"/>
                <w:b/>
                <w:lang w:val="en-AU" w:eastAsia="en-GB"/>
              </w:rPr>
              <w:t>£’000</w:t>
            </w:r>
          </w:p>
        </w:tc>
        <w:tc>
          <w:tcPr>
            <w:tcW w:w="1559" w:type="dxa"/>
            <w:tcBorders>
              <w:top w:val="nil"/>
              <w:left w:val="nil"/>
              <w:bottom w:val="nil"/>
              <w:right w:val="nil"/>
            </w:tcBorders>
          </w:tcPr>
          <w:p w14:paraId="0A8AA822" w14:textId="77777777" w:rsidR="00FD155C" w:rsidRPr="001265E9" w:rsidRDefault="00FD155C" w:rsidP="00A138AC">
            <w:pPr>
              <w:tabs>
                <w:tab w:val="left" w:pos="1418"/>
              </w:tabs>
              <w:jc w:val="center"/>
              <w:rPr>
                <w:rFonts w:cs="Arial"/>
                <w:b/>
                <w:lang w:val="en-AU" w:eastAsia="en-GB"/>
              </w:rPr>
            </w:pPr>
            <w:r w:rsidRPr="001265E9">
              <w:rPr>
                <w:rFonts w:cs="Arial"/>
                <w:b/>
                <w:lang w:val="en-AU" w:eastAsia="en-GB"/>
              </w:rPr>
              <w:t>£’000</w:t>
            </w:r>
          </w:p>
        </w:tc>
      </w:tr>
      <w:tr w:rsidR="00FD155C" w:rsidRPr="00C328EF" w14:paraId="1B9C0940" w14:textId="77777777" w:rsidTr="00B711D0">
        <w:trPr>
          <w:cantSplit/>
          <w:trHeight w:val="255"/>
        </w:trPr>
        <w:tc>
          <w:tcPr>
            <w:tcW w:w="3707" w:type="dxa"/>
            <w:gridSpan w:val="2"/>
            <w:tcBorders>
              <w:top w:val="nil"/>
              <w:left w:val="nil"/>
              <w:bottom w:val="nil"/>
              <w:right w:val="nil"/>
            </w:tcBorders>
          </w:tcPr>
          <w:p w14:paraId="12ED2F35" w14:textId="77777777" w:rsidR="00FD155C" w:rsidRPr="001265E9" w:rsidRDefault="00FD155C" w:rsidP="00DF6653">
            <w:pPr>
              <w:ind w:left="-13" w:firstLine="13"/>
              <w:rPr>
                <w:rFonts w:cs="Arial"/>
                <w:b/>
                <w:bCs/>
                <w:lang w:eastAsia="en-GB"/>
              </w:rPr>
            </w:pPr>
            <w:r w:rsidRPr="001265E9">
              <w:rPr>
                <w:rFonts w:cs="Arial"/>
                <w:b/>
                <w:bCs/>
                <w:lang w:val="en-AU" w:eastAsia="en-GB"/>
              </w:rPr>
              <w:t>Financial liabilities due for payment</w:t>
            </w:r>
          </w:p>
        </w:tc>
        <w:tc>
          <w:tcPr>
            <w:tcW w:w="1134" w:type="dxa"/>
            <w:gridSpan w:val="3"/>
            <w:tcBorders>
              <w:top w:val="nil"/>
              <w:left w:val="nil"/>
              <w:bottom w:val="nil"/>
              <w:right w:val="nil"/>
            </w:tcBorders>
          </w:tcPr>
          <w:p w14:paraId="3038B615" w14:textId="77777777" w:rsidR="00FD155C" w:rsidRPr="00C328EF" w:rsidRDefault="00FD155C" w:rsidP="00DF6653">
            <w:pPr>
              <w:jc w:val="right"/>
              <w:rPr>
                <w:rFonts w:cs="Arial"/>
                <w:highlight w:val="yellow"/>
                <w:lang w:eastAsia="en-GB"/>
              </w:rPr>
            </w:pPr>
          </w:p>
        </w:tc>
        <w:tc>
          <w:tcPr>
            <w:tcW w:w="1701" w:type="dxa"/>
            <w:tcBorders>
              <w:top w:val="nil"/>
              <w:left w:val="nil"/>
              <w:bottom w:val="nil"/>
              <w:right w:val="nil"/>
            </w:tcBorders>
          </w:tcPr>
          <w:p w14:paraId="0AAE1574" w14:textId="77777777" w:rsidR="00FD155C" w:rsidRPr="00C328EF" w:rsidRDefault="00FD155C" w:rsidP="00DF6653">
            <w:pPr>
              <w:jc w:val="right"/>
              <w:rPr>
                <w:rFonts w:cs="Arial"/>
                <w:highlight w:val="yellow"/>
                <w:lang w:eastAsia="en-GB"/>
              </w:rPr>
            </w:pPr>
          </w:p>
        </w:tc>
        <w:tc>
          <w:tcPr>
            <w:tcW w:w="1701" w:type="dxa"/>
            <w:tcBorders>
              <w:top w:val="nil"/>
              <w:left w:val="nil"/>
              <w:bottom w:val="nil"/>
              <w:right w:val="nil"/>
            </w:tcBorders>
          </w:tcPr>
          <w:p w14:paraId="5379C41A" w14:textId="77777777" w:rsidR="00FD155C" w:rsidRPr="001265E9" w:rsidRDefault="00FD155C" w:rsidP="00DF6653">
            <w:pPr>
              <w:jc w:val="right"/>
              <w:rPr>
                <w:rFonts w:cs="Arial"/>
                <w:lang w:eastAsia="en-GB"/>
              </w:rPr>
            </w:pPr>
          </w:p>
        </w:tc>
        <w:tc>
          <w:tcPr>
            <w:tcW w:w="1559" w:type="dxa"/>
            <w:tcBorders>
              <w:top w:val="nil"/>
              <w:left w:val="nil"/>
              <w:bottom w:val="nil"/>
              <w:right w:val="nil"/>
            </w:tcBorders>
          </w:tcPr>
          <w:p w14:paraId="016505CC" w14:textId="77777777" w:rsidR="00FD155C" w:rsidRPr="00C328EF" w:rsidRDefault="00FD155C" w:rsidP="00DF6653">
            <w:pPr>
              <w:jc w:val="right"/>
              <w:rPr>
                <w:rFonts w:cs="Arial"/>
                <w:highlight w:val="yellow"/>
                <w:lang w:eastAsia="en-GB"/>
              </w:rPr>
            </w:pPr>
          </w:p>
        </w:tc>
      </w:tr>
      <w:tr w:rsidR="00FD155C" w:rsidRPr="00C328EF" w14:paraId="1B02CCA5" w14:textId="77777777" w:rsidTr="00B711D0">
        <w:trPr>
          <w:cantSplit/>
          <w:trHeight w:val="255"/>
        </w:trPr>
        <w:tc>
          <w:tcPr>
            <w:tcW w:w="3423" w:type="dxa"/>
            <w:tcBorders>
              <w:top w:val="nil"/>
              <w:left w:val="nil"/>
              <w:bottom w:val="nil"/>
              <w:right w:val="nil"/>
            </w:tcBorders>
          </w:tcPr>
          <w:p w14:paraId="4C1BA12F" w14:textId="77777777" w:rsidR="00FD155C" w:rsidRPr="001265E9" w:rsidRDefault="00FD155C" w:rsidP="00FD155C">
            <w:pPr>
              <w:rPr>
                <w:rFonts w:cs="Arial"/>
                <w:lang w:eastAsia="en-GB"/>
              </w:rPr>
            </w:pPr>
            <w:r w:rsidRPr="001265E9">
              <w:rPr>
                <w:rFonts w:cs="Arial"/>
                <w:lang w:val="en-AU" w:eastAsia="en-GB"/>
              </w:rPr>
              <w:t>Current liabilities</w:t>
            </w:r>
          </w:p>
        </w:tc>
        <w:tc>
          <w:tcPr>
            <w:tcW w:w="851" w:type="dxa"/>
            <w:gridSpan w:val="3"/>
            <w:tcBorders>
              <w:top w:val="nil"/>
              <w:left w:val="nil"/>
              <w:bottom w:val="nil"/>
              <w:right w:val="nil"/>
            </w:tcBorders>
          </w:tcPr>
          <w:p w14:paraId="5B03719C" w14:textId="77777777" w:rsidR="00FD155C" w:rsidRPr="00F0414A" w:rsidRDefault="00FD155C" w:rsidP="00160F71">
            <w:pPr>
              <w:suppressAutoHyphens/>
              <w:ind w:right="78"/>
              <w:jc w:val="right"/>
              <w:rPr>
                <w:rFonts w:cs="Arial"/>
                <w:spacing w:val="-2"/>
              </w:rPr>
            </w:pPr>
            <w:r w:rsidRPr="00F0414A">
              <w:rPr>
                <w:rFonts w:cs="Arial"/>
                <w:spacing w:val="-2"/>
              </w:rPr>
              <w:t>1</w:t>
            </w:r>
            <w:r w:rsidR="00F0414A" w:rsidRPr="00F0414A">
              <w:rPr>
                <w:rFonts w:cs="Arial"/>
                <w:spacing w:val="-2"/>
              </w:rPr>
              <w:t>4</w:t>
            </w:r>
          </w:p>
        </w:tc>
        <w:tc>
          <w:tcPr>
            <w:tcW w:w="2268" w:type="dxa"/>
            <w:gridSpan w:val="2"/>
            <w:tcBorders>
              <w:top w:val="nil"/>
              <w:left w:val="nil"/>
              <w:bottom w:val="nil"/>
              <w:right w:val="nil"/>
            </w:tcBorders>
          </w:tcPr>
          <w:p w14:paraId="2E2A54A0" w14:textId="77777777" w:rsidR="00FD155C" w:rsidRPr="00DB462A" w:rsidRDefault="00DB462A" w:rsidP="00160F71">
            <w:pPr>
              <w:suppressAutoHyphens/>
              <w:ind w:right="78"/>
              <w:jc w:val="right"/>
              <w:rPr>
                <w:rFonts w:cs="Arial"/>
                <w:spacing w:val="-2"/>
              </w:rPr>
            </w:pPr>
            <w:r w:rsidRPr="00DB462A">
              <w:rPr>
                <w:rFonts w:cs="Arial"/>
                <w:spacing w:val="-2"/>
              </w:rPr>
              <w:t>27</w:t>
            </w:r>
          </w:p>
        </w:tc>
        <w:tc>
          <w:tcPr>
            <w:tcW w:w="1701" w:type="dxa"/>
            <w:tcBorders>
              <w:top w:val="nil"/>
              <w:left w:val="nil"/>
              <w:bottom w:val="nil"/>
              <w:right w:val="nil"/>
            </w:tcBorders>
          </w:tcPr>
          <w:p w14:paraId="28FD47A2" w14:textId="77777777" w:rsidR="00FD155C" w:rsidRPr="00DB462A" w:rsidRDefault="00B561DF" w:rsidP="005D6132">
            <w:pPr>
              <w:suppressAutoHyphens/>
              <w:ind w:right="78"/>
              <w:jc w:val="right"/>
              <w:rPr>
                <w:rFonts w:cs="Arial"/>
                <w:spacing w:val="-2"/>
              </w:rPr>
            </w:pPr>
            <w:r w:rsidRPr="00DB462A">
              <w:rPr>
                <w:rFonts w:cs="Arial"/>
                <w:spacing w:val="-2"/>
              </w:rPr>
              <w:t>-</w:t>
            </w:r>
          </w:p>
        </w:tc>
        <w:tc>
          <w:tcPr>
            <w:tcW w:w="1559" w:type="dxa"/>
            <w:tcBorders>
              <w:top w:val="nil"/>
              <w:left w:val="nil"/>
              <w:bottom w:val="nil"/>
              <w:right w:val="nil"/>
            </w:tcBorders>
          </w:tcPr>
          <w:p w14:paraId="17B1CC99" w14:textId="77777777" w:rsidR="00FD155C" w:rsidRPr="00DB462A" w:rsidRDefault="00DB462A" w:rsidP="00B96F0C">
            <w:pPr>
              <w:suppressAutoHyphens/>
              <w:ind w:right="78"/>
              <w:jc w:val="right"/>
              <w:rPr>
                <w:rFonts w:cs="Arial"/>
                <w:spacing w:val="-2"/>
              </w:rPr>
            </w:pPr>
            <w:r w:rsidRPr="00DB462A">
              <w:rPr>
                <w:rFonts w:cs="Arial"/>
                <w:spacing w:val="-2"/>
              </w:rPr>
              <w:t>27</w:t>
            </w:r>
          </w:p>
        </w:tc>
      </w:tr>
      <w:tr w:rsidR="00FD155C" w:rsidRPr="00C328EF" w14:paraId="39CD4723" w14:textId="77777777" w:rsidTr="00B711D0">
        <w:trPr>
          <w:cantSplit/>
          <w:trHeight w:val="309"/>
        </w:trPr>
        <w:tc>
          <w:tcPr>
            <w:tcW w:w="3423" w:type="dxa"/>
            <w:tcBorders>
              <w:top w:val="nil"/>
              <w:left w:val="nil"/>
              <w:bottom w:val="nil"/>
              <w:right w:val="nil"/>
            </w:tcBorders>
          </w:tcPr>
          <w:p w14:paraId="55719F38" w14:textId="77777777" w:rsidR="00FD155C" w:rsidRPr="00C328EF" w:rsidRDefault="00FD155C" w:rsidP="00DF6653">
            <w:pPr>
              <w:rPr>
                <w:rFonts w:cs="Arial"/>
                <w:highlight w:val="yellow"/>
                <w:lang w:eastAsia="en-GB"/>
              </w:rPr>
            </w:pPr>
          </w:p>
        </w:tc>
        <w:tc>
          <w:tcPr>
            <w:tcW w:w="1418" w:type="dxa"/>
            <w:gridSpan w:val="4"/>
            <w:tcBorders>
              <w:top w:val="nil"/>
              <w:left w:val="nil"/>
              <w:bottom w:val="nil"/>
              <w:right w:val="nil"/>
            </w:tcBorders>
          </w:tcPr>
          <w:p w14:paraId="02F619EA" w14:textId="77777777" w:rsidR="00FD155C" w:rsidRPr="00F0414A" w:rsidRDefault="00FD155C" w:rsidP="00160F71">
            <w:pPr>
              <w:ind w:right="49"/>
              <w:jc w:val="right"/>
              <w:rPr>
                <w:rFonts w:cs="Arial"/>
                <w:lang w:val="en-AU" w:eastAsia="en-GB"/>
              </w:rPr>
            </w:pPr>
          </w:p>
        </w:tc>
        <w:tc>
          <w:tcPr>
            <w:tcW w:w="1701" w:type="dxa"/>
            <w:tcBorders>
              <w:top w:val="nil"/>
              <w:left w:val="nil"/>
              <w:bottom w:val="nil"/>
              <w:right w:val="nil"/>
            </w:tcBorders>
            <w:vAlign w:val="bottom"/>
          </w:tcPr>
          <w:p w14:paraId="364CCF12" w14:textId="77777777" w:rsidR="00FD155C" w:rsidRPr="00DB462A" w:rsidRDefault="00FD155C" w:rsidP="00160F71">
            <w:pPr>
              <w:ind w:right="49"/>
              <w:jc w:val="right"/>
              <w:rPr>
                <w:rFonts w:cs="Arial"/>
                <w:lang w:val="en-AU" w:eastAsia="en-GB"/>
              </w:rPr>
            </w:pPr>
            <w:r w:rsidRPr="00DB462A">
              <w:rPr>
                <w:rFonts w:cs="Arial"/>
                <w:lang w:val="en-AU" w:eastAsia="en-GB"/>
              </w:rPr>
              <w:t>────────</w:t>
            </w:r>
          </w:p>
        </w:tc>
        <w:tc>
          <w:tcPr>
            <w:tcW w:w="1701" w:type="dxa"/>
            <w:tcBorders>
              <w:top w:val="nil"/>
              <w:left w:val="nil"/>
              <w:bottom w:val="nil"/>
              <w:right w:val="nil"/>
            </w:tcBorders>
            <w:vAlign w:val="bottom"/>
          </w:tcPr>
          <w:p w14:paraId="3BB0ADB3" w14:textId="77777777" w:rsidR="00FD155C" w:rsidRPr="00DB462A" w:rsidRDefault="00FD155C" w:rsidP="00160F71">
            <w:pPr>
              <w:ind w:right="49"/>
              <w:jc w:val="right"/>
              <w:rPr>
                <w:rFonts w:cs="Arial"/>
                <w:lang w:val="en-AU" w:eastAsia="en-GB"/>
              </w:rPr>
            </w:pPr>
            <w:r w:rsidRPr="00DB462A">
              <w:rPr>
                <w:rFonts w:cs="Arial"/>
                <w:lang w:val="en-AU" w:eastAsia="en-GB"/>
              </w:rPr>
              <w:t>────────</w:t>
            </w:r>
          </w:p>
        </w:tc>
        <w:tc>
          <w:tcPr>
            <w:tcW w:w="1559" w:type="dxa"/>
            <w:tcBorders>
              <w:top w:val="nil"/>
              <w:left w:val="nil"/>
              <w:bottom w:val="nil"/>
              <w:right w:val="nil"/>
            </w:tcBorders>
            <w:vAlign w:val="bottom"/>
          </w:tcPr>
          <w:p w14:paraId="04047370" w14:textId="77777777" w:rsidR="00FD155C" w:rsidRPr="00DB462A" w:rsidRDefault="00FD155C" w:rsidP="00160F71">
            <w:pPr>
              <w:ind w:right="49"/>
              <w:jc w:val="right"/>
              <w:rPr>
                <w:rFonts w:cs="Arial"/>
                <w:lang w:val="en-AU" w:eastAsia="en-GB"/>
              </w:rPr>
            </w:pPr>
            <w:r w:rsidRPr="00DB462A">
              <w:rPr>
                <w:rFonts w:cs="Arial"/>
                <w:lang w:val="en-AU" w:eastAsia="en-GB"/>
              </w:rPr>
              <w:t>───────</w:t>
            </w:r>
          </w:p>
        </w:tc>
      </w:tr>
      <w:tr w:rsidR="00FD155C" w:rsidRPr="00C328EF" w14:paraId="6F8E7F88" w14:textId="77777777" w:rsidTr="00B711D0">
        <w:trPr>
          <w:cantSplit/>
          <w:trHeight w:val="231"/>
        </w:trPr>
        <w:tc>
          <w:tcPr>
            <w:tcW w:w="3423" w:type="dxa"/>
            <w:tcBorders>
              <w:top w:val="nil"/>
              <w:left w:val="nil"/>
              <w:bottom w:val="nil"/>
              <w:right w:val="nil"/>
            </w:tcBorders>
          </w:tcPr>
          <w:p w14:paraId="132ECD14" w14:textId="77777777" w:rsidR="00FD155C" w:rsidRPr="00C328EF" w:rsidRDefault="00FD155C" w:rsidP="00DF6653">
            <w:pPr>
              <w:rPr>
                <w:rFonts w:cs="Arial"/>
                <w:highlight w:val="yellow"/>
                <w:lang w:eastAsia="en-GB"/>
              </w:rPr>
            </w:pPr>
            <w:r w:rsidRPr="001265E9">
              <w:rPr>
                <w:rFonts w:cs="Arial"/>
                <w:lang w:val="en-AU" w:eastAsia="en-GB"/>
              </w:rPr>
              <w:t xml:space="preserve">Total </w:t>
            </w:r>
            <w:r w:rsidRPr="00DB462A">
              <w:rPr>
                <w:rFonts w:cs="Arial"/>
                <w:lang w:val="en-AU" w:eastAsia="en-GB"/>
              </w:rPr>
              <w:t>expected outflows</w:t>
            </w:r>
          </w:p>
        </w:tc>
        <w:tc>
          <w:tcPr>
            <w:tcW w:w="1418" w:type="dxa"/>
            <w:gridSpan w:val="4"/>
            <w:tcBorders>
              <w:top w:val="nil"/>
              <w:left w:val="nil"/>
              <w:bottom w:val="nil"/>
              <w:right w:val="nil"/>
            </w:tcBorders>
          </w:tcPr>
          <w:p w14:paraId="057E370F" w14:textId="77777777" w:rsidR="00FD155C" w:rsidRPr="00F0414A" w:rsidRDefault="00FD155C" w:rsidP="00160F71">
            <w:pPr>
              <w:suppressAutoHyphens/>
              <w:ind w:right="78"/>
              <w:jc w:val="right"/>
              <w:rPr>
                <w:rFonts w:cs="Arial"/>
                <w:spacing w:val="-2"/>
              </w:rPr>
            </w:pPr>
          </w:p>
        </w:tc>
        <w:tc>
          <w:tcPr>
            <w:tcW w:w="1701" w:type="dxa"/>
            <w:tcBorders>
              <w:top w:val="nil"/>
              <w:left w:val="nil"/>
              <w:bottom w:val="nil"/>
              <w:right w:val="nil"/>
            </w:tcBorders>
          </w:tcPr>
          <w:p w14:paraId="5612F62B" w14:textId="77777777" w:rsidR="00FD155C" w:rsidRPr="00DB462A" w:rsidRDefault="00DB462A" w:rsidP="00160F71">
            <w:pPr>
              <w:suppressAutoHyphens/>
              <w:ind w:right="78"/>
              <w:jc w:val="right"/>
              <w:rPr>
                <w:rFonts w:cs="Arial"/>
                <w:spacing w:val="-2"/>
              </w:rPr>
            </w:pPr>
            <w:r w:rsidRPr="00DB462A">
              <w:rPr>
                <w:rFonts w:cs="Arial"/>
                <w:spacing w:val="-2"/>
              </w:rPr>
              <w:t>27</w:t>
            </w:r>
          </w:p>
        </w:tc>
        <w:tc>
          <w:tcPr>
            <w:tcW w:w="1701" w:type="dxa"/>
            <w:tcBorders>
              <w:top w:val="nil"/>
              <w:left w:val="nil"/>
              <w:bottom w:val="nil"/>
              <w:right w:val="nil"/>
            </w:tcBorders>
          </w:tcPr>
          <w:p w14:paraId="307AA08C" w14:textId="77777777" w:rsidR="00FD155C" w:rsidRPr="00DB462A" w:rsidRDefault="00B561DF" w:rsidP="005D6132">
            <w:pPr>
              <w:suppressAutoHyphens/>
              <w:ind w:right="78"/>
              <w:jc w:val="right"/>
              <w:rPr>
                <w:rFonts w:cs="Arial"/>
                <w:spacing w:val="-2"/>
              </w:rPr>
            </w:pPr>
            <w:r w:rsidRPr="00DB462A">
              <w:rPr>
                <w:rFonts w:cs="Arial"/>
                <w:spacing w:val="-2"/>
              </w:rPr>
              <w:t>-</w:t>
            </w:r>
          </w:p>
        </w:tc>
        <w:tc>
          <w:tcPr>
            <w:tcW w:w="1559" w:type="dxa"/>
            <w:tcBorders>
              <w:top w:val="nil"/>
              <w:left w:val="nil"/>
              <w:bottom w:val="nil"/>
              <w:right w:val="nil"/>
            </w:tcBorders>
          </w:tcPr>
          <w:p w14:paraId="6B6DD4ED" w14:textId="77777777" w:rsidR="00FD155C" w:rsidRPr="00DB462A" w:rsidRDefault="00DB462A" w:rsidP="00940DD2">
            <w:pPr>
              <w:suppressAutoHyphens/>
              <w:ind w:right="78"/>
              <w:jc w:val="right"/>
              <w:rPr>
                <w:rFonts w:cs="Arial"/>
                <w:spacing w:val="-2"/>
              </w:rPr>
            </w:pPr>
            <w:r w:rsidRPr="00DB462A">
              <w:rPr>
                <w:rFonts w:cs="Arial"/>
                <w:spacing w:val="-2"/>
              </w:rPr>
              <w:t>27</w:t>
            </w:r>
          </w:p>
        </w:tc>
      </w:tr>
      <w:tr w:rsidR="00FD155C" w:rsidRPr="00C328EF" w14:paraId="3EFC46A8" w14:textId="77777777" w:rsidTr="00B711D0">
        <w:trPr>
          <w:cantSplit/>
          <w:trHeight w:val="273"/>
        </w:trPr>
        <w:tc>
          <w:tcPr>
            <w:tcW w:w="3423" w:type="dxa"/>
            <w:tcBorders>
              <w:top w:val="nil"/>
              <w:left w:val="nil"/>
              <w:bottom w:val="nil"/>
              <w:right w:val="nil"/>
            </w:tcBorders>
          </w:tcPr>
          <w:p w14:paraId="48BF72ED" w14:textId="77777777" w:rsidR="00FD155C" w:rsidRPr="00C328EF" w:rsidRDefault="00FD155C" w:rsidP="00DF6653">
            <w:pPr>
              <w:rPr>
                <w:rFonts w:cs="Arial"/>
                <w:highlight w:val="yellow"/>
                <w:lang w:eastAsia="en-GB"/>
              </w:rPr>
            </w:pPr>
          </w:p>
        </w:tc>
        <w:tc>
          <w:tcPr>
            <w:tcW w:w="1418" w:type="dxa"/>
            <w:gridSpan w:val="4"/>
            <w:tcBorders>
              <w:top w:val="nil"/>
              <w:left w:val="nil"/>
              <w:bottom w:val="nil"/>
              <w:right w:val="nil"/>
            </w:tcBorders>
          </w:tcPr>
          <w:p w14:paraId="73A8C4F0" w14:textId="77777777" w:rsidR="00FD155C" w:rsidRPr="00F0414A" w:rsidRDefault="00FD155C" w:rsidP="00160F71">
            <w:pPr>
              <w:ind w:right="49"/>
              <w:jc w:val="right"/>
              <w:rPr>
                <w:rFonts w:cs="Arial"/>
                <w:lang w:val="en-AU" w:eastAsia="en-GB"/>
              </w:rPr>
            </w:pPr>
          </w:p>
        </w:tc>
        <w:tc>
          <w:tcPr>
            <w:tcW w:w="1701" w:type="dxa"/>
            <w:tcBorders>
              <w:top w:val="nil"/>
              <w:left w:val="nil"/>
              <w:bottom w:val="nil"/>
              <w:right w:val="nil"/>
            </w:tcBorders>
          </w:tcPr>
          <w:p w14:paraId="2C981909" w14:textId="77777777" w:rsidR="00FD155C" w:rsidRPr="00DB462A" w:rsidRDefault="00FD155C" w:rsidP="00160F71">
            <w:pPr>
              <w:ind w:right="49"/>
              <w:jc w:val="right"/>
              <w:rPr>
                <w:rFonts w:cs="Arial"/>
                <w:lang w:val="en-AU" w:eastAsia="en-GB"/>
              </w:rPr>
            </w:pPr>
            <w:r w:rsidRPr="00DB462A">
              <w:rPr>
                <w:rFonts w:cs="Arial"/>
                <w:lang w:val="en-AU" w:eastAsia="en-GB"/>
              </w:rPr>
              <w:t>════════</w:t>
            </w:r>
          </w:p>
        </w:tc>
        <w:tc>
          <w:tcPr>
            <w:tcW w:w="1701" w:type="dxa"/>
            <w:tcBorders>
              <w:top w:val="nil"/>
              <w:left w:val="nil"/>
              <w:bottom w:val="nil"/>
              <w:right w:val="nil"/>
            </w:tcBorders>
          </w:tcPr>
          <w:p w14:paraId="62052CD5" w14:textId="77777777" w:rsidR="00FD155C" w:rsidRPr="00DB462A" w:rsidRDefault="00FD155C" w:rsidP="00160F71">
            <w:pPr>
              <w:ind w:right="49"/>
              <w:jc w:val="right"/>
              <w:rPr>
                <w:rFonts w:cs="Arial"/>
                <w:lang w:val="en-AU" w:eastAsia="en-GB"/>
              </w:rPr>
            </w:pPr>
            <w:r w:rsidRPr="00DB462A">
              <w:rPr>
                <w:rFonts w:cs="Arial"/>
                <w:lang w:val="en-AU" w:eastAsia="en-GB"/>
              </w:rPr>
              <w:t>════════</w:t>
            </w:r>
          </w:p>
        </w:tc>
        <w:tc>
          <w:tcPr>
            <w:tcW w:w="1559" w:type="dxa"/>
            <w:tcBorders>
              <w:top w:val="nil"/>
              <w:left w:val="nil"/>
              <w:bottom w:val="nil"/>
              <w:right w:val="nil"/>
            </w:tcBorders>
          </w:tcPr>
          <w:p w14:paraId="7B95DAEA" w14:textId="77777777" w:rsidR="00FD155C" w:rsidRPr="00DB462A" w:rsidRDefault="00FD155C" w:rsidP="00160F71">
            <w:pPr>
              <w:ind w:right="49"/>
              <w:jc w:val="right"/>
              <w:rPr>
                <w:rFonts w:cs="Arial"/>
                <w:lang w:eastAsia="en-GB"/>
              </w:rPr>
            </w:pPr>
            <w:r w:rsidRPr="00DB462A">
              <w:rPr>
                <w:rFonts w:cs="Arial"/>
                <w:lang w:val="en-AU" w:eastAsia="en-GB"/>
              </w:rPr>
              <w:t>═══════</w:t>
            </w:r>
          </w:p>
        </w:tc>
      </w:tr>
      <w:tr w:rsidR="00FD155C" w:rsidRPr="00C328EF" w14:paraId="22404288" w14:textId="77777777" w:rsidTr="00B711D0">
        <w:trPr>
          <w:cantSplit/>
          <w:trHeight w:val="239"/>
        </w:trPr>
        <w:tc>
          <w:tcPr>
            <w:tcW w:w="4132" w:type="dxa"/>
            <w:gridSpan w:val="3"/>
            <w:tcBorders>
              <w:top w:val="nil"/>
              <w:left w:val="nil"/>
              <w:bottom w:val="nil"/>
              <w:right w:val="nil"/>
            </w:tcBorders>
          </w:tcPr>
          <w:p w14:paraId="6F2F7A6A" w14:textId="77777777" w:rsidR="00FD155C" w:rsidRPr="00F0414A" w:rsidRDefault="00FD155C" w:rsidP="00DF6653">
            <w:pPr>
              <w:rPr>
                <w:rFonts w:cs="Arial"/>
                <w:b/>
                <w:bCs/>
                <w:lang w:eastAsia="en-GB"/>
              </w:rPr>
            </w:pPr>
            <w:r w:rsidRPr="00F0414A">
              <w:rPr>
                <w:rFonts w:cs="Arial"/>
                <w:b/>
                <w:bCs/>
                <w:lang w:val="en-AU" w:eastAsia="en-GB"/>
              </w:rPr>
              <w:t>Financial assets — cash flows realisable</w:t>
            </w:r>
          </w:p>
        </w:tc>
        <w:tc>
          <w:tcPr>
            <w:tcW w:w="709" w:type="dxa"/>
            <w:gridSpan w:val="2"/>
            <w:tcBorders>
              <w:top w:val="nil"/>
              <w:left w:val="nil"/>
              <w:bottom w:val="nil"/>
              <w:right w:val="nil"/>
            </w:tcBorders>
          </w:tcPr>
          <w:p w14:paraId="0B78171E" w14:textId="77777777" w:rsidR="00FD155C" w:rsidRPr="00F0414A" w:rsidRDefault="00FD155C" w:rsidP="00DF6653">
            <w:pPr>
              <w:jc w:val="right"/>
              <w:rPr>
                <w:rFonts w:cs="Arial"/>
                <w:lang w:eastAsia="en-GB"/>
              </w:rPr>
            </w:pPr>
          </w:p>
        </w:tc>
        <w:tc>
          <w:tcPr>
            <w:tcW w:w="1701" w:type="dxa"/>
            <w:tcBorders>
              <w:top w:val="nil"/>
              <w:left w:val="nil"/>
              <w:bottom w:val="nil"/>
              <w:right w:val="nil"/>
            </w:tcBorders>
          </w:tcPr>
          <w:p w14:paraId="191B8EE0" w14:textId="77777777" w:rsidR="00FD155C" w:rsidRPr="00C328EF" w:rsidRDefault="00FD155C" w:rsidP="00DF6653">
            <w:pPr>
              <w:jc w:val="right"/>
              <w:rPr>
                <w:rFonts w:cs="Arial"/>
                <w:highlight w:val="yellow"/>
                <w:lang w:eastAsia="en-GB"/>
              </w:rPr>
            </w:pPr>
          </w:p>
        </w:tc>
        <w:tc>
          <w:tcPr>
            <w:tcW w:w="1701" w:type="dxa"/>
            <w:tcBorders>
              <w:top w:val="nil"/>
              <w:left w:val="nil"/>
              <w:bottom w:val="nil"/>
              <w:right w:val="nil"/>
            </w:tcBorders>
          </w:tcPr>
          <w:p w14:paraId="5144EAF6" w14:textId="77777777" w:rsidR="00FD155C" w:rsidRPr="001265E9" w:rsidRDefault="00FD155C" w:rsidP="00DF6653">
            <w:pPr>
              <w:jc w:val="right"/>
              <w:rPr>
                <w:rFonts w:cs="Arial"/>
                <w:lang w:eastAsia="en-GB"/>
              </w:rPr>
            </w:pPr>
          </w:p>
        </w:tc>
        <w:tc>
          <w:tcPr>
            <w:tcW w:w="1559" w:type="dxa"/>
            <w:tcBorders>
              <w:top w:val="nil"/>
              <w:left w:val="nil"/>
              <w:bottom w:val="nil"/>
              <w:right w:val="nil"/>
            </w:tcBorders>
          </w:tcPr>
          <w:p w14:paraId="5BF6B310" w14:textId="77777777" w:rsidR="00FD155C" w:rsidRPr="00C328EF" w:rsidRDefault="00FD155C" w:rsidP="00DF6653">
            <w:pPr>
              <w:jc w:val="right"/>
              <w:rPr>
                <w:rFonts w:cs="Arial"/>
                <w:highlight w:val="yellow"/>
                <w:lang w:eastAsia="en-GB"/>
              </w:rPr>
            </w:pPr>
          </w:p>
        </w:tc>
      </w:tr>
      <w:tr w:rsidR="00FD155C" w:rsidRPr="00C328EF" w14:paraId="0315BFF4" w14:textId="77777777" w:rsidTr="00B711D0">
        <w:trPr>
          <w:cantSplit/>
          <w:trHeight w:val="255"/>
        </w:trPr>
        <w:tc>
          <w:tcPr>
            <w:tcW w:w="3423" w:type="dxa"/>
            <w:tcBorders>
              <w:top w:val="nil"/>
              <w:left w:val="nil"/>
              <w:bottom w:val="nil"/>
              <w:right w:val="nil"/>
            </w:tcBorders>
          </w:tcPr>
          <w:p w14:paraId="16452D75" w14:textId="77777777" w:rsidR="00FD155C" w:rsidRPr="001265E9" w:rsidRDefault="00FD155C" w:rsidP="00FD155C">
            <w:pPr>
              <w:rPr>
                <w:rFonts w:cs="Arial"/>
                <w:lang w:eastAsia="en-GB"/>
              </w:rPr>
            </w:pPr>
            <w:r w:rsidRPr="001265E9">
              <w:rPr>
                <w:rFonts w:cs="Arial"/>
                <w:lang w:val="en-AU" w:eastAsia="en-GB"/>
              </w:rPr>
              <w:t>Cash and cash equivalents</w:t>
            </w:r>
          </w:p>
        </w:tc>
        <w:tc>
          <w:tcPr>
            <w:tcW w:w="851" w:type="dxa"/>
            <w:gridSpan w:val="3"/>
            <w:tcBorders>
              <w:top w:val="nil"/>
              <w:left w:val="nil"/>
              <w:bottom w:val="nil"/>
              <w:right w:val="nil"/>
            </w:tcBorders>
          </w:tcPr>
          <w:p w14:paraId="76ED9101" w14:textId="77777777" w:rsidR="00FD155C" w:rsidRPr="00F0414A" w:rsidRDefault="00FD155C" w:rsidP="00D52D61">
            <w:pPr>
              <w:suppressAutoHyphens/>
              <w:ind w:right="78"/>
              <w:jc w:val="right"/>
              <w:rPr>
                <w:rFonts w:cs="Arial"/>
                <w:spacing w:val="-2"/>
              </w:rPr>
            </w:pPr>
            <w:r w:rsidRPr="00F0414A">
              <w:rPr>
                <w:rFonts w:cs="Arial"/>
                <w:spacing w:val="-2"/>
              </w:rPr>
              <w:t>1</w:t>
            </w:r>
            <w:r w:rsidR="00F0414A" w:rsidRPr="00F0414A">
              <w:rPr>
                <w:rFonts w:cs="Arial"/>
                <w:spacing w:val="-2"/>
              </w:rPr>
              <w:t>3</w:t>
            </w:r>
          </w:p>
        </w:tc>
        <w:tc>
          <w:tcPr>
            <w:tcW w:w="2268" w:type="dxa"/>
            <w:gridSpan w:val="2"/>
            <w:tcBorders>
              <w:top w:val="nil"/>
              <w:left w:val="nil"/>
              <w:bottom w:val="nil"/>
              <w:right w:val="nil"/>
            </w:tcBorders>
          </w:tcPr>
          <w:p w14:paraId="12E0D9B6" w14:textId="77777777" w:rsidR="00FD155C" w:rsidRPr="00CA1F53" w:rsidRDefault="00CA1F53" w:rsidP="00D52D61">
            <w:pPr>
              <w:suppressAutoHyphens/>
              <w:ind w:right="78"/>
              <w:jc w:val="right"/>
              <w:rPr>
                <w:rFonts w:cs="Arial"/>
                <w:spacing w:val="-2"/>
              </w:rPr>
            </w:pPr>
            <w:r w:rsidRPr="00CA1F53">
              <w:rPr>
                <w:rFonts w:cs="Arial"/>
                <w:spacing w:val="-2"/>
              </w:rPr>
              <w:t>217</w:t>
            </w:r>
          </w:p>
        </w:tc>
        <w:tc>
          <w:tcPr>
            <w:tcW w:w="1701" w:type="dxa"/>
            <w:tcBorders>
              <w:top w:val="nil"/>
              <w:left w:val="nil"/>
              <w:bottom w:val="nil"/>
              <w:right w:val="nil"/>
            </w:tcBorders>
          </w:tcPr>
          <w:p w14:paraId="570CE8D1" w14:textId="77777777" w:rsidR="00FD155C" w:rsidRPr="001265E9" w:rsidRDefault="00E6307F" w:rsidP="00160F71">
            <w:pPr>
              <w:suppressAutoHyphens/>
              <w:ind w:right="78"/>
              <w:jc w:val="right"/>
              <w:rPr>
                <w:rFonts w:cs="Arial"/>
                <w:spacing w:val="-2"/>
              </w:rPr>
            </w:pPr>
            <w:r w:rsidRPr="001265E9">
              <w:rPr>
                <w:rFonts w:cs="Arial"/>
                <w:spacing w:val="-2"/>
              </w:rPr>
              <w:t>-</w:t>
            </w:r>
          </w:p>
        </w:tc>
        <w:tc>
          <w:tcPr>
            <w:tcW w:w="1559" w:type="dxa"/>
            <w:tcBorders>
              <w:top w:val="nil"/>
              <w:left w:val="nil"/>
              <w:bottom w:val="nil"/>
              <w:right w:val="nil"/>
            </w:tcBorders>
          </w:tcPr>
          <w:p w14:paraId="254C81A1" w14:textId="77777777" w:rsidR="00FD155C" w:rsidRPr="00CA1F53" w:rsidRDefault="00CA1F53" w:rsidP="00D52D61">
            <w:pPr>
              <w:suppressAutoHyphens/>
              <w:ind w:right="78"/>
              <w:jc w:val="right"/>
              <w:rPr>
                <w:rFonts w:cs="Arial"/>
                <w:spacing w:val="-2"/>
              </w:rPr>
            </w:pPr>
            <w:r w:rsidRPr="00CA1F53">
              <w:rPr>
                <w:rFonts w:cs="Arial"/>
                <w:spacing w:val="-2"/>
              </w:rPr>
              <w:t>217</w:t>
            </w:r>
          </w:p>
        </w:tc>
      </w:tr>
      <w:tr w:rsidR="00FD155C" w:rsidRPr="00C328EF" w14:paraId="79C74D81" w14:textId="77777777" w:rsidTr="00B711D0">
        <w:trPr>
          <w:cantSplit/>
          <w:trHeight w:val="255"/>
        </w:trPr>
        <w:tc>
          <w:tcPr>
            <w:tcW w:w="3423" w:type="dxa"/>
            <w:tcBorders>
              <w:top w:val="nil"/>
              <w:left w:val="nil"/>
              <w:bottom w:val="nil"/>
              <w:right w:val="nil"/>
            </w:tcBorders>
          </w:tcPr>
          <w:p w14:paraId="7471AB89" w14:textId="77777777" w:rsidR="00FD155C" w:rsidRPr="001265E9" w:rsidRDefault="00FD155C" w:rsidP="00E92393">
            <w:pPr>
              <w:rPr>
                <w:rFonts w:cs="Arial"/>
                <w:lang w:eastAsia="en-GB"/>
              </w:rPr>
            </w:pPr>
            <w:r w:rsidRPr="001265E9">
              <w:rPr>
                <w:rFonts w:cs="Arial"/>
                <w:lang w:val="en-AU" w:eastAsia="en-GB"/>
              </w:rPr>
              <w:t>Trade and other receivables</w:t>
            </w:r>
          </w:p>
        </w:tc>
        <w:tc>
          <w:tcPr>
            <w:tcW w:w="851" w:type="dxa"/>
            <w:gridSpan w:val="3"/>
            <w:tcBorders>
              <w:top w:val="nil"/>
              <w:left w:val="nil"/>
              <w:bottom w:val="nil"/>
              <w:right w:val="nil"/>
            </w:tcBorders>
          </w:tcPr>
          <w:p w14:paraId="47CE93F1" w14:textId="77777777" w:rsidR="00FD155C" w:rsidRPr="00F0414A" w:rsidRDefault="00FD155C" w:rsidP="00D52D61">
            <w:pPr>
              <w:suppressAutoHyphens/>
              <w:ind w:right="78"/>
              <w:jc w:val="right"/>
              <w:rPr>
                <w:rFonts w:cs="Arial"/>
                <w:spacing w:val="-2"/>
              </w:rPr>
            </w:pPr>
            <w:r w:rsidRPr="00F0414A">
              <w:rPr>
                <w:rFonts w:cs="Arial"/>
                <w:spacing w:val="-2"/>
              </w:rPr>
              <w:t>1</w:t>
            </w:r>
            <w:r w:rsidR="00F0414A" w:rsidRPr="00F0414A">
              <w:rPr>
                <w:rFonts w:cs="Arial"/>
                <w:spacing w:val="-2"/>
              </w:rPr>
              <w:t>2</w:t>
            </w:r>
          </w:p>
        </w:tc>
        <w:tc>
          <w:tcPr>
            <w:tcW w:w="2268" w:type="dxa"/>
            <w:gridSpan w:val="2"/>
            <w:tcBorders>
              <w:top w:val="nil"/>
              <w:left w:val="nil"/>
              <w:bottom w:val="nil"/>
              <w:right w:val="nil"/>
            </w:tcBorders>
          </w:tcPr>
          <w:p w14:paraId="5B0E67FB" w14:textId="77777777" w:rsidR="00FD155C" w:rsidRPr="00CA1F53" w:rsidRDefault="00CA1F53" w:rsidP="00D52D61">
            <w:pPr>
              <w:suppressAutoHyphens/>
              <w:ind w:right="78"/>
              <w:jc w:val="right"/>
              <w:rPr>
                <w:rFonts w:cs="Arial"/>
                <w:spacing w:val="-2"/>
              </w:rPr>
            </w:pPr>
            <w:r w:rsidRPr="00CA1F53">
              <w:rPr>
                <w:rFonts w:cs="Arial"/>
                <w:spacing w:val="-2"/>
              </w:rPr>
              <w:t>46</w:t>
            </w:r>
          </w:p>
        </w:tc>
        <w:tc>
          <w:tcPr>
            <w:tcW w:w="1701" w:type="dxa"/>
            <w:tcBorders>
              <w:top w:val="nil"/>
              <w:left w:val="nil"/>
              <w:bottom w:val="nil"/>
              <w:right w:val="nil"/>
            </w:tcBorders>
          </w:tcPr>
          <w:p w14:paraId="52B7E372" w14:textId="77777777" w:rsidR="00FD155C" w:rsidRPr="001265E9" w:rsidRDefault="00E6307F" w:rsidP="00160F71">
            <w:pPr>
              <w:suppressAutoHyphens/>
              <w:ind w:right="78"/>
              <w:jc w:val="right"/>
              <w:rPr>
                <w:rFonts w:cs="Arial"/>
                <w:spacing w:val="-2"/>
              </w:rPr>
            </w:pPr>
            <w:r w:rsidRPr="001265E9">
              <w:rPr>
                <w:rFonts w:cs="Arial"/>
                <w:spacing w:val="-2"/>
              </w:rPr>
              <w:t>-</w:t>
            </w:r>
          </w:p>
        </w:tc>
        <w:tc>
          <w:tcPr>
            <w:tcW w:w="1559" w:type="dxa"/>
            <w:tcBorders>
              <w:top w:val="nil"/>
              <w:left w:val="nil"/>
              <w:bottom w:val="nil"/>
              <w:right w:val="nil"/>
            </w:tcBorders>
          </w:tcPr>
          <w:p w14:paraId="739D6F64" w14:textId="77777777" w:rsidR="00FD155C" w:rsidRPr="00CA1F53" w:rsidRDefault="00CA1F53" w:rsidP="00B96F0C">
            <w:pPr>
              <w:suppressAutoHyphens/>
              <w:ind w:right="78"/>
              <w:jc w:val="right"/>
              <w:rPr>
                <w:rFonts w:cs="Arial"/>
                <w:spacing w:val="-2"/>
              </w:rPr>
            </w:pPr>
            <w:r w:rsidRPr="00CA1F53">
              <w:rPr>
                <w:rFonts w:cs="Arial"/>
                <w:spacing w:val="-2"/>
              </w:rPr>
              <w:t>46</w:t>
            </w:r>
          </w:p>
        </w:tc>
      </w:tr>
      <w:tr w:rsidR="00FD155C" w:rsidRPr="00C328EF" w14:paraId="2F93A55C" w14:textId="77777777" w:rsidTr="00B711D0">
        <w:trPr>
          <w:cantSplit/>
          <w:trHeight w:val="255"/>
        </w:trPr>
        <w:tc>
          <w:tcPr>
            <w:tcW w:w="3423" w:type="dxa"/>
            <w:tcBorders>
              <w:top w:val="nil"/>
              <w:left w:val="nil"/>
              <w:bottom w:val="nil"/>
              <w:right w:val="nil"/>
            </w:tcBorders>
          </w:tcPr>
          <w:p w14:paraId="6DF54991" w14:textId="77777777" w:rsidR="00FD155C" w:rsidRPr="00C328EF" w:rsidRDefault="00FD155C" w:rsidP="00DF6653">
            <w:pPr>
              <w:rPr>
                <w:rFonts w:cs="Arial"/>
                <w:highlight w:val="yellow"/>
                <w:lang w:val="en-AU" w:eastAsia="en-GB"/>
              </w:rPr>
            </w:pPr>
          </w:p>
        </w:tc>
        <w:tc>
          <w:tcPr>
            <w:tcW w:w="1418" w:type="dxa"/>
            <w:gridSpan w:val="4"/>
            <w:tcBorders>
              <w:top w:val="nil"/>
              <w:left w:val="nil"/>
              <w:bottom w:val="nil"/>
              <w:right w:val="nil"/>
            </w:tcBorders>
          </w:tcPr>
          <w:p w14:paraId="76143BAE" w14:textId="77777777" w:rsidR="00FD155C" w:rsidRPr="00C328EF" w:rsidRDefault="00FD155C" w:rsidP="00160F71">
            <w:pPr>
              <w:ind w:right="49"/>
              <w:jc w:val="right"/>
              <w:rPr>
                <w:rFonts w:cs="Arial"/>
                <w:highlight w:val="yellow"/>
                <w:lang w:val="en-AU" w:eastAsia="en-GB"/>
              </w:rPr>
            </w:pPr>
          </w:p>
        </w:tc>
        <w:tc>
          <w:tcPr>
            <w:tcW w:w="1701" w:type="dxa"/>
            <w:tcBorders>
              <w:top w:val="nil"/>
              <w:left w:val="nil"/>
              <w:bottom w:val="nil"/>
              <w:right w:val="nil"/>
            </w:tcBorders>
            <w:vAlign w:val="bottom"/>
          </w:tcPr>
          <w:p w14:paraId="014273BB" w14:textId="77777777" w:rsidR="00FD155C" w:rsidRPr="00CA1F53" w:rsidRDefault="00FD155C" w:rsidP="00160F71">
            <w:pPr>
              <w:ind w:right="49"/>
              <w:jc w:val="right"/>
              <w:rPr>
                <w:rFonts w:cs="Arial"/>
                <w:lang w:val="en-AU" w:eastAsia="en-GB"/>
              </w:rPr>
            </w:pPr>
            <w:r w:rsidRPr="00CA1F53">
              <w:rPr>
                <w:rFonts w:cs="Arial"/>
                <w:lang w:val="en-AU" w:eastAsia="en-GB"/>
              </w:rPr>
              <w:t>────────</w:t>
            </w:r>
          </w:p>
        </w:tc>
        <w:tc>
          <w:tcPr>
            <w:tcW w:w="1701" w:type="dxa"/>
            <w:tcBorders>
              <w:top w:val="nil"/>
              <w:left w:val="nil"/>
              <w:bottom w:val="nil"/>
              <w:right w:val="nil"/>
            </w:tcBorders>
            <w:vAlign w:val="bottom"/>
          </w:tcPr>
          <w:p w14:paraId="6D5E879A" w14:textId="77777777" w:rsidR="00FD155C" w:rsidRPr="001265E9" w:rsidRDefault="00FD155C" w:rsidP="00160F71">
            <w:pPr>
              <w:ind w:right="49"/>
              <w:jc w:val="right"/>
              <w:rPr>
                <w:rFonts w:cs="Arial"/>
                <w:lang w:val="en-AU" w:eastAsia="en-GB"/>
              </w:rPr>
            </w:pPr>
            <w:r w:rsidRPr="001265E9">
              <w:rPr>
                <w:rFonts w:cs="Arial"/>
                <w:lang w:val="en-AU" w:eastAsia="en-GB"/>
              </w:rPr>
              <w:t>────────</w:t>
            </w:r>
          </w:p>
        </w:tc>
        <w:tc>
          <w:tcPr>
            <w:tcW w:w="1559" w:type="dxa"/>
            <w:tcBorders>
              <w:top w:val="nil"/>
              <w:left w:val="nil"/>
              <w:bottom w:val="nil"/>
              <w:right w:val="nil"/>
            </w:tcBorders>
            <w:vAlign w:val="bottom"/>
          </w:tcPr>
          <w:p w14:paraId="5E850167" w14:textId="77777777" w:rsidR="00FD155C" w:rsidRPr="00CA1F53" w:rsidRDefault="00FD155C" w:rsidP="00160F71">
            <w:pPr>
              <w:ind w:right="49"/>
              <w:jc w:val="right"/>
              <w:rPr>
                <w:rFonts w:cs="Arial"/>
                <w:lang w:val="en-AU" w:eastAsia="en-GB"/>
              </w:rPr>
            </w:pPr>
            <w:r w:rsidRPr="00CA1F53">
              <w:rPr>
                <w:rFonts w:cs="Arial"/>
                <w:lang w:val="en-AU" w:eastAsia="en-GB"/>
              </w:rPr>
              <w:t>────────</w:t>
            </w:r>
          </w:p>
        </w:tc>
      </w:tr>
      <w:tr w:rsidR="00FD155C" w:rsidRPr="00C328EF" w14:paraId="7BA4E2D6" w14:textId="77777777" w:rsidTr="00B711D0">
        <w:trPr>
          <w:cantSplit/>
          <w:trHeight w:val="166"/>
        </w:trPr>
        <w:tc>
          <w:tcPr>
            <w:tcW w:w="3423" w:type="dxa"/>
            <w:tcBorders>
              <w:top w:val="nil"/>
              <w:left w:val="nil"/>
              <w:bottom w:val="nil"/>
              <w:right w:val="nil"/>
            </w:tcBorders>
          </w:tcPr>
          <w:p w14:paraId="4E3B8533" w14:textId="77777777" w:rsidR="00FD155C" w:rsidRPr="00C328EF" w:rsidRDefault="00FD155C" w:rsidP="008C469D">
            <w:pPr>
              <w:rPr>
                <w:rFonts w:cs="Arial"/>
                <w:highlight w:val="yellow"/>
                <w:lang w:val="en-AU" w:eastAsia="en-GB"/>
              </w:rPr>
            </w:pPr>
            <w:r w:rsidRPr="001265E9">
              <w:rPr>
                <w:rFonts w:cs="Arial"/>
                <w:lang w:val="en-AU" w:eastAsia="en-GB"/>
              </w:rPr>
              <w:t xml:space="preserve">Total </w:t>
            </w:r>
            <w:r w:rsidRPr="00DB462A">
              <w:rPr>
                <w:rFonts w:cs="Arial"/>
                <w:lang w:val="en-AU" w:eastAsia="en-GB"/>
              </w:rPr>
              <w:t>anticipated inflows</w:t>
            </w:r>
          </w:p>
        </w:tc>
        <w:tc>
          <w:tcPr>
            <w:tcW w:w="1418" w:type="dxa"/>
            <w:gridSpan w:val="4"/>
            <w:tcBorders>
              <w:top w:val="nil"/>
              <w:left w:val="nil"/>
              <w:bottom w:val="nil"/>
              <w:right w:val="nil"/>
            </w:tcBorders>
          </w:tcPr>
          <w:p w14:paraId="5C71DA01" w14:textId="77777777" w:rsidR="00FD155C" w:rsidRPr="00C328EF" w:rsidRDefault="00FD155C" w:rsidP="00B96F0C">
            <w:pPr>
              <w:suppressAutoHyphens/>
              <w:ind w:right="78"/>
              <w:jc w:val="right"/>
              <w:rPr>
                <w:rFonts w:cs="Arial"/>
                <w:spacing w:val="-2"/>
                <w:highlight w:val="yellow"/>
              </w:rPr>
            </w:pPr>
          </w:p>
        </w:tc>
        <w:tc>
          <w:tcPr>
            <w:tcW w:w="1701" w:type="dxa"/>
            <w:tcBorders>
              <w:top w:val="nil"/>
              <w:left w:val="nil"/>
              <w:bottom w:val="nil"/>
              <w:right w:val="nil"/>
            </w:tcBorders>
          </w:tcPr>
          <w:p w14:paraId="16C54875" w14:textId="77777777" w:rsidR="00FD155C" w:rsidRPr="00CC0D8F" w:rsidRDefault="00CA1F53" w:rsidP="00B96F0C">
            <w:pPr>
              <w:suppressAutoHyphens/>
              <w:ind w:right="78"/>
              <w:jc w:val="right"/>
              <w:rPr>
                <w:rFonts w:cs="Arial"/>
                <w:spacing w:val="-2"/>
              </w:rPr>
            </w:pPr>
            <w:r w:rsidRPr="00CC0D8F">
              <w:rPr>
                <w:rFonts w:cs="Arial"/>
                <w:spacing w:val="-2"/>
              </w:rPr>
              <w:t>263</w:t>
            </w:r>
          </w:p>
        </w:tc>
        <w:tc>
          <w:tcPr>
            <w:tcW w:w="1701" w:type="dxa"/>
            <w:tcBorders>
              <w:top w:val="nil"/>
              <w:left w:val="nil"/>
              <w:bottom w:val="nil"/>
              <w:right w:val="nil"/>
            </w:tcBorders>
          </w:tcPr>
          <w:p w14:paraId="29798028" w14:textId="77777777" w:rsidR="00FD155C" w:rsidRPr="00CC0D8F" w:rsidRDefault="00E6307F" w:rsidP="00160F71">
            <w:pPr>
              <w:suppressAutoHyphens/>
              <w:ind w:right="78"/>
              <w:jc w:val="right"/>
              <w:rPr>
                <w:rFonts w:cs="Arial"/>
                <w:spacing w:val="-2"/>
              </w:rPr>
            </w:pPr>
            <w:r w:rsidRPr="00CC0D8F">
              <w:rPr>
                <w:rFonts w:cs="Arial"/>
                <w:spacing w:val="-2"/>
              </w:rPr>
              <w:t>-</w:t>
            </w:r>
          </w:p>
        </w:tc>
        <w:tc>
          <w:tcPr>
            <w:tcW w:w="1559" w:type="dxa"/>
            <w:tcBorders>
              <w:top w:val="nil"/>
              <w:left w:val="nil"/>
              <w:bottom w:val="nil"/>
              <w:right w:val="nil"/>
            </w:tcBorders>
          </w:tcPr>
          <w:p w14:paraId="3536353B" w14:textId="77777777" w:rsidR="00FD155C" w:rsidRPr="00CC0D8F" w:rsidRDefault="00CA1F53" w:rsidP="00B96F0C">
            <w:pPr>
              <w:suppressAutoHyphens/>
              <w:ind w:right="78"/>
              <w:jc w:val="right"/>
              <w:rPr>
                <w:rFonts w:cs="Arial"/>
                <w:spacing w:val="-2"/>
              </w:rPr>
            </w:pPr>
            <w:r w:rsidRPr="00CC0D8F">
              <w:rPr>
                <w:rFonts w:cs="Arial"/>
                <w:spacing w:val="-2"/>
              </w:rPr>
              <w:t>263</w:t>
            </w:r>
          </w:p>
        </w:tc>
      </w:tr>
      <w:tr w:rsidR="00FD155C" w:rsidRPr="00C328EF" w14:paraId="62C50135" w14:textId="77777777" w:rsidTr="00B711D0">
        <w:trPr>
          <w:cantSplit/>
          <w:trHeight w:val="255"/>
        </w:trPr>
        <w:tc>
          <w:tcPr>
            <w:tcW w:w="3423" w:type="dxa"/>
            <w:tcBorders>
              <w:top w:val="nil"/>
              <w:left w:val="nil"/>
              <w:bottom w:val="nil"/>
              <w:right w:val="nil"/>
            </w:tcBorders>
          </w:tcPr>
          <w:p w14:paraId="7F9F13BD" w14:textId="77777777" w:rsidR="00FD155C" w:rsidRPr="00C328EF" w:rsidRDefault="00FD155C" w:rsidP="00DF6653">
            <w:pPr>
              <w:rPr>
                <w:rFonts w:cs="Arial"/>
                <w:highlight w:val="yellow"/>
                <w:lang w:val="en-AU" w:eastAsia="en-GB"/>
              </w:rPr>
            </w:pPr>
          </w:p>
        </w:tc>
        <w:tc>
          <w:tcPr>
            <w:tcW w:w="1418" w:type="dxa"/>
            <w:gridSpan w:val="4"/>
            <w:tcBorders>
              <w:top w:val="nil"/>
              <w:left w:val="nil"/>
              <w:bottom w:val="nil"/>
              <w:right w:val="nil"/>
            </w:tcBorders>
          </w:tcPr>
          <w:p w14:paraId="14C53E5C" w14:textId="77777777" w:rsidR="00FD155C" w:rsidRPr="00C328EF" w:rsidRDefault="00FD155C" w:rsidP="00160F71">
            <w:pPr>
              <w:ind w:right="49"/>
              <w:jc w:val="right"/>
              <w:rPr>
                <w:rFonts w:cs="Arial"/>
                <w:highlight w:val="yellow"/>
                <w:lang w:val="en-AU" w:eastAsia="en-GB"/>
              </w:rPr>
            </w:pPr>
          </w:p>
        </w:tc>
        <w:tc>
          <w:tcPr>
            <w:tcW w:w="1701" w:type="dxa"/>
            <w:tcBorders>
              <w:top w:val="nil"/>
              <w:left w:val="nil"/>
              <w:bottom w:val="nil"/>
              <w:right w:val="nil"/>
            </w:tcBorders>
          </w:tcPr>
          <w:p w14:paraId="6DF61D45" w14:textId="77777777" w:rsidR="00FD155C" w:rsidRPr="00CC0D8F" w:rsidRDefault="00FD155C" w:rsidP="00160F71">
            <w:pPr>
              <w:ind w:right="49"/>
              <w:jc w:val="right"/>
              <w:rPr>
                <w:rFonts w:cs="Arial"/>
                <w:lang w:val="en-AU" w:eastAsia="en-GB"/>
              </w:rPr>
            </w:pPr>
            <w:r w:rsidRPr="00CC0D8F">
              <w:rPr>
                <w:rFonts w:cs="Arial"/>
                <w:lang w:val="en-AU" w:eastAsia="en-GB"/>
              </w:rPr>
              <w:t>════════</w:t>
            </w:r>
          </w:p>
        </w:tc>
        <w:tc>
          <w:tcPr>
            <w:tcW w:w="1701" w:type="dxa"/>
            <w:tcBorders>
              <w:top w:val="nil"/>
              <w:left w:val="nil"/>
              <w:bottom w:val="nil"/>
              <w:right w:val="nil"/>
            </w:tcBorders>
          </w:tcPr>
          <w:p w14:paraId="15CDD5B5" w14:textId="77777777" w:rsidR="00FD155C" w:rsidRPr="00CC0D8F" w:rsidRDefault="00FD155C" w:rsidP="00160F71">
            <w:pPr>
              <w:ind w:right="49"/>
              <w:jc w:val="right"/>
              <w:rPr>
                <w:rFonts w:cs="Arial"/>
                <w:lang w:val="en-AU" w:eastAsia="en-GB"/>
              </w:rPr>
            </w:pPr>
            <w:r w:rsidRPr="00CC0D8F">
              <w:rPr>
                <w:rFonts w:cs="Arial"/>
                <w:lang w:val="en-AU" w:eastAsia="en-GB"/>
              </w:rPr>
              <w:t>════════</w:t>
            </w:r>
          </w:p>
        </w:tc>
        <w:tc>
          <w:tcPr>
            <w:tcW w:w="1559" w:type="dxa"/>
            <w:tcBorders>
              <w:top w:val="nil"/>
              <w:left w:val="nil"/>
              <w:bottom w:val="nil"/>
              <w:right w:val="nil"/>
            </w:tcBorders>
          </w:tcPr>
          <w:p w14:paraId="148C3B20" w14:textId="77777777" w:rsidR="00FD155C" w:rsidRPr="00CC0D8F" w:rsidRDefault="00FD155C" w:rsidP="00160F71">
            <w:pPr>
              <w:ind w:right="49"/>
              <w:jc w:val="right"/>
              <w:rPr>
                <w:rFonts w:cs="Arial"/>
                <w:lang w:val="en-AU" w:eastAsia="en-GB"/>
              </w:rPr>
            </w:pPr>
            <w:r w:rsidRPr="00CC0D8F">
              <w:rPr>
                <w:rFonts w:cs="Arial"/>
                <w:lang w:val="en-AU" w:eastAsia="en-GB"/>
              </w:rPr>
              <w:t>════════</w:t>
            </w:r>
          </w:p>
        </w:tc>
      </w:tr>
      <w:tr w:rsidR="00FD155C" w:rsidRPr="00C328EF" w14:paraId="57B0D02C" w14:textId="77777777" w:rsidTr="00B711D0">
        <w:trPr>
          <w:cantSplit/>
          <w:trHeight w:val="255"/>
        </w:trPr>
        <w:tc>
          <w:tcPr>
            <w:tcW w:w="3423" w:type="dxa"/>
            <w:tcBorders>
              <w:top w:val="nil"/>
              <w:left w:val="nil"/>
              <w:bottom w:val="nil"/>
              <w:right w:val="nil"/>
            </w:tcBorders>
          </w:tcPr>
          <w:p w14:paraId="3ACC2C24" w14:textId="77777777" w:rsidR="00FD155C" w:rsidRPr="00C328EF" w:rsidRDefault="00FD155C" w:rsidP="00DF6653">
            <w:pPr>
              <w:rPr>
                <w:rFonts w:cs="Arial"/>
                <w:highlight w:val="yellow"/>
                <w:lang w:eastAsia="en-GB"/>
              </w:rPr>
            </w:pPr>
          </w:p>
        </w:tc>
        <w:tc>
          <w:tcPr>
            <w:tcW w:w="1418" w:type="dxa"/>
            <w:gridSpan w:val="4"/>
            <w:tcBorders>
              <w:top w:val="nil"/>
              <w:left w:val="nil"/>
              <w:bottom w:val="nil"/>
              <w:right w:val="nil"/>
            </w:tcBorders>
          </w:tcPr>
          <w:p w14:paraId="45C62B68" w14:textId="77777777" w:rsidR="00FD155C" w:rsidRPr="00C328EF" w:rsidRDefault="00FD155C" w:rsidP="00160F71">
            <w:pPr>
              <w:ind w:right="49"/>
              <w:jc w:val="right"/>
              <w:rPr>
                <w:rFonts w:cs="Arial"/>
                <w:highlight w:val="yellow"/>
                <w:lang w:val="en-AU" w:eastAsia="en-GB"/>
              </w:rPr>
            </w:pPr>
          </w:p>
        </w:tc>
        <w:tc>
          <w:tcPr>
            <w:tcW w:w="1701" w:type="dxa"/>
            <w:tcBorders>
              <w:top w:val="nil"/>
              <w:left w:val="nil"/>
              <w:bottom w:val="nil"/>
              <w:right w:val="nil"/>
            </w:tcBorders>
            <w:vAlign w:val="bottom"/>
          </w:tcPr>
          <w:p w14:paraId="5E7C15D0" w14:textId="77777777" w:rsidR="00FD155C" w:rsidRPr="00CC0D8F" w:rsidRDefault="00FD155C" w:rsidP="00160F71">
            <w:pPr>
              <w:ind w:right="49"/>
              <w:jc w:val="right"/>
              <w:rPr>
                <w:rFonts w:cs="Arial"/>
                <w:lang w:val="en-AU" w:eastAsia="en-GB"/>
              </w:rPr>
            </w:pPr>
            <w:r w:rsidRPr="00CC0D8F">
              <w:rPr>
                <w:rFonts w:cs="Arial"/>
                <w:lang w:val="en-AU" w:eastAsia="en-GB"/>
              </w:rPr>
              <w:t>────────</w:t>
            </w:r>
          </w:p>
        </w:tc>
        <w:tc>
          <w:tcPr>
            <w:tcW w:w="1701" w:type="dxa"/>
            <w:tcBorders>
              <w:top w:val="nil"/>
              <w:left w:val="nil"/>
              <w:bottom w:val="nil"/>
              <w:right w:val="nil"/>
            </w:tcBorders>
            <w:vAlign w:val="bottom"/>
          </w:tcPr>
          <w:p w14:paraId="595DAF04" w14:textId="77777777" w:rsidR="00FD155C" w:rsidRPr="00CC0D8F" w:rsidRDefault="00FD155C" w:rsidP="00160F71">
            <w:pPr>
              <w:ind w:right="49"/>
              <w:jc w:val="right"/>
              <w:rPr>
                <w:rFonts w:cs="Arial"/>
                <w:lang w:val="en-AU" w:eastAsia="en-GB"/>
              </w:rPr>
            </w:pPr>
            <w:r w:rsidRPr="00CC0D8F">
              <w:rPr>
                <w:rFonts w:cs="Arial"/>
                <w:lang w:val="en-AU" w:eastAsia="en-GB"/>
              </w:rPr>
              <w:t>────────</w:t>
            </w:r>
          </w:p>
        </w:tc>
        <w:tc>
          <w:tcPr>
            <w:tcW w:w="1559" w:type="dxa"/>
            <w:tcBorders>
              <w:top w:val="nil"/>
              <w:left w:val="nil"/>
              <w:bottom w:val="nil"/>
              <w:right w:val="nil"/>
            </w:tcBorders>
            <w:vAlign w:val="bottom"/>
          </w:tcPr>
          <w:p w14:paraId="7A102037" w14:textId="77777777" w:rsidR="00FD155C" w:rsidRPr="00CC0D8F" w:rsidRDefault="00FD155C" w:rsidP="00160F71">
            <w:pPr>
              <w:ind w:right="49"/>
              <w:jc w:val="right"/>
              <w:rPr>
                <w:rFonts w:cs="Arial"/>
                <w:lang w:val="en-AU" w:eastAsia="en-GB"/>
              </w:rPr>
            </w:pPr>
            <w:r w:rsidRPr="00CC0D8F">
              <w:rPr>
                <w:rFonts w:cs="Arial"/>
                <w:lang w:val="en-AU" w:eastAsia="en-GB"/>
              </w:rPr>
              <w:t>────────</w:t>
            </w:r>
          </w:p>
        </w:tc>
      </w:tr>
      <w:tr w:rsidR="00FD155C" w:rsidRPr="00C328EF" w14:paraId="6AE18DF3" w14:textId="77777777" w:rsidTr="00B711D0">
        <w:trPr>
          <w:cantSplit/>
          <w:trHeight w:val="210"/>
        </w:trPr>
        <w:tc>
          <w:tcPr>
            <w:tcW w:w="3423" w:type="dxa"/>
            <w:tcBorders>
              <w:top w:val="nil"/>
              <w:left w:val="nil"/>
              <w:bottom w:val="nil"/>
              <w:right w:val="nil"/>
            </w:tcBorders>
          </w:tcPr>
          <w:p w14:paraId="352EFAEE" w14:textId="77777777" w:rsidR="00FD155C" w:rsidRPr="00C328EF" w:rsidRDefault="00FD155C" w:rsidP="008334F6">
            <w:pPr>
              <w:rPr>
                <w:rFonts w:cs="Arial"/>
                <w:highlight w:val="yellow"/>
                <w:lang w:eastAsia="en-GB"/>
              </w:rPr>
            </w:pPr>
            <w:r w:rsidRPr="00DB462A">
              <w:rPr>
                <w:rFonts w:cs="Arial"/>
                <w:lang w:val="en-AU" w:eastAsia="en-GB"/>
              </w:rPr>
              <w:t>Net inflow of financial</w:t>
            </w:r>
            <w:r w:rsidRPr="001265E9">
              <w:rPr>
                <w:rFonts w:cs="Arial"/>
                <w:lang w:val="en-AU" w:eastAsia="en-GB"/>
              </w:rPr>
              <w:t xml:space="preserve"> instruments</w:t>
            </w:r>
          </w:p>
        </w:tc>
        <w:tc>
          <w:tcPr>
            <w:tcW w:w="1418" w:type="dxa"/>
            <w:gridSpan w:val="4"/>
            <w:tcBorders>
              <w:top w:val="nil"/>
              <w:left w:val="nil"/>
              <w:bottom w:val="nil"/>
              <w:right w:val="nil"/>
            </w:tcBorders>
          </w:tcPr>
          <w:p w14:paraId="665D5938" w14:textId="77777777" w:rsidR="00FD155C" w:rsidRPr="00C328EF" w:rsidRDefault="00FD155C" w:rsidP="00B96F0C">
            <w:pPr>
              <w:suppressAutoHyphens/>
              <w:ind w:right="78"/>
              <w:jc w:val="right"/>
              <w:rPr>
                <w:rFonts w:cs="Arial"/>
                <w:spacing w:val="-2"/>
                <w:highlight w:val="yellow"/>
              </w:rPr>
            </w:pPr>
          </w:p>
        </w:tc>
        <w:tc>
          <w:tcPr>
            <w:tcW w:w="1701" w:type="dxa"/>
            <w:tcBorders>
              <w:top w:val="nil"/>
              <w:left w:val="nil"/>
              <w:bottom w:val="nil"/>
              <w:right w:val="nil"/>
            </w:tcBorders>
          </w:tcPr>
          <w:p w14:paraId="2634B49A" w14:textId="77777777" w:rsidR="00FD155C" w:rsidRPr="00CC0D8F" w:rsidRDefault="00DB462A" w:rsidP="00B96F0C">
            <w:pPr>
              <w:suppressAutoHyphens/>
              <w:ind w:right="78"/>
              <w:jc w:val="right"/>
              <w:rPr>
                <w:rFonts w:cs="Arial"/>
                <w:spacing w:val="-2"/>
              </w:rPr>
            </w:pPr>
            <w:r w:rsidRPr="00CC0D8F">
              <w:rPr>
                <w:rFonts w:cs="Arial"/>
                <w:spacing w:val="-2"/>
              </w:rPr>
              <w:t>236</w:t>
            </w:r>
          </w:p>
        </w:tc>
        <w:tc>
          <w:tcPr>
            <w:tcW w:w="1701" w:type="dxa"/>
            <w:tcBorders>
              <w:top w:val="nil"/>
              <w:left w:val="nil"/>
              <w:bottom w:val="nil"/>
              <w:right w:val="nil"/>
            </w:tcBorders>
          </w:tcPr>
          <w:p w14:paraId="4F014A11" w14:textId="77777777" w:rsidR="00FD155C" w:rsidRPr="00CC0D8F" w:rsidRDefault="00C510C9" w:rsidP="006309EE">
            <w:pPr>
              <w:suppressAutoHyphens/>
              <w:ind w:right="78"/>
              <w:jc w:val="right"/>
              <w:rPr>
                <w:rFonts w:cs="Arial"/>
                <w:spacing w:val="-2"/>
              </w:rPr>
            </w:pPr>
            <w:r w:rsidRPr="00CC0D8F">
              <w:rPr>
                <w:rFonts w:cs="Arial"/>
                <w:spacing w:val="-2"/>
              </w:rPr>
              <w:t>-</w:t>
            </w:r>
          </w:p>
        </w:tc>
        <w:tc>
          <w:tcPr>
            <w:tcW w:w="1559" w:type="dxa"/>
            <w:tcBorders>
              <w:top w:val="nil"/>
              <w:left w:val="nil"/>
              <w:bottom w:val="nil"/>
              <w:right w:val="nil"/>
            </w:tcBorders>
          </w:tcPr>
          <w:p w14:paraId="7F834B02" w14:textId="77777777" w:rsidR="00FD155C" w:rsidRPr="00CC0D8F" w:rsidRDefault="00DB462A" w:rsidP="00B96F0C">
            <w:pPr>
              <w:suppressAutoHyphens/>
              <w:ind w:right="78"/>
              <w:jc w:val="right"/>
              <w:rPr>
                <w:rFonts w:cs="Arial"/>
                <w:spacing w:val="-2"/>
              </w:rPr>
            </w:pPr>
            <w:r w:rsidRPr="00CC0D8F">
              <w:rPr>
                <w:rFonts w:cs="Arial"/>
                <w:spacing w:val="-2"/>
              </w:rPr>
              <w:t>236</w:t>
            </w:r>
          </w:p>
        </w:tc>
      </w:tr>
      <w:tr w:rsidR="00FD155C" w:rsidRPr="00C328EF" w14:paraId="275B87A0" w14:textId="77777777" w:rsidTr="00B711D0">
        <w:trPr>
          <w:cantSplit/>
          <w:trHeight w:val="179"/>
        </w:trPr>
        <w:tc>
          <w:tcPr>
            <w:tcW w:w="3423" w:type="dxa"/>
            <w:tcBorders>
              <w:top w:val="nil"/>
              <w:left w:val="nil"/>
              <w:bottom w:val="nil"/>
              <w:right w:val="nil"/>
            </w:tcBorders>
          </w:tcPr>
          <w:p w14:paraId="6A0F97CA" w14:textId="77777777" w:rsidR="00FD155C" w:rsidRPr="00C328EF" w:rsidRDefault="00FD155C" w:rsidP="00DF6653">
            <w:pPr>
              <w:rPr>
                <w:rFonts w:cs="Arial"/>
                <w:highlight w:val="yellow"/>
                <w:lang w:val="en-AU" w:eastAsia="en-GB"/>
              </w:rPr>
            </w:pPr>
          </w:p>
        </w:tc>
        <w:tc>
          <w:tcPr>
            <w:tcW w:w="1418" w:type="dxa"/>
            <w:gridSpan w:val="4"/>
            <w:tcBorders>
              <w:top w:val="nil"/>
              <w:left w:val="nil"/>
              <w:bottom w:val="nil"/>
              <w:right w:val="nil"/>
            </w:tcBorders>
          </w:tcPr>
          <w:p w14:paraId="733F0B9A" w14:textId="77777777" w:rsidR="00FD155C" w:rsidRPr="00C328EF" w:rsidRDefault="00FD155C" w:rsidP="00160F71">
            <w:pPr>
              <w:ind w:right="49"/>
              <w:jc w:val="right"/>
              <w:rPr>
                <w:rFonts w:cs="Arial"/>
                <w:highlight w:val="yellow"/>
                <w:lang w:val="en-AU" w:eastAsia="en-GB"/>
              </w:rPr>
            </w:pPr>
          </w:p>
        </w:tc>
        <w:tc>
          <w:tcPr>
            <w:tcW w:w="1701" w:type="dxa"/>
            <w:tcBorders>
              <w:top w:val="nil"/>
              <w:left w:val="nil"/>
              <w:bottom w:val="nil"/>
              <w:right w:val="nil"/>
            </w:tcBorders>
          </w:tcPr>
          <w:p w14:paraId="54AD1060" w14:textId="77777777" w:rsidR="00FD155C" w:rsidRPr="00CC0D8F" w:rsidRDefault="00FD155C" w:rsidP="00160F71">
            <w:pPr>
              <w:ind w:right="49"/>
              <w:jc w:val="right"/>
              <w:rPr>
                <w:rFonts w:cs="Arial"/>
                <w:lang w:val="en-AU" w:eastAsia="en-GB"/>
              </w:rPr>
            </w:pPr>
            <w:r w:rsidRPr="00CC0D8F">
              <w:rPr>
                <w:rFonts w:cs="Arial"/>
                <w:lang w:val="en-AU" w:eastAsia="en-GB"/>
              </w:rPr>
              <w:t>════════</w:t>
            </w:r>
          </w:p>
        </w:tc>
        <w:tc>
          <w:tcPr>
            <w:tcW w:w="1701" w:type="dxa"/>
            <w:tcBorders>
              <w:top w:val="nil"/>
              <w:left w:val="nil"/>
              <w:bottom w:val="nil"/>
              <w:right w:val="nil"/>
            </w:tcBorders>
          </w:tcPr>
          <w:p w14:paraId="0E5A0F6A" w14:textId="77777777" w:rsidR="00FD155C" w:rsidRPr="00CC0D8F" w:rsidRDefault="00FD155C" w:rsidP="00160F71">
            <w:pPr>
              <w:ind w:right="49"/>
              <w:jc w:val="right"/>
              <w:rPr>
                <w:rFonts w:cs="Arial"/>
                <w:lang w:val="en-AU" w:eastAsia="en-GB"/>
              </w:rPr>
            </w:pPr>
            <w:r w:rsidRPr="00CC0D8F">
              <w:rPr>
                <w:rFonts w:cs="Arial"/>
                <w:lang w:val="en-AU" w:eastAsia="en-GB"/>
              </w:rPr>
              <w:t>════════</w:t>
            </w:r>
          </w:p>
        </w:tc>
        <w:tc>
          <w:tcPr>
            <w:tcW w:w="1559" w:type="dxa"/>
            <w:tcBorders>
              <w:top w:val="nil"/>
              <w:left w:val="nil"/>
              <w:bottom w:val="nil"/>
              <w:right w:val="nil"/>
            </w:tcBorders>
          </w:tcPr>
          <w:p w14:paraId="300E157F" w14:textId="77777777" w:rsidR="00FD155C" w:rsidRPr="00CC0D8F" w:rsidRDefault="00FD155C" w:rsidP="00160F71">
            <w:pPr>
              <w:ind w:right="49"/>
              <w:jc w:val="right"/>
              <w:rPr>
                <w:rFonts w:cs="Arial"/>
                <w:lang w:val="en-AU" w:eastAsia="en-GB"/>
              </w:rPr>
            </w:pPr>
            <w:r w:rsidRPr="00CC0D8F">
              <w:rPr>
                <w:rFonts w:cs="Arial"/>
                <w:lang w:val="en-AU" w:eastAsia="en-GB"/>
              </w:rPr>
              <w:t>════════</w:t>
            </w:r>
          </w:p>
        </w:tc>
      </w:tr>
      <w:tr w:rsidR="00FD155C" w:rsidRPr="001265E9" w14:paraId="7462CC83" w14:textId="77777777" w:rsidTr="00B711D0">
        <w:trPr>
          <w:trHeight w:val="255"/>
        </w:trPr>
        <w:tc>
          <w:tcPr>
            <w:tcW w:w="3423" w:type="dxa"/>
            <w:tcBorders>
              <w:top w:val="nil"/>
              <w:left w:val="nil"/>
              <w:bottom w:val="nil"/>
              <w:right w:val="nil"/>
            </w:tcBorders>
          </w:tcPr>
          <w:p w14:paraId="7D6EBA78" w14:textId="77777777" w:rsidR="00FD155C" w:rsidRPr="001265E9" w:rsidRDefault="00FD155C" w:rsidP="00C510C9">
            <w:pPr>
              <w:rPr>
                <w:rFonts w:cs="Arial"/>
                <w:b/>
                <w:bCs/>
                <w:lang w:eastAsia="en-GB"/>
              </w:rPr>
            </w:pPr>
          </w:p>
        </w:tc>
        <w:tc>
          <w:tcPr>
            <w:tcW w:w="1418" w:type="dxa"/>
            <w:gridSpan w:val="4"/>
            <w:tcBorders>
              <w:top w:val="nil"/>
              <w:left w:val="nil"/>
              <w:bottom w:val="nil"/>
              <w:right w:val="nil"/>
            </w:tcBorders>
          </w:tcPr>
          <w:p w14:paraId="1BF49A63" w14:textId="77777777" w:rsidR="00FD155C" w:rsidRPr="001265E9" w:rsidRDefault="00FD155C" w:rsidP="00C510C9">
            <w:pPr>
              <w:tabs>
                <w:tab w:val="left" w:pos="1500"/>
                <w:tab w:val="left" w:pos="1534"/>
              </w:tabs>
              <w:rPr>
                <w:rFonts w:cs="Arial"/>
                <w:b/>
                <w:lang w:val="en-AU" w:eastAsia="en-GB"/>
              </w:rPr>
            </w:pPr>
          </w:p>
        </w:tc>
        <w:tc>
          <w:tcPr>
            <w:tcW w:w="1701" w:type="dxa"/>
            <w:tcBorders>
              <w:top w:val="nil"/>
              <w:left w:val="nil"/>
              <w:bottom w:val="nil"/>
              <w:right w:val="nil"/>
            </w:tcBorders>
          </w:tcPr>
          <w:p w14:paraId="11D38722" w14:textId="77777777" w:rsidR="00FD155C" w:rsidRPr="001265E9" w:rsidRDefault="00FD155C" w:rsidP="00C510C9">
            <w:pPr>
              <w:tabs>
                <w:tab w:val="left" w:pos="1500"/>
                <w:tab w:val="left" w:pos="1534"/>
              </w:tabs>
              <w:rPr>
                <w:rFonts w:cs="Arial"/>
                <w:b/>
                <w:lang w:val="en-AU" w:eastAsia="en-GB"/>
              </w:rPr>
            </w:pPr>
          </w:p>
        </w:tc>
        <w:tc>
          <w:tcPr>
            <w:tcW w:w="1701" w:type="dxa"/>
            <w:tcBorders>
              <w:top w:val="nil"/>
              <w:left w:val="nil"/>
              <w:bottom w:val="nil"/>
              <w:right w:val="nil"/>
            </w:tcBorders>
          </w:tcPr>
          <w:p w14:paraId="7AF3DB8B" w14:textId="77777777" w:rsidR="00FD155C" w:rsidRPr="001265E9" w:rsidRDefault="00FD155C" w:rsidP="00C510C9">
            <w:pPr>
              <w:tabs>
                <w:tab w:val="left" w:pos="1418"/>
              </w:tabs>
              <w:ind w:right="284"/>
              <w:jc w:val="right"/>
              <w:rPr>
                <w:rFonts w:cs="Arial"/>
                <w:b/>
                <w:lang w:val="en-AU" w:eastAsia="en-GB"/>
              </w:rPr>
            </w:pPr>
          </w:p>
        </w:tc>
        <w:tc>
          <w:tcPr>
            <w:tcW w:w="1559" w:type="dxa"/>
            <w:tcBorders>
              <w:top w:val="nil"/>
              <w:left w:val="nil"/>
              <w:bottom w:val="nil"/>
              <w:right w:val="nil"/>
            </w:tcBorders>
          </w:tcPr>
          <w:p w14:paraId="783A6C89" w14:textId="77777777" w:rsidR="00FD155C" w:rsidRPr="001265E9" w:rsidRDefault="00FD155C" w:rsidP="00C510C9">
            <w:pPr>
              <w:tabs>
                <w:tab w:val="left" w:pos="992"/>
                <w:tab w:val="left" w:pos="1134"/>
              </w:tabs>
              <w:ind w:right="284"/>
              <w:jc w:val="center"/>
              <w:rPr>
                <w:rFonts w:cs="Arial"/>
                <w:b/>
                <w:lang w:val="en-AU" w:eastAsia="en-GB"/>
              </w:rPr>
            </w:pPr>
          </w:p>
        </w:tc>
      </w:tr>
      <w:tr w:rsidR="00FD155C" w:rsidRPr="001265E9" w14:paraId="23542773" w14:textId="77777777" w:rsidTr="00B711D0">
        <w:trPr>
          <w:trHeight w:val="255"/>
        </w:trPr>
        <w:tc>
          <w:tcPr>
            <w:tcW w:w="3423" w:type="dxa"/>
            <w:tcBorders>
              <w:top w:val="nil"/>
              <w:left w:val="nil"/>
              <w:bottom w:val="nil"/>
              <w:right w:val="nil"/>
            </w:tcBorders>
          </w:tcPr>
          <w:p w14:paraId="0D4CAA77" w14:textId="77777777" w:rsidR="00FD155C" w:rsidRPr="001265E9" w:rsidRDefault="00FD155C" w:rsidP="00C510C9">
            <w:pPr>
              <w:rPr>
                <w:rFonts w:cs="Arial"/>
                <w:b/>
                <w:bCs/>
                <w:lang w:eastAsia="en-GB"/>
              </w:rPr>
            </w:pPr>
          </w:p>
        </w:tc>
        <w:tc>
          <w:tcPr>
            <w:tcW w:w="1418" w:type="dxa"/>
            <w:gridSpan w:val="4"/>
            <w:tcBorders>
              <w:top w:val="nil"/>
              <w:left w:val="nil"/>
              <w:bottom w:val="nil"/>
              <w:right w:val="nil"/>
            </w:tcBorders>
          </w:tcPr>
          <w:p w14:paraId="513447DC" w14:textId="77777777" w:rsidR="00FD155C" w:rsidRPr="001265E9" w:rsidRDefault="00FD155C" w:rsidP="00C510C9">
            <w:pPr>
              <w:tabs>
                <w:tab w:val="left" w:pos="1500"/>
                <w:tab w:val="left" w:pos="1534"/>
              </w:tabs>
              <w:rPr>
                <w:rFonts w:cs="Arial"/>
                <w:b/>
                <w:lang w:val="en-AU" w:eastAsia="en-GB"/>
              </w:rPr>
            </w:pPr>
          </w:p>
        </w:tc>
        <w:tc>
          <w:tcPr>
            <w:tcW w:w="1701" w:type="dxa"/>
            <w:tcBorders>
              <w:top w:val="nil"/>
              <w:left w:val="nil"/>
              <w:bottom w:val="nil"/>
              <w:right w:val="nil"/>
            </w:tcBorders>
          </w:tcPr>
          <w:p w14:paraId="5DB59857" w14:textId="77777777" w:rsidR="00FD155C" w:rsidRPr="001265E9" w:rsidRDefault="00FD155C" w:rsidP="00C510C9">
            <w:pPr>
              <w:tabs>
                <w:tab w:val="left" w:pos="1500"/>
                <w:tab w:val="left" w:pos="1534"/>
              </w:tabs>
              <w:rPr>
                <w:rFonts w:cs="Arial"/>
                <w:b/>
                <w:lang w:val="en-AU" w:eastAsia="en-GB"/>
              </w:rPr>
            </w:pPr>
          </w:p>
        </w:tc>
        <w:tc>
          <w:tcPr>
            <w:tcW w:w="1701" w:type="dxa"/>
            <w:tcBorders>
              <w:top w:val="nil"/>
              <w:left w:val="nil"/>
              <w:bottom w:val="nil"/>
              <w:right w:val="nil"/>
            </w:tcBorders>
          </w:tcPr>
          <w:p w14:paraId="1AA21E25" w14:textId="77777777" w:rsidR="00FD155C" w:rsidRPr="001265E9" w:rsidRDefault="00FD155C" w:rsidP="00C510C9">
            <w:pPr>
              <w:tabs>
                <w:tab w:val="left" w:pos="1418"/>
              </w:tabs>
              <w:ind w:right="284"/>
              <w:jc w:val="right"/>
              <w:rPr>
                <w:rFonts w:cs="Arial"/>
                <w:b/>
                <w:lang w:val="en-AU" w:eastAsia="en-GB"/>
              </w:rPr>
            </w:pPr>
          </w:p>
        </w:tc>
        <w:tc>
          <w:tcPr>
            <w:tcW w:w="1559" w:type="dxa"/>
            <w:tcBorders>
              <w:top w:val="nil"/>
              <w:left w:val="nil"/>
              <w:bottom w:val="nil"/>
              <w:right w:val="nil"/>
            </w:tcBorders>
          </w:tcPr>
          <w:p w14:paraId="586B316E" w14:textId="77777777" w:rsidR="00FD155C" w:rsidRPr="001265E9" w:rsidRDefault="00FD155C" w:rsidP="00C510C9">
            <w:pPr>
              <w:tabs>
                <w:tab w:val="left" w:pos="992"/>
                <w:tab w:val="left" w:pos="1134"/>
              </w:tabs>
              <w:ind w:right="284"/>
              <w:jc w:val="center"/>
              <w:rPr>
                <w:rFonts w:cs="Arial"/>
                <w:b/>
                <w:lang w:val="en-AU" w:eastAsia="en-GB"/>
              </w:rPr>
            </w:pPr>
          </w:p>
        </w:tc>
      </w:tr>
      <w:tr w:rsidR="007E6EA3" w:rsidRPr="00C328EF" w14:paraId="3E24D80B" w14:textId="77777777" w:rsidTr="00B711D0">
        <w:trPr>
          <w:trHeight w:val="255"/>
        </w:trPr>
        <w:tc>
          <w:tcPr>
            <w:tcW w:w="3423" w:type="dxa"/>
            <w:tcBorders>
              <w:top w:val="nil"/>
              <w:left w:val="nil"/>
              <w:bottom w:val="nil"/>
              <w:right w:val="nil"/>
            </w:tcBorders>
          </w:tcPr>
          <w:p w14:paraId="6E7A1C20" w14:textId="77777777" w:rsidR="007E6EA3" w:rsidRPr="001265E9" w:rsidRDefault="007E6EA3" w:rsidP="007E6EA3">
            <w:pPr>
              <w:rPr>
                <w:rFonts w:cs="Arial"/>
                <w:b/>
                <w:bCs/>
                <w:lang w:eastAsia="en-GB"/>
              </w:rPr>
            </w:pPr>
            <w:r w:rsidRPr="001265E9">
              <w:rPr>
                <w:rFonts w:cs="Arial"/>
                <w:b/>
                <w:bCs/>
                <w:lang w:eastAsia="en-GB"/>
              </w:rPr>
              <w:t>Company</w:t>
            </w:r>
          </w:p>
        </w:tc>
        <w:tc>
          <w:tcPr>
            <w:tcW w:w="1418" w:type="dxa"/>
            <w:gridSpan w:val="4"/>
            <w:tcBorders>
              <w:top w:val="nil"/>
              <w:left w:val="nil"/>
              <w:bottom w:val="nil"/>
              <w:right w:val="nil"/>
            </w:tcBorders>
          </w:tcPr>
          <w:p w14:paraId="5D95DE0D" w14:textId="77777777" w:rsidR="007E6EA3" w:rsidRPr="001265E9" w:rsidRDefault="007E6EA3" w:rsidP="007E6EA3">
            <w:pPr>
              <w:tabs>
                <w:tab w:val="left" w:pos="1500"/>
                <w:tab w:val="left" w:pos="1534"/>
              </w:tabs>
              <w:rPr>
                <w:rFonts w:cs="Arial"/>
                <w:b/>
                <w:lang w:val="en-AU" w:eastAsia="en-GB"/>
              </w:rPr>
            </w:pPr>
            <w:r w:rsidRPr="001265E9">
              <w:rPr>
                <w:rFonts w:cs="Arial"/>
                <w:b/>
                <w:bCs/>
                <w:lang w:eastAsia="en-GB"/>
              </w:rPr>
              <w:t xml:space="preserve">    Note</w:t>
            </w:r>
          </w:p>
        </w:tc>
        <w:tc>
          <w:tcPr>
            <w:tcW w:w="1701" w:type="dxa"/>
            <w:tcBorders>
              <w:top w:val="nil"/>
              <w:left w:val="nil"/>
              <w:bottom w:val="nil"/>
              <w:right w:val="nil"/>
            </w:tcBorders>
          </w:tcPr>
          <w:p w14:paraId="59747E40" w14:textId="77777777" w:rsidR="007E6EA3" w:rsidRPr="001265E9" w:rsidRDefault="007E6EA3" w:rsidP="007E6EA3">
            <w:pPr>
              <w:tabs>
                <w:tab w:val="left" w:pos="1500"/>
                <w:tab w:val="left" w:pos="1534"/>
              </w:tabs>
              <w:rPr>
                <w:rFonts w:cs="Arial"/>
                <w:b/>
                <w:lang w:val="en-AU" w:eastAsia="en-GB"/>
              </w:rPr>
            </w:pPr>
            <w:r w:rsidRPr="001265E9">
              <w:rPr>
                <w:rFonts w:cs="Arial"/>
                <w:b/>
                <w:lang w:val="en-AU" w:eastAsia="en-GB"/>
              </w:rPr>
              <w:t>Within 1 Year</w:t>
            </w:r>
          </w:p>
        </w:tc>
        <w:tc>
          <w:tcPr>
            <w:tcW w:w="1701" w:type="dxa"/>
            <w:tcBorders>
              <w:top w:val="nil"/>
              <w:left w:val="nil"/>
              <w:bottom w:val="nil"/>
              <w:right w:val="nil"/>
            </w:tcBorders>
          </w:tcPr>
          <w:p w14:paraId="651C3BCF" w14:textId="77777777" w:rsidR="007E6EA3" w:rsidRPr="001265E9" w:rsidRDefault="007E6EA3" w:rsidP="007E6EA3">
            <w:pPr>
              <w:tabs>
                <w:tab w:val="left" w:pos="1418"/>
              </w:tabs>
              <w:ind w:right="284"/>
              <w:jc w:val="right"/>
              <w:rPr>
                <w:rFonts w:cs="Arial"/>
                <w:b/>
                <w:lang w:val="en-AU" w:eastAsia="en-GB"/>
              </w:rPr>
            </w:pPr>
            <w:r w:rsidRPr="001265E9">
              <w:rPr>
                <w:rFonts w:cs="Arial"/>
                <w:b/>
                <w:lang w:val="en-AU" w:eastAsia="en-GB"/>
              </w:rPr>
              <w:t>1 to 5 Years</w:t>
            </w:r>
          </w:p>
        </w:tc>
        <w:tc>
          <w:tcPr>
            <w:tcW w:w="1559" w:type="dxa"/>
            <w:tcBorders>
              <w:top w:val="nil"/>
              <w:left w:val="nil"/>
              <w:bottom w:val="nil"/>
              <w:right w:val="nil"/>
            </w:tcBorders>
          </w:tcPr>
          <w:p w14:paraId="072F56E2" w14:textId="77777777" w:rsidR="007E6EA3" w:rsidRPr="001265E9" w:rsidRDefault="007E6EA3" w:rsidP="007E6EA3">
            <w:pPr>
              <w:tabs>
                <w:tab w:val="left" w:pos="992"/>
                <w:tab w:val="left" w:pos="1134"/>
              </w:tabs>
              <w:ind w:right="227"/>
              <w:jc w:val="center"/>
              <w:rPr>
                <w:rFonts w:cs="Arial"/>
                <w:b/>
                <w:lang w:val="en-AU" w:eastAsia="en-GB"/>
              </w:rPr>
            </w:pPr>
            <w:r w:rsidRPr="001265E9">
              <w:rPr>
                <w:rFonts w:cs="Arial"/>
                <w:b/>
                <w:lang w:val="en-AU" w:eastAsia="en-GB"/>
              </w:rPr>
              <w:t xml:space="preserve">   Total</w:t>
            </w:r>
          </w:p>
        </w:tc>
      </w:tr>
      <w:tr w:rsidR="001265E9" w:rsidRPr="00C328EF" w14:paraId="42205F27" w14:textId="77777777" w:rsidTr="00B711D0">
        <w:trPr>
          <w:trHeight w:val="255"/>
        </w:trPr>
        <w:tc>
          <w:tcPr>
            <w:tcW w:w="3423" w:type="dxa"/>
            <w:tcBorders>
              <w:top w:val="nil"/>
              <w:left w:val="nil"/>
              <w:bottom w:val="nil"/>
              <w:right w:val="nil"/>
            </w:tcBorders>
          </w:tcPr>
          <w:p w14:paraId="268103D3" w14:textId="77777777" w:rsidR="001265E9" w:rsidRPr="001265E9" w:rsidRDefault="001265E9" w:rsidP="001265E9">
            <w:pPr>
              <w:rPr>
                <w:rFonts w:cs="Arial"/>
                <w:lang w:eastAsia="en-GB"/>
              </w:rPr>
            </w:pPr>
          </w:p>
        </w:tc>
        <w:tc>
          <w:tcPr>
            <w:tcW w:w="1418" w:type="dxa"/>
            <w:gridSpan w:val="4"/>
            <w:tcBorders>
              <w:top w:val="nil"/>
              <w:left w:val="nil"/>
              <w:bottom w:val="nil"/>
              <w:right w:val="nil"/>
            </w:tcBorders>
          </w:tcPr>
          <w:p w14:paraId="3E7C89B9" w14:textId="77777777" w:rsidR="001265E9" w:rsidRPr="001265E9" w:rsidRDefault="001265E9" w:rsidP="001265E9">
            <w:pPr>
              <w:jc w:val="center"/>
              <w:rPr>
                <w:rFonts w:cs="Arial"/>
                <w:b/>
                <w:lang w:val="en-AU" w:eastAsia="en-GB"/>
              </w:rPr>
            </w:pPr>
          </w:p>
        </w:tc>
        <w:tc>
          <w:tcPr>
            <w:tcW w:w="1701" w:type="dxa"/>
            <w:tcBorders>
              <w:top w:val="nil"/>
              <w:left w:val="nil"/>
              <w:bottom w:val="nil"/>
              <w:right w:val="nil"/>
            </w:tcBorders>
          </w:tcPr>
          <w:p w14:paraId="4ABC5067" w14:textId="77777777" w:rsidR="001265E9" w:rsidRPr="001265E9" w:rsidRDefault="001265E9" w:rsidP="001265E9">
            <w:pPr>
              <w:jc w:val="center"/>
              <w:rPr>
                <w:rFonts w:cs="Arial"/>
                <w:b/>
                <w:lang w:val="en-AU" w:eastAsia="en-GB"/>
              </w:rPr>
            </w:pPr>
            <w:r w:rsidRPr="001265E9">
              <w:rPr>
                <w:rFonts w:cs="Arial"/>
                <w:b/>
                <w:lang w:val="en-AU" w:eastAsia="en-GB"/>
              </w:rPr>
              <w:t>2023</w:t>
            </w:r>
          </w:p>
        </w:tc>
        <w:tc>
          <w:tcPr>
            <w:tcW w:w="1701" w:type="dxa"/>
            <w:tcBorders>
              <w:top w:val="nil"/>
              <w:left w:val="nil"/>
              <w:bottom w:val="nil"/>
              <w:right w:val="nil"/>
            </w:tcBorders>
          </w:tcPr>
          <w:p w14:paraId="35656339" w14:textId="77777777" w:rsidR="001265E9" w:rsidRPr="001265E9" w:rsidRDefault="001265E9" w:rsidP="001265E9">
            <w:pPr>
              <w:tabs>
                <w:tab w:val="left" w:pos="1418"/>
              </w:tabs>
              <w:jc w:val="center"/>
              <w:rPr>
                <w:rFonts w:cs="Arial"/>
                <w:b/>
                <w:lang w:val="en-AU" w:eastAsia="en-GB"/>
              </w:rPr>
            </w:pPr>
            <w:r w:rsidRPr="001265E9">
              <w:rPr>
                <w:rFonts w:cs="Arial"/>
                <w:b/>
                <w:lang w:val="en-AU" w:eastAsia="en-GB"/>
              </w:rPr>
              <w:t>2023</w:t>
            </w:r>
          </w:p>
        </w:tc>
        <w:tc>
          <w:tcPr>
            <w:tcW w:w="1559" w:type="dxa"/>
            <w:tcBorders>
              <w:top w:val="nil"/>
              <w:left w:val="nil"/>
              <w:bottom w:val="nil"/>
              <w:right w:val="nil"/>
            </w:tcBorders>
          </w:tcPr>
          <w:p w14:paraId="0D9C5974" w14:textId="77777777" w:rsidR="001265E9" w:rsidRPr="001265E9" w:rsidRDefault="001265E9" w:rsidP="001265E9">
            <w:pPr>
              <w:tabs>
                <w:tab w:val="left" w:pos="1418"/>
              </w:tabs>
              <w:jc w:val="center"/>
              <w:rPr>
                <w:rFonts w:cs="Arial"/>
                <w:b/>
                <w:lang w:val="en-AU" w:eastAsia="en-GB"/>
              </w:rPr>
            </w:pPr>
            <w:r w:rsidRPr="001265E9">
              <w:rPr>
                <w:rFonts w:cs="Arial"/>
                <w:b/>
                <w:lang w:val="en-AU" w:eastAsia="en-GB"/>
              </w:rPr>
              <w:t>2023</w:t>
            </w:r>
          </w:p>
        </w:tc>
      </w:tr>
      <w:tr w:rsidR="001265E9" w:rsidRPr="00C328EF" w14:paraId="344CFA0B" w14:textId="77777777" w:rsidTr="00B711D0">
        <w:trPr>
          <w:trHeight w:val="255"/>
        </w:trPr>
        <w:tc>
          <w:tcPr>
            <w:tcW w:w="3423" w:type="dxa"/>
            <w:tcBorders>
              <w:top w:val="nil"/>
              <w:left w:val="nil"/>
              <w:bottom w:val="nil"/>
              <w:right w:val="nil"/>
            </w:tcBorders>
          </w:tcPr>
          <w:p w14:paraId="6EEF34DB" w14:textId="77777777" w:rsidR="001265E9" w:rsidRPr="001265E9" w:rsidRDefault="001265E9" w:rsidP="001265E9">
            <w:pPr>
              <w:rPr>
                <w:rFonts w:cs="Arial"/>
                <w:lang w:eastAsia="en-GB"/>
              </w:rPr>
            </w:pPr>
          </w:p>
        </w:tc>
        <w:tc>
          <w:tcPr>
            <w:tcW w:w="1418" w:type="dxa"/>
            <w:gridSpan w:val="4"/>
            <w:tcBorders>
              <w:top w:val="nil"/>
              <w:left w:val="nil"/>
              <w:bottom w:val="nil"/>
              <w:right w:val="nil"/>
            </w:tcBorders>
          </w:tcPr>
          <w:p w14:paraId="69CB9FA8" w14:textId="77777777" w:rsidR="001265E9" w:rsidRPr="001265E9" w:rsidRDefault="001265E9" w:rsidP="001265E9">
            <w:pPr>
              <w:jc w:val="center"/>
              <w:rPr>
                <w:rFonts w:cs="Arial"/>
                <w:b/>
                <w:lang w:val="en-AU" w:eastAsia="en-GB"/>
              </w:rPr>
            </w:pPr>
          </w:p>
        </w:tc>
        <w:tc>
          <w:tcPr>
            <w:tcW w:w="1701" w:type="dxa"/>
            <w:tcBorders>
              <w:top w:val="nil"/>
              <w:left w:val="nil"/>
              <w:bottom w:val="nil"/>
              <w:right w:val="nil"/>
            </w:tcBorders>
          </w:tcPr>
          <w:p w14:paraId="43B8D1AA" w14:textId="77777777" w:rsidR="001265E9" w:rsidRPr="001265E9" w:rsidRDefault="001265E9" w:rsidP="001265E9">
            <w:pPr>
              <w:jc w:val="center"/>
              <w:rPr>
                <w:rFonts w:cs="Arial"/>
                <w:b/>
                <w:lang w:val="en-AU" w:eastAsia="en-GB"/>
              </w:rPr>
            </w:pPr>
            <w:r w:rsidRPr="001265E9">
              <w:rPr>
                <w:rFonts w:cs="Arial"/>
                <w:b/>
                <w:lang w:val="en-AU" w:eastAsia="en-GB"/>
              </w:rPr>
              <w:t>£’000</w:t>
            </w:r>
          </w:p>
        </w:tc>
        <w:tc>
          <w:tcPr>
            <w:tcW w:w="1701" w:type="dxa"/>
            <w:tcBorders>
              <w:top w:val="nil"/>
              <w:left w:val="nil"/>
              <w:bottom w:val="nil"/>
              <w:right w:val="nil"/>
            </w:tcBorders>
          </w:tcPr>
          <w:p w14:paraId="2450343C" w14:textId="77777777" w:rsidR="001265E9" w:rsidRPr="001265E9" w:rsidRDefault="001265E9" w:rsidP="001265E9">
            <w:pPr>
              <w:tabs>
                <w:tab w:val="left" w:pos="1418"/>
              </w:tabs>
              <w:jc w:val="center"/>
              <w:rPr>
                <w:rFonts w:cs="Arial"/>
                <w:b/>
                <w:lang w:val="en-AU" w:eastAsia="en-GB"/>
              </w:rPr>
            </w:pPr>
            <w:r w:rsidRPr="001265E9">
              <w:rPr>
                <w:rFonts w:cs="Arial"/>
                <w:b/>
                <w:lang w:val="en-AU" w:eastAsia="en-GB"/>
              </w:rPr>
              <w:t>£’000</w:t>
            </w:r>
          </w:p>
        </w:tc>
        <w:tc>
          <w:tcPr>
            <w:tcW w:w="1559" w:type="dxa"/>
            <w:tcBorders>
              <w:top w:val="nil"/>
              <w:left w:val="nil"/>
              <w:bottom w:val="nil"/>
              <w:right w:val="nil"/>
            </w:tcBorders>
          </w:tcPr>
          <w:p w14:paraId="33F0B498" w14:textId="77777777" w:rsidR="001265E9" w:rsidRPr="001265E9" w:rsidRDefault="001265E9" w:rsidP="001265E9">
            <w:pPr>
              <w:tabs>
                <w:tab w:val="left" w:pos="1418"/>
              </w:tabs>
              <w:jc w:val="center"/>
              <w:rPr>
                <w:rFonts w:cs="Arial"/>
                <w:b/>
                <w:lang w:val="en-AU" w:eastAsia="en-GB"/>
              </w:rPr>
            </w:pPr>
            <w:r w:rsidRPr="001265E9">
              <w:rPr>
                <w:rFonts w:cs="Arial"/>
                <w:b/>
                <w:lang w:val="en-AU" w:eastAsia="en-GB"/>
              </w:rPr>
              <w:t>£’000</w:t>
            </w:r>
          </w:p>
        </w:tc>
      </w:tr>
      <w:tr w:rsidR="001265E9" w:rsidRPr="001265E9" w14:paraId="46C7AA51" w14:textId="77777777" w:rsidTr="00B711D0">
        <w:trPr>
          <w:cantSplit/>
          <w:trHeight w:val="255"/>
        </w:trPr>
        <w:tc>
          <w:tcPr>
            <w:tcW w:w="3707" w:type="dxa"/>
            <w:gridSpan w:val="2"/>
            <w:tcBorders>
              <w:top w:val="nil"/>
              <w:left w:val="nil"/>
              <w:bottom w:val="nil"/>
              <w:right w:val="nil"/>
            </w:tcBorders>
          </w:tcPr>
          <w:p w14:paraId="08215523" w14:textId="77777777" w:rsidR="001265E9" w:rsidRPr="001265E9" w:rsidRDefault="001265E9" w:rsidP="001265E9">
            <w:pPr>
              <w:ind w:left="-13" w:firstLine="13"/>
              <w:rPr>
                <w:rFonts w:cs="Arial"/>
                <w:b/>
                <w:bCs/>
                <w:lang w:eastAsia="en-GB"/>
              </w:rPr>
            </w:pPr>
            <w:r w:rsidRPr="001265E9">
              <w:rPr>
                <w:rFonts w:cs="Arial"/>
                <w:b/>
                <w:bCs/>
                <w:lang w:val="en-AU" w:eastAsia="en-GB"/>
              </w:rPr>
              <w:t>Financial liabilities due for payment</w:t>
            </w:r>
          </w:p>
        </w:tc>
        <w:tc>
          <w:tcPr>
            <w:tcW w:w="1134" w:type="dxa"/>
            <w:gridSpan w:val="3"/>
            <w:tcBorders>
              <w:top w:val="nil"/>
              <w:left w:val="nil"/>
              <w:bottom w:val="nil"/>
              <w:right w:val="nil"/>
            </w:tcBorders>
          </w:tcPr>
          <w:p w14:paraId="01CBCABA" w14:textId="77777777" w:rsidR="001265E9" w:rsidRPr="001265E9" w:rsidRDefault="001265E9" w:rsidP="001265E9">
            <w:pPr>
              <w:jc w:val="right"/>
              <w:rPr>
                <w:rFonts w:cs="Arial"/>
                <w:lang w:eastAsia="en-GB"/>
              </w:rPr>
            </w:pPr>
          </w:p>
        </w:tc>
        <w:tc>
          <w:tcPr>
            <w:tcW w:w="1701" w:type="dxa"/>
            <w:tcBorders>
              <w:top w:val="nil"/>
              <w:left w:val="nil"/>
              <w:bottom w:val="nil"/>
              <w:right w:val="nil"/>
            </w:tcBorders>
          </w:tcPr>
          <w:p w14:paraId="022CFF17" w14:textId="77777777" w:rsidR="001265E9" w:rsidRPr="001265E9" w:rsidRDefault="001265E9" w:rsidP="001265E9">
            <w:pPr>
              <w:jc w:val="right"/>
              <w:rPr>
                <w:rFonts w:cs="Arial"/>
                <w:lang w:eastAsia="en-GB"/>
              </w:rPr>
            </w:pPr>
          </w:p>
        </w:tc>
        <w:tc>
          <w:tcPr>
            <w:tcW w:w="1701" w:type="dxa"/>
            <w:tcBorders>
              <w:top w:val="nil"/>
              <w:left w:val="nil"/>
              <w:bottom w:val="nil"/>
              <w:right w:val="nil"/>
            </w:tcBorders>
          </w:tcPr>
          <w:p w14:paraId="1342CDB5" w14:textId="77777777" w:rsidR="001265E9" w:rsidRPr="001265E9" w:rsidRDefault="001265E9" w:rsidP="001265E9">
            <w:pPr>
              <w:jc w:val="right"/>
              <w:rPr>
                <w:rFonts w:cs="Arial"/>
                <w:lang w:eastAsia="en-GB"/>
              </w:rPr>
            </w:pPr>
          </w:p>
        </w:tc>
        <w:tc>
          <w:tcPr>
            <w:tcW w:w="1559" w:type="dxa"/>
            <w:tcBorders>
              <w:top w:val="nil"/>
              <w:left w:val="nil"/>
              <w:bottom w:val="nil"/>
              <w:right w:val="nil"/>
            </w:tcBorders>
          </w:tcPr>
          <w:p w14:paraId="04DA53A6" w14:textId="77777777" w:rsidR="001265E9" w:rsidRPr="001265E9" w:rsidRDefault="001265E9" w:rsidP="001265E9">
            <w:pPr>
              <w:jc w:val="right"/>
              <w:rPr>
                <w:rFonts w:cs="Arial"/>
                <w:lang w:eastAsia="en-GB"/>
              </w:rPr>
            </w:pPr>
          </w:p>
        </w:tc>
      </w:tr>
      <w:tr w:rsidR="001265E9" w:rsidRPr="001265E9" w14:paraId="4FD95816" w14:textId="77777777" w:rsidTr="00B711D0">
        <w:trPr>
          <w:cantSplit/>
          <w:trHeight w:val="255"/>
        </w:trPr>
        <w:tc>
          <w:tcPr>
            <w:tcW w:w="3423" w:type="dxa"/>
            <w:tcBorders>
              <w:top w:val="nil"/>
              <w:left w:val="nil"/>
              <w:bottom w:val="nil"/>
              <w:right w:val="nil"/>
            </w:tcBorders>
          </w:tcPr>
          <w:p w14:paraId="74DDB0BF" w14:textId="77777777" w:rsidR="001265E9" w:rsidRPr="001265E9" w:rsidRDefault="001265E9" w:rsidP="001265E9">
            <w:pPr>
              <w:rPr>
                <w:rFonts w:cs="Arial"/>
                <w:lang w:eastAsia="en-GB"/>
              </w:rPr>
            </w:pPr>
            <w:r w:rsidRPr="001265E9">
              <w:rPr>
                <w:rFonts w:cs="Arial"/>
                <w:lang w:val="en-AU" w:eastAsia="en-GB"/>
              </w:rPr>
              <w:t>Current liabilities</w:t>
            </w:r>
          </w:p>
        </w:tc>
        <w:tc>
          <w:tcPr>
            <w:tcW w:w="851" w:type="dxa"/>
            <w:gridSpan w:val="3"/>
            <w:tcBorders>
              <w:top w:val="nil"/>
              <w:left w:val="nil"/>
              <w:bottom w:val="nil"/>
              <w:right w:val="nil"/>
            </w:tcBorders>
          </w:tcPr>
          <w:p w14:paraId="77D27669" w14:textId="77777777" w:rsidR="001265E9" w:rsidRPr="00F0414A" w:rsidRDefault="001265E9" w:rsidP="001265E9">
            <w:pPr>
              <w:suppressAutoHyphens/>
              <w:ind w:right="78"/>
              <w:jc w:val="right"/>
              <w:rPr>
                <w:rFonts w:cs="Arial"/>
                <w:spacing w:val="-2"/>
              </w:rPr>
            </w:pPr>
            <w:r w:rsidRPr="00F0414A">
              <w:rPr>
                <w:rFonts w:cs="Arial"/>
                <w:spacing w:val="-2"/>
              </w:rPr>
              <w:t>1</w:t>
            </w:r>
            <w:r w:rsidR="00F0414A" w:rsidRPr="00F0414A">
              <w:rPr>
                <w:rFonts w:cs="Arial"/>
                <w:spacing w:val="-2"/>
              </w:rPr>
              <w:t>4</w:t>
            </w:r>
          </w:p>
        </w:tc>
        <w:tc>
          <w:tcPr>
            <w:tcW w:w="2268" w:type="dxa"/>
            <w:gridSpan w:val="2"/>
            <w:tcBorders>
              <w:top w:val="nil"/>
              <w:left w:val="nil"/>
              <w:bottom w:val="nil"/>
              <w:right w:val="nil"/>
            </w:tcBorders>
          </w:tcPr>
          <w:p w14:paraId="6015910E" w14:textId="77777777" w:rsidR="001265E9" w:rsidRPr="001265E9" w:rsidRDefault="001265E9" w:rsidP="001265E9">
            <w:pPr>
              <w:suppressAutoHyphens/>
              <w:ind w:right="78"/>
              <w:jc w:val="right"/>
              <w:rPr>
                <w:rFonts w:cs="Arial"/>
                <w:spacing w:val="-2"/>
              </w:rPr>
            </w:pPr>
            <w:r w:rsidRPr="001265E9">
              <w:rPr>
                <w:rFonts w:cs="Arial"/>
                <w:spacing w:val="-2"/>
              </w:rPr>
              <w:t>19</w:t>
            </w:r>
          </w:p>
        </w:tc>
        <w:tc>
          <w:tcPr>
            <w:tcW w:w="1701" w:type="dxa"/>
            <w:tcBorders>
              <w:top w:val="nil"/>
              <w:left w:val="nil"/>
              <w:bottom w:val="nil"/>
              <w:right w:val="nil"/>
            </w:tcBorders>
          </w:tcPr>
          <w:p w14:paraId="366AAA1E" w14:textId="77777777" w:rsidR="001265E9" w:rsidRPr="001265E9" w:rsidRDefault="001265E9" w:rsidP="001265E9">
            <w:pPr>
              <w:suppressAutoHyphens/>
              <w:ind w:right="78"/>
              <w:jc w:val="right"/>
              <w:rPr>
                <w:rFonts w:cs="Arial"/>
                <w:spacing w:val="-2"/>
              </w:rPr>
            </w:pPr>
            <w:r w:rsidRPr="001265E9">
              <w:rPr>
                <w:rFonts w:cs="Arial"/>
                <w:spacing w:val="-2"/>
              </w:rPr>
              <w:t>-</w:t>
            </w:r>
          </w:p>
        </w:tc>
        <w:tc>
          <w:tcPr>
            <w:tcW w:w="1559" w:type="dxa"/>
            <w:tcBorders>
              <w:top w:val="nil"/>
              <w:left w:val="nil"/>
              <w:bottom w:val="nil"/>
              <w:right w:val="nil"/>
            </w:tcBorders>
          </w:tcPr>
          <w:p w14:paraId="350D072F" w14:textId="77777777" w:rsidR="001265E9" w:rsidRPr="001265E9" w:rsidRDefault="001265E9" w:rsidP="001265E9">
            <w:pPr>
              <w:suppressAutoHyphens/>
              <w:ind w:right="78"/>
              <w:jc w:val="right"/>
              <w:rPr>
                <w:rFonts w:cs="Arial"/>
                <w:spacing w:val="-2"/>
              </w:rPr>
            </w:pPr>
            <w:r w:rsidRPr="001265E9">
              <w:rPr>
                <w:rFonts w:cs="Arial"/>
                <w:spacing w:val="-2"/>
              </w:rPr>
              <w:t>19</w:t>
            </w:r>
          </w:p>
        </w:tc>
      </w:tr>
      <w:tr w:rsidR="001265E9" w:rsidRPr="001265E9" w14:paraId="5BC864FA" w14:textId="77777777" w:rsidTr="00B711D0">
        <w:trPr>
          <w:cantSplit/>
          <w:trHeight w:val="309"/>
        </w:trPr>
        <w:tc>
          <w:tcPr>
            <w:tcW w:w="3423" w:type="dxa"/>
            <w:tcBorders>
              <w:top w:val="nil"/>
              <w:left w:val="nil"/>
              <w:bottom w:val="nil"/>
              <w:right w:val="nil"/>
            </w:tcBorders>
          </w:tcPr>
          <w:p w14:paraId="60151ECE" w14:textId="77777777" w:rsidR="001265E9" w:rsidRPr="001265E9" w:rsidRDefault="001265E9" w:rsidP="001265E9">
            <w:pPr>
              <w:rPr>
                <w:rFonts w:cs="Arial"/>
                <w:lang w:eastAsia="en-GB"/>
              </w:rPr>
            </w:pPr>
          </w:p>
        </w:tc>
        <w:tc>
          <w:tcPr>
            <w:tcW w:w="1418" w:type="dxa"/>
            <w:gridSpan w:val="4"/>
            <w:tcBorders>
              <w:top w:val="nil"/>
              <w:left w:val="nil"/>
              <w:bottom w:val="nil"/>
              <w:right w:val="nil"/>
            </w:tcBorders>
          </w:tcPr>
          <w:p w14:paraId="254BA45F" w14:textId="77777777" w:rsidR="001265E9" w:rsidRPr="00F0414A" w:rsidRDefault="001265E9" w:rsidP="001265E9">
            <w:pPr>
              <w:ind w:right="49"/>
              <w:jc w:val="right"/>
              <w:rPr>
                <w:rFonts w:cs="Arial"/>
                <w:lang w:val="en-AU" w:eastAsia="en-GB"/>
              </w:rPr>
            </w:pPr>
          </w:p>
        </w:tc>
        <w:tc>
          <w:tcPr>
            <w:tcW w:w="1701" w:type="dxa"/>
            <w:tcBorders>
              <w:top w:val="nil"/>
              <w:left w:val="nil"/>
              <w:bottom w:val="nil"/>
              <w:right w:val="nil"/>
            </w:tcBorders>
            <w:vAlign w:val="bottom"/>
          </w:tcPr>
          <w:p w14:paraId="61ED9AB0" w14:textId="77777777" w:rsidR="001265E9" w:rsidRPr="001265E9" w:rsidRDefault="001265E9" w:rsidP="001265E9">
            <w:pPr>
              <w:ind w:right="49"/>
              <w:jc w:val="right"/>
              <w:rPr>
                <w:rFonts w:cs="Arial"/>
                <w:lang w:val="en-AU" w:eastAsia="en-GB"/>
              </w:rPr>
            </w:pPr>
            <w:r w:rsidRPr="001265E9">
              <w:rPr>
                <w:rFonts w:cs="Arial"/>
                <w:lang w:val="en-AU" w:eastAsia="en-GB"/>
              </w:rPr>
              <w:t>────────</w:t>
            </w:r>
          </w:p>
        </w:tc>
        <w:tc>
          <w:tcPr>
            <w:tcW w:w="1701" w:type="dxa"/>
            <w:tcBorders>
              <w:top w:val="nil"/>
              <w:left w:val="nil"/>
              <w:bottom w:val="nil"/>
              <w:right w:val="nil"/>
            </w:tcBorders>
            <w:vAlign w:val="bottom"/>
          </w:tcPr>
          <w:p w14:paraId="73544B65" w14:textId="77777777" w:rsidR="001265E9" w:rsidRPr="001265E9" w:rsidRDefault="001265E9" w:rsidP="001265E9">
            <w:pPr>
              <w:ind w:right="49"/>
              <w:jc w:val="right"/>
              <w:rPr>
                <w:rFonts w:cs="Arial"/>
                <w:lang w:val="en-AU" w:eastAsia="en-GB"/>
              </w:rPr>
            </w:pPr>
            <w:r w:rsidRPr="001265E9">
              <w:rPr>
                <w:rFonts w:cs="Arial"/>
                <w:lang w:val="en-AU" w:eastAsia="en-GB"/>
              </w:rPr>
              <w:t>────────</w:t>
            </w:r>
          </w:p>
        </w:tc>
        <w:tc>
          <w:tcPr>
            <w:tcW w:w="1559" w:type="dxa"/>
            <w:tcBorders>
              <w:top w:val="nil"/>
              <w:left w:val="nil"/>
              <w:bottom w:val="nil"/>
              <w:right w:val="nil"/>
            </w:tcBorders>
            <w:vAlign w:val="bottom"/>
          </w:tcPr>
          <w:p w14:paraId="03DD4C65" w14:textId="77777777" w:rsidR="001265E9" w:rsidRPr="001265E9" w:rsidRDefault="001265E9" w:rsidP="001265E9">
            <w:pPr>
              <w:ind w:right="49"/>
              <w:jc w:val="right"/>
              <w:rPr>
                <w:rFonts w:cs="Arial"/>
                <w:lang w:val="en-AU" w:eastAsia="en-GB"/>
              </w:rPr>
            </w:pPr>
            <w:r w:rsidRPr="001265E9">
              <w:rPr>
                <w:rFonts w:cs="Arial"/>
                <w:lang w:val="en-AU" w:eastAsia="en-GB"/>
              </w:rPr>
              <w:t>───────</w:t>
            </w:r>
          </w:p>
        </w:tc>
      </w:tr>
      <w:tr w:rsidR="001265E9" w:rsidRPr="001265E9" w14:paraId="753C0342" w14:textId="77777777" w:rsidTr="00B711D0">
        <w:trPr>
          <w:cantSplit/>
          <w:trHeight w:val="231"/>
        </w:trPr>
        <w:tc>
          <w:tcPr>
            <w:tcW w:w="3423" w:type="dxa"/>
            <w:tcBorders>
              <w:top w:val="nil"/>
              <w:left w:val="nil"/>
              <w:bottom w:val="nil"/>
              <w:right w:val="nil"/>
            </w:tcBorders>
          </w:tcPr>
          <w:p w14:paraId="31D6C40E" w14:textId="77777777" w:rsidR="001265E9" w:rsidRPr="001265E9" w:rsidRDefault="001265E9" w:rsidP="001265E9">
            <w:pPr>
              <w:rPr>
                <w:rFonts w:cs="Arial"/>
                <w:lang w:eastAsia="en-GB"/>
              </w:rPr>
            </w:pPr>
            <w:r w:rsidRPr="001265E9">
              <w:rPr>
                <w:rFonts w:cs="Arial"/>
                <w:lang w:val="en-AU" w:eastAsia="en-GB"/>
              </w:rPr>
              <w:t>Total expected outflows</w:t>
            </w:r>
          </w:p>
        </w:tc>
        <w:tc>
          <w:tcPr>
            <w:tcW w:w="1418" w:type="dxa"/>
            <w:gridSpan w:val="4"/>
            <w:tcBorders>
              <w:top w:val="nil"/>
              <w:left w:val="nil"/>
              <w:bottom w:val="nil"/>
              <w:right w:val="nil"/>
            </w:tcBorders>
          </w:tcPr>
          <w:p w14:paraId="172C22E2" w14:textId="77777777" w:rsidR="001265E9" w:rsidRPr="00F0414A" w:rsidRDefault="001265E9" w:rsidP="001265E9">
            <w:pPr>
              <w:suppressAutoHyphens/>
              <w:ind w:right="78"/>
              <w:jc w:val="right"/>
              <w:rPr>
                <w:rFonts w:cs="Arial"/>
                <w:spacing w:val="-2"/>
              </w:rPr>
            </w:pPr>
          </w:p>
        </w:tc>
        <w:tc>
          <w:tcPr>
            <w:tcW w:w="1701" w:type="dxa"/>
            <w:tcBorders>
              <w:top w:val="nil"/>
              <w:left w:val="nil"/>
              <w:bottom w:val="nil"/>
              <w:right w:val="nil"/>
            </w:tcBorders>
          </w:tcPr>
          <w:p w14:paraId="1342EAC2" w14:textId="77777777" w:rsidR="001265E9" w:rsidRPr="001265E9" w:rsidRDefault="001265E9" w:rsidP="001265E9">
            <w:pPr>
              <w:suppressAutoHyphens/>
              <w:ind w:right="78"/>
              <w:jc w:val="right"/>
              <w:rPr>
                <w:rFonts w:cs="Arial"/>
                <w:spacing w:val="-2"/>
              </w:rPr>
            </w:pPr>
            <w:r w:rsidRPr="001265E9">
              <w:rPr>
                <w:rFonts w:cs="Arial"/>
                <w:spacing w:val="-2"/>
              </w:rPr>
              <w:t>19</w:t>
            </w:r>
          </w:p>
        </w:tc>
        <w:tc>
          <w:tcPr>
            <w:tcW w:w="1701" w:type="dxa"/>
            <w:tcBorders>
              <w:top w:val="nil"/>
              <w:left w:val="nil"/>
              <w:bottom w:val="nil"/>
              <w:right w:val="nil"/>
            </w:tcBorders>
          </w:tcPr>
          <w:p w14:paraId="0934BFDD" w14:textId="77777777" w:rsidR="001265E9" w:rsidRPr="001265E9" w:rsidRDefault="001265E9" w:rsidP="001265E9">
            <w:pPr>
              <w:suppressAutoHyphens/>
              <w:ind w:right="78"/>
              <w:jc w:val="right"/>
              <w:rPr>
                <w:rFonts w:cs="Arial"/>
                <w:spacing w:val="-2"/>
              </w:rPr>
            </w:pPr>
            <w:r w:rsidRPr="001265E9">
              <w:rPr>
                <w:rFonts w:cs="Arial"/>
                <w:spacing w:val="-2"/>
              </w:rPr>
              <w:t>-</w:t>
            </w:r>
          </w:p>
        </w:tc>
        <w:tc>
          <w:tcPr>
            <w:tcW w:w="1559" w:type="dxa"/>
            <w:tcBorders>
              <w:top w:val="nil"/>
              <w:left w:val="nil"/>
              <w:bottom w:val="nil"/>
              <w:right w:val="nil"/>
            </w:tcBorders>
          </w:tcPr>
          <w:p w14:paraId="47B13B48" w14:textId="77777777" w:rsidR="001265E9" w:rsidRPr="001265E9" w:rsidRDefault="001265E9" w:rsidP="001265E9">
            <w:pPr>
              <w:suppressAutoHyphens/>
              <w:ind w:right="78"/>
              <w:jc w:val="right"/>
              <w:rPr>
                <w:rFonts w:cs="Arial"/>
                <w:spacing w:val="-2"/>
              </w:rPr>
            </w:pPr>
            <w:r w:rsidRPr="001265E9">
              <w:rPr>
                <w:rFonts w:cs="Arial"/>
                <w:spacing w:val="-2"/>
              </w:rPr>
              <w:t>19</w:t>
            </w:r>
          </w:p>
        </w:tc>
      </w:tr>
      <w:tr w:rsidR="001265E9" w:rsidRPr="001265E9" w14:paraId="6625265D" w14:textId="77777777" w:rsidTr="00B711D0">
        <w:trPr>
          <w:cantSplit/>
          <w:trHeight w:val="273"/>
        </w:trPr>
        <w:tc>
          <w:tcPr>
            <w:tcW w:w="3423" w:type="dxa"/>
            <w:tcBorders>
              <w:top w:val="nil"/>
              <w:left w:val="nil"/>
              <w:bottom w:val="nil"/>
              <w:right w:val="nil"/>
            </w:tcBorders>
          </w:tcPr>
          <w:p w14:paraId="1A55ED78" w14:textId="77777777" w:rsidR="001265E9" w:rsidRPr="001265E9" w:rsidRDefault="001265E9" w:rsidP="001265E9">
            <w:pPr>
              <w:rPr>
                <w:rFonts w:cs="Arial"/>
                <w:lang w:eastAsia="en-GB"/>
              </w:rPr>
            </w:pPr>
          </w:p>
        </w:tc>
        <w:tc>
          <w:tcPr>
            <w:tcW w:w="1418" w:type="dxa"/>
            <w:gridSpan w:val="4"/>
            <w:tcBorders>
              <w:top w:val="nil"/>
              <w:left w:val="nil"/>
              <w:bottom w:val="nil"/>
              <w:right w:val="nil"/>
            </w:tcBorders>
          </w:tcPr>
          <w:p w14:paraId="6D83DD0C" w14:textId="77777777" w:rsidR="001265E9" w:rsidRPr="00F0414A" w:rsidRDefault="001265E9" w:rsidP="001265E9">
            <w:pPr>
              <w:ind w:right="49"/>
              <w:jc w:val="right"/>
              <w:rPr>
                <w:rFonts w:cs="Arial"/>
                <w:lang w:val="en-AU" w:eastAsia="en-GB"/>
              </w:rPr>
            </w:pPr>
          </w:p>
        </w:tc>
        <w:tc>
          <w:tcPr>
            <w:tcW w:w="1701" w:type="dxa"/>
            <w:tcBorders>
              <w:top w:val="nil"/>
              <w:left w:val="nil"/>
              <w:bottom w:val="nil"/>
              <w:right w:val="nil"/>
            </w:tcBorders>
          </w:tcPr>
          <w:p w14:paraId="76C407FF" w14:textId="77777777" w:rsidR="001265E9" w:rsidRPr="001265E9" w:rsidRDefault="001265E9" w:rsidP="001265E9">
            <w:pPr>
              <w:ind w:right="49"/>
              <w:jc w:val="right"/>
              <w:rPr>
                <w:rFonts w:cs="Arial"/>
                <w:lang w:val="en-AU" w:eastAsia="en-GB"/>
              </w:rPr>
            </w:pPr>
            <w:r w:rsidRPr="001265E9">
              <w:rPr>
                <w:rFonts w:cs="Arial"/>
                <w:lang w:val="en-AU" w:eastAsia="en-GB"/>
              </w:rPr>
              <w:t>════════</w:t>
            </w:r>
          </w:p>
        </w:tc>
        <w:tc>
          <w:tcPr>
            <w:tcW w:w="1701" w:type="dxa"/>
            <w:tcBorders>
              <w:top w:val="nil"/>
              <w:left w:val="nil"/>
              <w:bottom w:val="nil"/>
              <w:right w:val="nil"/>
            </w:tcBorders>
          </w:tcPr>
          <w:p w14:paraId="5973BE8A" w14:textId="77777777" w:rsidR="001265E9" w:rsidRPr="001265E9" w:rsidRDefault="001265E9" w:rsidP="001265E9">
            <w:pPr>
              <w:ind w:right="49"/>
              <w:jc w:val="right"/>
              <w:rPr>
                <w:rFonts w:cs="Arial"/>
                <w:lang w:val="en-AU" w:eastAsia="en-GB"/>
              </w:rPr>
            </w:pPr>
            <w:r w:rsidRPr="001265E9">
              <w:rPr>
                <w:rFonts w:cs="Arial"/>
                <w:lang w:val="en-AU" w:eastAsia="en-GB"/>
              </w:rPr>
              <w:t>════════</w:t>
            </w:r>
          </w:p>
        </w:tc>
        <w:tc>
          <w:tcPr>
            <w:tcW w:w="1559" w:type="dxa"/>
            <w:tcBorders>
              <w:top w:val="nil"/>
              <w:left w:val="nil"/>
              <w:bottom w:val="nil"/>
              <w:right w:val="nil"/>
            </w:tcBorders>
          </w:tcPr>
          <w:p w14:paraId="4861AC8B" w14:textId="77777777" w:rsidR="001265E9" w:rsidRPr="001265E9" w:rsidRDefault="001265E9" w:rsidP="001265E9">
            <w:pPr>
              <w:ind w:right="49"/>
              <w:jc w:val="right"/>
              <w:rPr>
                <w:rFonts w:cs="Arial"/>
                <w:lang w:eastAsia="en-GB"/>
              </w:rPr>
            </w:pPr>
            <w:r w:rsidRPr="001265E9">
              <w:rPr>
                <w:rFonts w:cs="Arial"/>
                <w:lang w:val="en-AU" w:eastAsia="en-GB"/>
              </w:rPr>
              <w:t>═══════</w:t>
            </w:r>
          </w:p>
        </w:tc>
      </w:tr>
      <w:tr w:rsidR="001265E9" w:rsidRPr="001265E9" w14:paraId="633C4275" w14:textId="77777777" w:rsidTr="00B711D0">
        <w:trPr>
          <w:cantSplit/>
          <w:trHeight w:val="255"/>
        </w:trPr>
        <w:tc>
          <w:tcPr>
            <w:tcW w:w="4132" w:type="dxa"/>
            <w:gridSpan w:val="3"/>
            <w:tcBorders>
              <w:top w:val="nil"/>
              <w:left w:val="nil"/>
              <w:bottom w:val="nil"/>
              <w:right w:val="nil"/>
            </w:tcBorders>
          </w:tcPr>
          <w:p w14:paraId="3A3D9DC5" w14:textId="77777777" w:rsidR="001265E9" w:rsidRPr="00F0414A" w:rsidRDefault="001265E9" w:rsidP="001265E9">
            <w:pPr>
              <w:rPr>
                <w:rFonts w:cs="Arial"/>
                <w:b/>
                <w:bCs/>
                <w:lang w:eastAsia="en-GB"/>
              </w:rPr>
            </w:pPr>
            <w:r w:rsidRPr="00F0414A">
              <w:rPr>
                <w:rFonts w:cs="Arial"/>
                <w:b/>
                <w:bCs/>
                <w:lang w:val="en-AU" w:eastAsia="en-GB"/>
              </w:rPr>
              <w:t>Financial assets — cash flows realisable</w:t>
            </w:r>
          </w:p>
        </w:tc>
        <w:tc>
          <w:tcPr>
            <w:tcW w:w="709" w:type="dxa"/>
            <w:gridSpan w:val="2"/>
            <w:tcBorders>
              <w:top w:val="nil"/>
              <w:left w:val="nil"/>
              <w:bottom w:val="nil"/>
              <w:right w:val="nil"/>
            </w:tcBorders>
          </w:tcPr>
          <w:p w14:paraId="68DA5C31" w14:textId="77777777" w:rsidR="001265E9" w:rsidRPr="00F0414A" w:rsidRDefault="001265E9" w:rsidP="001265E9">
            <w:pPr>
              <w:jc w:val="right"/>
              <w:rPr>
                <w:rFonts w:cs="Arial"/>
                <w:lang w:eastAsia="en-GB"/>
              </w:rPr>
            </w:pPr>
          </w:p>
        </w:tc>
        <w:tc>
          <w:tcPr>
            <w:tcW w:w="1701" w:type="dxa"/>
            <w:tcBorders>
              <w:top w:val="nil"/>
              <w:left w:val="nil"/>
              <w:bottom w:val="nil"/>
              <w:right w:val="nil"/>
            </w:tcBorders>
          </w:tcPr>
          <w:p w14:paraId="1C0FA489" w14:textId="77777777" w:rsidR="001265E9" w:rsidRPr="001265E9" w:rsidRDefault="001265E9" w:rsidP="001265E9">
            <w:pPr>
              <w:jc w:val="right"/>
              <w:rPr>
                <w:rFonts w:cs="Arial"/>
                <w:lang w:eastAsia="en-GB"/>
              </w:rPr>
            </w:pPr>
          </w:p>
        </w:tc>
        <w:tc>
          <w:tcPr>
            <w:tcW w:w="1701" w:type="dxa"/>
            <w:tcBorders>
              <w:top w:val="nil"/>
              <w:left w:val="nil"/>
              <w:bottom w:val="nil"/>
              <w:right w:val="nil"/>
            </w:tcBorders>
          </w:tcPr>
          <w:p w14:paraId="1F27E25B" w14:textId="77777777" w:rsidR="001265E9" w:rsidRPr="001265E9" w:rsidRDefault="001265E9" w:rsidP="001265E9">
            <w:pPr>
              <w:jc w:val="right"/>
              <w:rPr>
                <w:rFonts w:cs="Arial"/>
                <w:lang w:eastAsia="en-GB"/>
              </w:rPr>
            </w:pPr>
          </w:p>
        </w:tc>
        <w:tc>
          <w:tcPr>
            <w:tcW w:w="1559" w:type="dxa"/>
            <w:tcBorders>
              <w:top w:val="nil"/>
              <w:left w:val="nil"/>
              <w:bottom w:val="nil"/>
              <w:right w:val="nil"/>
            </w:tcBorders>
          </w:tcPr>
          <w:p w14:paraId="58237494" w14:textId="77777777" w:rsidR="001265E9" w:rsidRPr="001265E9" w:rsidRDefault="001265E9" w:rsidP="001265E9">
            <w:pPr>
              <w:jc w:val="right"/>
              <w:rPr>
                <w:rFonts w:cs="Arial"/>
                <w:lang w:eastAsia="en-GB"/>
              </w:rPr>
            </w:pPr>
          </w:p>
        </w:tc>
      </w:tr>
      <w:tr w:rsidR="001265E9" w:rsidRPr="001265E9" w14:paraId="0F61297F" w14:textId="77777777" w:rsidTr="00B711D0">
        <w:trPr>
          <w:cantSplit/>
          <w:trHeight w:val="239"/>
        </w:trPr>
        <w:tc>
          <w:tcPr>
            <w:tcW w:w="3423" w:type="dxa"/>
            <w:tcBorders>
              <w:top w:val="nil"/>
              <w:left w:val="nil"/>
              <w:bottom w:val="nil"/>
              <w:right w:val="nil"/>
            </w:tcBorders>
          </w:tcPr>
          <w:p w14:paraId="19CE638A" w14:textId="77777777" w:rsidR="001265E9" w:rsidRPr="001265E9" w:rsidRDefault="001265E9" w:rsidP="001265E9">
            <w:pPr>
              <w:rPr>
                <w:rFonts w:cs="Arial"/>
                <w:lang w:eastAsia="en-GB"/>
              </w:rPr>
            </w:pPr>
            <w:r w:rsidRPr="001265E9">
              <w:rPr>
                <w:rFonts w:cs="Arial"/>
                <w:lang w:val="en-AU" w:eastAsia="en-GB"/>
              </w:rPr>
              <w:t>Cash and cash equivalents</w:t>
            </w:r>
          </w:p>
        </w:tc>
        <w:tc>
          <w:tcPr>
            <w:tcW w:w="851" w:type="dxa"/>
            <w:gridSpan w:val="3"/>
            <w:tcBorders>
              <w:top w:val="nil"/>
              <w:left w:val="nil"/>
              <w:bottom w:val="nil"/>
              <w:right w:val="nil"/>
            </w:tcBorders>
          </w:tcPr>
          <w:p w14:paraId="1DCD613A" w14:textId="77777777" w:rsidR="001265E9" w:rsidRPr="00F0414A" w:rsidRDefault="001265E9" w:rsidP="001265E9">
            <w:pPr>
              <w:suppressAutoHyphens/>
              <w:ind w:right="78"/>
              <w:jc w:val="right"/>
              <w:rPr>
                <w:rFonts w:cs="Arial"/>
                <w:spacing w:val="-2"/>
              </w:rPr>
            </w:pPr>
            <w:r w:rsidRPr="00F0414A">
              <w:rPr>
                <w:rFonts w:cs="Arial"/>
                <w:spacing w:val="-2"/>
              </w:rPr>
              <w:t>1</w:t>
            </w:r>
            <w:r w:rsidR="00F0414A" w:rsidRPr="00F0414A">
              <w:rPr>
                <w:rFonts w:cs="Arial"/>
                <w:spacing w:val="-2"/>
              </w:rPr>
              <w:t>3</w:t>
            </w:r>
          </w:p>
        </w:tc>
        <w:tc>
          <w:tcPr>
            <w:tcW w:w="2268" w:type="dxa"/>
            <w:gridSpan w:val="2"/>
            <w:tcBorders>
              <w:top w:val="nil"/>
              <w:left w:val="nil"/>
              <w:bottom w:val="nil"/>
              <w:right w:val="nil"/>
            </w:tcBorders>
          </w:tcPr>
          <w:p w14:paraId="6B17BB78" w14:textId="77777777" w:rsidR="001265E9" w:rsidRPr="001265E9" w:rsidRDefault="001265E9" w:rsidP="001265E9">
            <w:pPr>
              <w:suppressAutoHyphens/>
              <w:ind w:right="78"/>
              <w:jc w:val="right"/>
              <w:rPr>
                <w:rFonts w:cs="Arial"/>
                <w:spacing w:val="-2"/>
              </w:rPr>
            </w:pPr>
            <w:r w:rsidRPr="001265E9">
              <w:rPr>
                <w:rFonts w:cs="Arial"/>
                <w:spacing w:val="-2"/>
              </w:rPr>
              <w:t>456</w:t>
            </w:r>
          </w:p>
        </w:tc>
        <w:tc>
          <w:tcPr>
            <w:tcW w:w="1701" w:type="dxa"/>
            <w:tcBorders>
              <w:top w:val="nil"/>
              <w:left w:val="nil"/>
              <w:bottom w:val="nil"/>
              <w:right w:val="nil"/>
            </w:tcBorders>
          </w:tcPr>
          <w:p w14:paraId="087FDCCA" w14:textId="77777777" w:rsidR="001265E9" w:rsidRPr="001265E9" w:rsidRDefault="001265E9" w:rsidP="001265E9">
            <w:pPr>
              <w:suppressAutoHyphens/>
              <w:ind w:right="78"/>
              <w:jc w:val="right"/>
              <w:rPr>
                <w:rFonts w:cs="Arial"/>
                <w:spacing w:val="-2"/>
              </w:rPr>
            </w:pPr>
            <w:r w:rsidRPr="001265E9">
              <w:rPr>
                <w:rFonts w:cs="Arial"/>
                <w:spacing w:val="-2"/>
              </w:rPr>
              <w:t>-</w:t>
            </w:r>
          </w:p>
        </w:tc>
        <w:tc>
          <w:tcPr>
            <w:tcW w:w="1559" w:type="dxa"/>
            <w:tcBorders>
              <w:top w:val="nil"/>
              <w:left w:val="nil"/>
              <w:bottom w:val="nil"/>
              <w:right w:val="nil"/>
            </w:tcBorders>
          </w:tcPr>
          <w:p w14:paraId="2C45DDF7" w14:textId="77777777" w:rsidR="001265E9" w:rsidRPr="001265E9" w:rsidRDefault="001265E9" w:rsidP="001265E9">
            <w:pPr>
              <w:suppressAutoHyphens/>
              <w:ind w:right="78"/>
              <w:jc w:val="right"/>
              <w:rPr>
                <w:rFonts w:cs="Arial"/>
                <w:spacing w:val="-2"/>
              </w:rPr>
            </w:pPr>
            <w:r w:rsidRPr="001265E9">
              <w:rPr>
                <w:rFonts w:cs="Arial"/>
                <w:spacing w:val="-2"/>
              </w:rPr>
              <w:t>456</w:t>
            </w:r>
          </w:p>
        </w:tc>
      </w:tr>
      <w:tr w:rsidR="001265E9" w:rsidRPr="001265E9" w14:paraId="3DA9B287" w14:textId="77777777" w:rsidTr="00B711D0">
        <w:trPr>
          <w:cantSplit/>
          <w:trHeight w:val="255"/>
        </w:trPr>
        <w:tc>
          <w:tcPr>
            <w:tcW w:w="3423" w:type="dxa"/>
            <w:tcBorders>
              <w:top w:val="nil"/>
              <w:left w:val="nil"/>
              <w:bottom w:val="nil"/>
              <w:right w:val="nil"/>
            </w:tcBorders>
          </w:tcPr>
          <w:p w14:paraId="1D819BAB" w14:textId="77777777" w:rsidR="001265E9" w:rsidRPr="001265E9" w:rsidRDefault="001265E9" w:rsidP="001265E9">
            <w:pPr>
              <w:rPr>
                <w:rFonts w:cs="Arial"/>
                <w:lang w:eastAsia="en-GB"/>
              </w:rPr>
            </w:pPr>
            <w:r w:rsidRPr="001265E9">
              <w:rPr>
                <w:rFonts w:cs="Arial"/>
                <w:lang w:val="en-AU" w:eastAsia="en-GB"/>
              </w:rPr>
              <w:t>Trade and other receivables</w:t>
            </w:r>
          </w:p>
        </w:tc>
        <w:tc>
          <w:tcPr>
            <w:tcW w:w="851" w:type="dxa"/>
            <w:gridSpan w:val="3"/>
            <w:tcBorders>
              <w:top w:val="nil"/>
              <w:left w:val="nil"/>
              <w:bottom w:val="nil"/>
              <w:right w:val="nil"/>
            </w:tcBorders>
          </w:tcPr>
          <w:p w14:paraId="103DC13F" w14:textId="77777777" w:rsidR="001265E9" w:rsidRPr="00F0414A" w:rsidRDefault="001265E9" w:rsidP="001265E9">
            <w:pPr>
              <w:suppressAutoHyphens/>
              <w:ind w:right="78"/>
              <w:jc w:val="right"/>
              <w:rPr>
                <w:rFonts w:cs="Arial"/>
                <w:spacing w:val="-2"/>
              </w:rPr>
            </w:pPr>
            <w:r w:rsidRPr="00F0414A">
              <w:rPr>
                <w:rFonts w:cs="Arial"/>
                <w:spacing w:val="-2"/>
              </w:rPr>
              <w:t>1</w:t>
            </w:r>
            <w:r w:rsidR="00F0414A">
              <w:rPr>
                <w:rFonts w:cs="Arial"/>
                <w:spacing w:val="-2"/>
              </w:rPr>
              <w:t>2</w:t>
            </w:r>
          </w:p>
        </w:tc>
        <w:tc>
          <w:tcPr>
            <w:tcW w:w="2268" w:type="dxa"/>
            <w:gridSpan w:val="2"/>
            <w:tcBorders>
              <w:top w:val="nil"/>
              <w:left w:val="nil"/>
              <w:bottom w:val="nil"/>
              <w:right w:val="nil"/>
            </w:tcBorders>
          </w:tcPr>
          <w:p w14:paraId="2C2B445C" w14:textId="77777777" w:rsidR="001265E9" w:rsidRPr="001265E9" w:rsidRDefault="001265E9" w:rsidP="001265E9">
            <w:pPr>
              <w:suppressAutoHyphens/>
              <w:ind w:right="78"/>
              <w:jc w:val="right"/>
              <w:rPr>
                <w:rFonts w:cs="Arial"/>
                <w:spacing w:val="-2"/>
              </w:rPr>
            </w:pPr>
            <w:r w:rsidRPr="001265E9">
              <w:rPr>
                <w:rFonts w:cs="Arial"/>
                <w:spacing w:val="-2"/>
              </w:rPr>
              <w:t>-</w:t>
            </w:r>
          </w:p>
        </w:tc>
        <w:tc>
          <w:tcPr>
            <w:tcW w:w="1701" w:type="dxa"/>
            <w:tcBorders>
              <w:top w:val="nil"/>
              <w:left w:val="nil"/>
              <w:bottom w:val="nil"/>
              <w:right w:val="nil"/>
            </w:tcBorders>
          </w:tcPr>
          <w:p w14:paraId="12EA5949" w14:textId="77777777" w:rsidR="001265E9" w:rsidRPr="001265E9" w:rsidRDefault="001265E9" w:rsidP="001265E9">
            <w:pPr>
              <w:suppressAutoHyphens/>
              <w:ind w:right="78"/>
              <w:jc w:val="right"/>
              <w:rPr>
                <w:rFonts w:cs="Arial"/>
                <w:spacing w:val="-2"/>
              </w:rPr>
            </w:pPr>
            <w:r w:rsidRPr="001265E9">
              <w:rPr>
                <w:rFonts w:cs="Arial"/>
                <w:spacing w:val="-2"/>
              </w:rPr>
              <w:t>-</w:t>
            </w:r>
          </w:p>
        </w:tc>
        <w:tc>
          <w:tcPr>
            <w:tcW w:w="1559" w:type="dxa"/>
            <w:tcBorders>
              <w:top w:val="nil"/>
              <w:left w:val="nil"/>
              <w:bottom w:val="nil"/>
              <w:right w:val="nil"/>
            </w:tcBorders>
          </w:tcPr>
          <w:p w14:paraId="43701385" w14:textId="77777777" w:rsidR="001265E9" w:rsidRPr="001265E9" w:rsidRDefault="001265E9" w:rsidP="001265E9">
            <w:pPr>
              <w:suppressAutoHyphens/>
              <w:ind w:right="78"/>
              <w:jc w:val="right"/>
              <w:rPr>
                <w:rFonts w:cs="Arial"/>
                <w:spacing w:val="-2"/>
              </w:rPr>
            </w:pPr>
            <w:r w:rsidRPr="001265E9">
              <w:rPr>
                <w:rFonts w:cs="Arial"/>
                <w:spacing w:val="-2"/>
              </w:rPr>
              <w:t>-</w:t>
            </w:r>
          </w:p>
        </w:tc>
      </w:tr>
      <w:tr w:rsidR="001265E9" w:rsidRPr="001265E9" w14:paraId="12236A1B" w14:textId="77777777" w:rsidTr="00B711D0">
        <w:trPr>
          <w:cantSplit/>
          <w:trHeight w:val="255"/>
        </w:trPr>
        <w:tc>
          <w:tcPr>
            <w:tcW w:w="3423" w:type="dxa"/>
            <w:tcBorders>
              <w:top w:val="nil"/>
              <w:left w:val="nil"/>
              <w:bottom w:val="nil"/>
              <w:right w:val="nil"/>
            </w:tcBorders>
          </w:tcPr>
          <w:p w14:paraId="3232BD62" w14:textId="77777777" w:rsidR="001265E9" w:rsidRPr="001265E9" w:rsidRDefault="001265E9" w:rsidP="001265E9">
            <w:pPr>
              <w:rPr>
                <w:rFonts w:cs="Arial"/>
                <w:lang w:val="en-AU" w:eastAsia="en-GB"/>
              </w:rPr>
            </w:pPr>
          </w:p>
        </w:tc>
        <w:tc>
          <w:tcPr>
            <w:tcW w:w="851" w:type="dxa"/>
            <w:gridSpan w:val="3"/>
            <w:tcBorders>
              <w:top w:val="nil"/>
              <w:left w:val="nil"/>
              <w:bottom w:val="nil"/>
              <w:right w:val="nil"/>
            </w:tcBorders>
          </w:tcPr>
          <w:p w14:paraId="5F98385C" w14:textId="77777777" w:rsidR="001265E9" w:rsidRPr="001265E9" w:rsidRDefault="001265E9" w:rsidP="001265E9">
            <w:pPr>
              <w:ind w:right="49"/>
              <w:jc w:val="right"/>
              <w:rPr>
                <w:rFonts w:cs="Arial"/>
                <w:lang w:val="en-AU" w:eastAsia="en-GB"/>
              </w:rPr>
            </w:pPr>
          </w:p>
        </w:tc>
        <w:tc>
          <w:tcPr>
            <w:tcW w:w="2268" w:type="dxa"/>
            <w:gridSpan w:val="2"/>
            <w:tcBorders>
              <w:top w:val="nil"/>
              <w:left w:val="nil"/>
              <w:bottom w:val="nil"/>
              <w:right w:val="nil"/>
            </w:tcBorders>
            <w:vAlign w:val="bottom"/>
          </w:tcPr>
          <w:p w14:paraId="6DB70081" w14:textId="77777777" w:rsidR="001265E9" w:rsidRPr="001265E9" w:rsidRDefault="001265E9" w:rsidP="001265E9">
            <w:pPr>
              <w:ind w:right="49"/>
              <w:jc w:val="right"/>
              <w:rPr>
                <w:rFonts w:cs="Arial"/>
                <w:lang w:val="en-AU" w:eastAsia="en-GB"/>
              </w:rPr>
            </w:pPr>
            <w:r w:rsidRPr="001265E9">
              <w:rPr>
                <w:rFonts w:cs="Arial"/>
                <w:lang w:val="en-AU" w:eastAsia="en-GB"/>
              </w:rPr>
              <w:t>────────</w:t>
            </w:r>
          </w:p>
        </w:tc>
        <w:tc>
          <w:tcPr>
            <w:tcW w:w="1701" w:type="dxa"/>
            <w:tcBorders>
              <w:top w:val="nil"/>
              <w:left w:val="nil"/>
              <w:bottom w:val="nil"/>
              <w:right w:val="nil"/>
            </w:tcBorders>
            <w:vAlign w:val="bottom"/>
          </w:tcPr>
          <w:p w14:paraId="209B41F6" w14:textId="77777777" w:rsidR="001265E9" w:rsidRPr="001265E9" w:rsidRDefault="001265E9" w:rsidP="001265E9">
            <w:pPr>
              <w:ind w:right="49"/>
              <w:jc w:val="right"/>
              <w:rPr>
                <w:rFonts w:cs="Arial"/>
                <w:lang w:val="en-AU" w:eastAsia="en-GB"/>
              </w:rPr>
            </w:pPr>
            <w:r w:rsidRPr="001265E9">
              <w:rPr>
                <w:rFonts w:cs="Arial"/>
                <w:lang w:val="en-AU" w:eastAsia="en-GB"/>
              </w:rPr>
              <w:t>────────</w:t>
            </w:r>
          </w:p>
        </w:tc>
        <w:tc>
          <w:tcPr>
            <w:tcW w:w="1559" w:type="dxa"/>
            <w:tcBorders>
              <w:top w:val="nil"/>
              <w:left w:val="nil"/>
              <w:bottom w:val="nil"/>
              <w:right w:val="nil"/>
            </w:tcBorders>
            <w:vAlign w:val="bottom"/>
          </w:tcPr>
          <w:p w14:paraId="7F3E3FD2" w14:textId="77777777" w:rsidR="001265E9" w:rsidRPr="001265E9" w:rsidRDefault="001265E9" w:rsidP="001265E9">
            <w:pPr>
              <w:ind w:right="49"/>
              <w:jc w:val="right"/>
              <w:rPr>
                <w:rFonts w:cs="Arial"/>
                <w:lang w:val="en-AU" w:eastAsia="en-GB"/>
              </w:rPr>
            </w:pPr>
            <w:r w:rsidRPr="001265E9">
              <w:rPr>
                <w:rFonts w:cs="Arial"/>
                <w:lang w:val="en-AU" w:eastAsia="en-GB"/>
              </w:rPr>
              <w:t>────────</w:t>
            </w:r>
          </w:p>
        </w:tc>
      </w:tr>
      <w:tr w:rsidR="001265E9" w:rsidRPr="001265E9" w14:paraId="7446E759" w14:textId="77777777" w:rsidTr="00B711D0">
        <w:trPr>
          <w:cantSplit/>
          <w:trHeight w:val="255"/>
        </w:trPr>
        <w:tc>
          <w:tcPr>
            <w:tcW w:w="3423" w:type="dxa"/>
            <w:tcBorders>
              <w:top w:val="nil"/>
              <w:left w:val="nil"/>
              <w:bottom w:val="nil"/>
              <w:right w:val="nil"/>
            </w:tcBorders>
          </w:tcPr>
          <w:p w14:paraId="73AA4960" w14:textId="77777777" w:rsidR="001265E9" w:rsidRPr="001265E9" w:rsidRDefault="001265E9" w:rsidP="001265E9">
            <w:pPr>
              <w:rPr>
                <w:rFonts w:cs="Arial"/>
                <w:lang w:val="en-AU" w:eastAsia="en-GB"/>
              </w:rPr>
            </w:pPr>
            <w:r w:rsidRPr="001265E9">
              <w:rPr>
                <w:rFonts w:cs="Arial"/>
                <w:lang w:val="en-AU" w:eastAsia="en-GB"/>
              </w:rPr>
              <w:t>Total anticipated inflows</w:t>
            </w:r>
          </w:p>
        </w:tc>
        <w:tc>
          <w:tcPr>
            <w:tcW w:w="1418" w:type="dxa"/>
            <w:gridSpan w:val="4"/>
            <w:tcBorders>
              <w:top w:val="nil"/>
              <w:left w:val="nil"/>
              <w:bottom w:val="nil"/>
              <w:right w:val="nil"/>
            </w:tcBorders>
          </w:tcPr>
          <w:p w14:paraId="66CDD139" w14:textId="77777777" w:rsidR="001265E9" w:rsidRPr="001265E9" w:rsidRDefault="001265E9" w:rsidP="001265E9">
            <w:pPr>
              <w:suppressAutoHyphens/>
              <w:ind w:right="78"/>
              <w:jc w:val="right"/>
              <w:rPr>
                <w:rFonts w:cs="Arial"/>
                <w:spacing w:val="-2"/>
              </w:rPr>
            </w:pPr>
          </w:p>
        </w:tc>
        <w:tc>
          <w:tcPr>
            <w:tcW w:w="1701" w:type="dxa"/>
            <w:tcBorders>
              <w:top w:val="nil"/>
              <w:left w:val="nil"/>
              <w:bottom w:val="nil"/>
              <w:right w:val="nil"/>
            </w:tcBorders>
          </w:tcPr>
          <w:p w14:paraId="00E06089" w14:textId="77777777" w:rsidR="001265E9" w:rsidRPr="001265E9" w:rsidRDefault="001265E9" w:rsidP="001265E9">
            <w:pPr>
              <w:suppressAutoHyphens/>
              <w:ind w:right="78"/>
              <w:jc w:val="right"/>
              <w:rPr>
                <w:rFonts w:cs="Arial"/>
                <w:spacing w:val="-2"/>
              </w:rPr>
            </w:pPr>
            <w:r w:rsidRPr="001265E9">
              <w:rPr>
                <w:rFonts w:cs="Arial"/>
                <w:spacing w:val="-2"/>
              </w:rPr>
              <w:t>456</w:t>
            </w:r>
          </w:p>
        </w:tc>
        <w:tc>
          <w:tcPr>
            <w:tcW w:w="1701" w:type="dxa"/>
            <w:tcBorders>
              <w:top w:val="nil"/>
              <w:left w:val="nil"/>
              <w:bottom w:val="nil"/>
              <w:right w:val="nil"/>
            </w:tcBorders>
          </w:tcPr>
          <w:p w14:paraId="3AE41FAB" w14:textId="77777777" w:rsidR="001265E9" w:rsidRPr="001265E9" w:rsidRDefault="001265E9" w:rsidP="001265E9">
            <w:pPr>
              <w:suppressAutoHyphens/>
              <w:ind w:right="78"/>
              <w:jc w:val="right"/>
              <w:rPr>
                <w:rFonts w:cs="Arial"/>
                <w:spacing w:val="-2"/>
              </w:rPr>
            </w:pPr>
            <w:r w:rsidRPr="001265E9">
              <w:rPr>
                <w:rFonts w:cs="Arial"/>
                <w:spacing w:val="-2"/>
              </w:rPr>
              <w:t>-</w:t>
            </w:r>
          </w:p>
        </w:tc>
        <w:tc>
          <w:tcPr>
            <w:tcW w:w="1559" w:type="dxa"/>
            <w:tcBorders>
              <w:top w:val="nil"/>
              <w:left w:val="nil"/>
              <w:bottom w:val="nil"/>
              <w:right w:val="nil"/>
            </w:tcBorders>
          </w:tcPr>
          <w:p w14:paraId="5C9FA9EE" w14:textId="77777777" w:rsidR="001265E9" w:rsidRPr="001265E9" w:rsidRDefault="001265E9" w:rsidP="001265E9">
            <w:pPr>
              <w:suppressAutoHyphens/>
              <w:ind w:right="78"/>
              <w:jc w:val="right"/>
              <w:rPr>
                <w:rFonts w:cs="Arial"/>
                <w:spacing w:val="-2"/>
              </w:rPr>
            </w:pPr>
            <w:r w:rsidRPr="001265E9">
              <w:rPr>
                <w:rFonts w:cs="Arial"/>
                <w:spacing w:val="-2"/>
              </w:rPr>
              <w:t>456</w:t>
            </w:r>
          </w:p>
        </w:tc>
      </w:tr>
      <w:tr w:rsidR="001265E9" w:rsidRPr="001265E9" w14:paraId="3533DCC0" w14:textId="77777777" w:rsidTr="00B711D0">
        <w:trPr>
          <w:cantSplit/>
          <w:trHeight w:val="166"/>
        </w:trPr>
        <w:tc>
          <w:tcPr>
            <w:tcW w:w="3423" w:type="dxa"/>
            <w:tcBorders>
              <w:top w:val="nil"/>
              <w:left w:val="nil"/>
              <w:bottom w:val="nil"/>
              <w:right w:val="nil"/>
            </w:tcBorders>
          </w:tcPr>
          <w:p w14:paraId="5F264401" w14:textId="77777777" w:rsidR="001265E9" w:rsidRPr="001265E9" w:rsidRDefault="001265E9" w:rsidP="001265E9">
            <w:pPr>
              <w:rPr>
                <w:rFonts w:cs="Arial"/>
                <w:lang w:val="en-AU" w:eastAsia="en-GB"/>
              </w:rPr>
            </w:pPr>
          </w:p>
        </w:tc>
        <w:tc>
          <w:tcPr>
            <w:tcW w:w="1418" w:type="dxa"/>
            <w:gridSpan w:val="4"/>
            <w:tcBorders>
              <w:top w:val="nil"/>
              <w:left w:val="nil"/>
              <w:bottom w:val="nil"/>
              <w:right w:val="nil"/>
            </w:tcBorders>
          </w:tcPr>
          <w:p w14:paraId="5A0BD22C" w14:textId="77777777" w:rsidR="001265E9" w:rsidRPr="001265E9" w:rsidRDefault="001265E9" w:rsidP="001265E9">
            <w:pPr>
              <w:ind w:right="49"/>
              <w:jc w:val="right"/>
              <w:rPr>
                <w:rFonts w:cs="Arial"/>
                <w:lang w:val="en-AU" w:eastAsia="en-GB"/>
              </w:rPr>
            </w:pPr>
          </w:p>
        </w:tc>
        <w:tc>
          <w:tcPr>
            <w:tcW w:w="1701" w:type="dxa"/>
            <w:tcBorders>
              <w:top w:val="nil"/>
              <w:left w:val="nil"/>
              <w:bottom w:val="nil"/>
              <w:right w:val="nil"/>
            </w:tcBorders>
          </w:tcPr>
          <w:p w14:paraId="128ACCD6" w14:textId="77777777" w:rsidR="001265E9" w:rsidRPr="001265E9" w:rsidRDefault="001265E9" w:rsidP="001265E9">
            <w:pPr>
              <w:ind w:right="49"/>
              <w:jc w:val="right"/>
              <w:rPr>
                <w:rFonts w:cs="Arial"/>
                <w:lang w:val="en-AU" w:eastAsia="en-GB"/>
              </w:rPr>
            </w:pPr>
            <w:r w:rsidRPr="001265E9">
              <w:rPr>
                <w:rFonts w:cs="Arial"/>
                <w:lang w:val="en-AU" w:eastAsia="en-GB"/>
              </w:rPr>
              <w:t>════════</w:t>
            </w:r>
          </w:p>
        </w:tc>
        <w:tc>
          <w:tcPr>
            <w:tcW w:w="1701" w:type="dxa"/>
            <w:tcBorders>
              <w:top w:val="nil"/>
              <w:left w:val="nil"/>
              <w:bottom w:val="nil"/>
              <w:right w:val="nil"/>
            </w:tcBorders>
          </w:tcPr>
          <w:p w14:paraId="71E0E1F7" w14:textId="77777777" w:rsidR="001265E9" w:rsidRPr="001265E9" w:rsidRDefault="001265E9" w:rsidP="001265E9">
            <w:pPr>
              <w:ind w:right="49"/>
              <w:jc w:val="right"/>
              <w:rPr>
                <w:rFonts w:cs="Arial"/>
                <w:lang w:val="en-AU" w:eastAsia="en-GB"/>
              </w:rPr>
            </w:pPr>
            <w:r w:rsidRPr="001265E9">
              <w:rPr>
                <w:rFonts w:cs="Arial"/>
                <w:lang w:val="en-AU" w:eastAsia="en-GB"/>
              </w:rPr>
              <w:t>════════</w:t>
            </w:r>
          </w:p>
        </w:tc>
        <w:tc>
          <w:tcPr>
            <w:tcW w:w="1559" w:type="dxa"/>
            <w:tcBorders>
              <w:top w:val="nil"/>
              <w:left w:val="nil"/>
              <w:bottom w:val="nil"/>
              <w:right w:val="nil"/>
            </w:tcBorders>
          </w:tcPr>
          <w:p w14:paraId="5B49B1B9" w14:textId="77777777" w:rsidR="001265E9" w:rsidRPr="001265E9" w:rsidRDefault="001265E9" w:rsidP="001265E9">
            <w:pPr>
              <w:ind w:right="49"/>
              <w:jc w:val="right"/>
              <w:rPr>
                <w:rFonts w:cs="Arial"/>
                <w:lang w:val="en-AU" w:eastAsia="en-GB"/>
              </w:rPr>
            </w:pPr>
            <w:r w:rsidRPr="001265E9">
              <w:rPr>
                <w:rFonts w:cs="Arial"/>
                <w:lang w:val="en-AU" w:eastAsia="en-GB"/>
              </w:rPr>
              <w:t>════════</w:t>
            </w:r>
          </w:p>
        </w:tc>
      </w:tr>
      <w:tr w:rsidR="001265E9" w:rsidRPr="001265E9" w14:paraId="5298A2C5" w14:textId="77777777" w:rsidTr="00B711D0">
        <w:trPr>
          <w:cantSplit/>
          <w:trHeight w:val="255"/>
        </w:trPr>
        <w:tc>
          <w:tcPr>
            <w:tcW w:w="3423" w:type="dxa"/>
            <w:tcBorders>
              <w:top w:val="nil"/>
              <w:left w:val="nil"/>
              <w:bottom w:val="nil"/>
              <w:right w:val="nil"/>
            </w:tcBorders>
          </w:tcPr>
          <w:p w14:paraId="21A883B9" w14:textId="77777777" w:rsidR="001265E9" w:rsidRPr="001265E9" w:rsidRDefault="001265E9" w:rsidP="001265E9">
            <w:pPr>
              <w:rPr>
                <w:rFonts w:cs="Arial"/>
                <w:lang w:eastAsia="en-GB"/>
              </w:rPr>
            </w:pPr>
          </w:p>
        </w:tc>
        <w:tc>
          <w:tcPr>
            <w:tcW w:w="1418" w:type="dxa"/>
            <w:gridSpan w:val="4"/>
            <w:tcBorders>
              <w:top w:val="nil"/>
              <w:left w:val="nil"/>
              <w:bottom w:val="nil"/>
              <w:right w:val="nil"/>
            </w:tcBorders>
          </w:tcPr>
          <w:p w14:paraId="58D21F1B" w14:textId="77777777" w:rsidR="001265E9" w:rsidRPr="001265E9" w:rsidRDefault="001265E9" w:rsidP="001265E9">
            <w:pPr>
              <w:ind w:right="49"/>
              <w:jc w:val="right"/>
              <w:rPr>
                <w:rFonts w:cs="Arial"/>
                <w:lang w:val="en-AU" w:eastAsia="en-GB"/>
              </w:rPr>
            </w:pPr>
          </w:p>
        </w:tc>
        <w:tc>
          <w:tcPr>
            <w:tcW w:w="1701" w:type="dxa"/>
            <w:tcBorders>
              <w:top w:val="nil"/>
              <w:left w:val="nil"/>
              <w:bottom w:val="nil"/>
              <w:right w:val="nil"/>
            </w:tcBorders>
            <w:vAlign w:val="bottom"/>
          </w:tcPr>
          <w:p w14:paraId="100032EB" w14:textId="77777777" w:rsidR="001265E9" w:rsidRPr="001265E9" w:rsidRDefault="001265E9" w:rsidP="001265E9">
            <w:pPr>
              <w:ind w:right="49"/>
              <w:jc w:val="right"/>
              <w:rPr>
                <w:rFonts w:cs="Arial"/>
                <w:lang w:val="en-AU" w:eastAsia="en-GB"/>
              </w:rPr>
            </w:pPr>
            <w:r w:rsidRPr="001265E9">
              <w:rPr>
                <w:rFonts w:cs="Arial"/>
                <w:lang w:val="en-AU" w:eastAsia="en-GB"/>
              </w:rPr>
              <w:t>────────</w:t>
            </w:r>
          </w:p>
        </w:tc>
        <w:tc>
          <w:tcPr>
            <w:tcW w:w="1701" w:type="dxa"/>
            <w:tcBorders>
              <w:top w:val="nil"/>
              <w:left w:val="nil"/>
              <w:bottom w:val="nil"/>
              <w:right w:val="nil"/>
            </w:tcBorders>
            <w:vAlign w:val="bottom"/>
          </w:tcPr>
          <w:p w14:paraId="72AE0842" w14:textId="77777777" w:rsidR="001265E9" w:rsidRPr="001265E9" w:rsidRDefault="001265E9" w:rsidP="001265E9">
            <w:pPr>
              <w:ind w:right="49"/>
              <w:jc w:val="right"/>
              <w:rPr>
                <w:rFonts w:cs="Arial"/>
                <w:lang w:val="en-AU" w:eastAsia="en-GB"/>
              </w:rPr>
            </w:pPr>
            <w:r w:rsidRPr="001265E9">
              <w:rPr>
                <w:rFonts w:cs="Arial"/>
                <w:lang w:val="en-AU" w:eastAsia="en-GB"/>
              </w:rPr>
              <w:t>────────</w:t>
            </w:r>
          </w:p>
        </w:tc>
        <w:tc>
          <w:tcPr>
            <w:tcW w:w="1559" w:type="dxa"/>
            <w:tcBorders>
              <w:top w:val="nil"/>
              <w:left w:val="nil"/>
              <w:bottom w:val="nil"/>
              <w:right w:val="nil"/>
            </w:tcBorders>
            <w:vAlign w:val="bottom"/>
          </w:tcPr>
          <w:p w14:paraId="197FB03C" w14:textId="77777777" w:rsidR="001265E9" w:rsidRPr="001265E9" w:rsidRDefault="001265E9" w:rsidP="001265E9">
            <w:pPr>
              <w:ind w:right="49"/>
              <w:jc w:val="right"/>
              <w:rPr>
                <w:rFonts w:cs="Arial"/>
                <w:lang w:val="en-AU" w:eastAsia="en-GB"/>
              </w:rPr>
            </w:pPr>
            <w:r w:rsidRPr="001265E9">
              <w:rPr>
                <w:rFonts w:cs="Arial"/>
                <w:lang w:val="en-AU" w:eastAsia="en-GB"/>
              </w:rPr>
              <w:t>────────</w:t>
            </w:r>
          </w:p>
        </w:tc>
      </w:tr>
      <w:tr w:rsidR="001265E9" w:rsidRPr="001265E9" w14:paraId="6EC0AB2B" w14:textId="77777777" w:rsidTr="00B711D0">
        <w:trPr>
          <w:cantSplit/>
          <w:trHeight w:val="255"/>
        </w:trPr>
        <w:tc>
          <w:tcPr>
            <w:tcW w:w="3423" w:type="dxa"/>
            <w:tcBorders>
              <w:top w:val="nil"/>
              <w:left w:val="nil"/>
              <w:bottom w:val="nil"/>
              <w:right w:val="nil"/>
            </w:tcBorders>
          </w:tcPr>
          <w:p w14:paraId="44A94984" w14:textId="77777777" w:rsidR="001265E9" w:rsidRPr="001265E9" w:rsidRDefault="001265E9" w:rsidP="001265E9">
            <w:pPr>
              <w:rPr>
                <w:rFonts w:cs="Arial"/>
                <w:lang w:eastAsia="en-GB"/>
              </w:rPr>
            </w:pPr>
            <w:r w:rsidRPr="001265E9">
              <w:rPr>
                <w:rFonts w:cs="Arial"/>
                <w:lang w:val="en-AU" w:eastAsia="en-GB"/>
              </w:rPr>
              <w:t>Net inflow of financial instruments</w:t>
            </w:r>
          </w:p>
        </w:tc>
        <w:tc>
          <w:tcPr>
            <w:tcW w:w="1418" w:type="dxa"/>
            <w:gridSpan w:val="4"/>
            <w:tcBorders>
              <w:top w:val="nil"/>
              <w:left w:val="nil"/>
              <w:bottom w:val="nil"/>
              <w:right w:val="nil"/>
            </w:tcBorders>
          </w:tcPr>
          <w:p w14:paraId="2D7620A6" w14:textId="77777777" w:rsidR="001265E9" w:rsidRPr="001265E9" w:rsidRDefault="001265E9" w:rsidP="001265E9">
            <w:pPr>
              <w:suppressAutoHyphens/>
              <w:ind w:right="78"/>
              <w:jc w:val="right"/>
              <w:rPr>
                <w:rFonts w:cs="Arial"/>
                <w:spacing w:val="-2"/>
              </w:rPr>
            </w:pPr>
          </w:p>
        </w:tc>
        <w:tc>
          <w:tcPr>
            <w:tcW w:w="1701" w:type="dxa"/>
            <w:tcBorders>
              <w:top w:val="nil"/>
              <w:left w:val="nil"/>
              <w:bottom w:val="nil"/>
              <w:right w:val="nil"/>
            </w:tcBorders>
          </w:tcPr>
          <w:p w14:paraId="27CF5606" w14:textId="77777777" w:rsidR="001265E9" w:rsidRPr="001265E9" w:rsidRDefault="001265E9" w:rsidP="001265E9">
            <w:pPr>
              <w:suppressAutoHyphens/>
              <w:ind w:right="78"/>
              <w:jc w:val="right"/>
              <w:rPr>
                <w:rFonts w:cs="Arial"/>
                <w:spacing w:val="-2"/>
              </w:rPr>
            </w:pPr>
            <w:r w:rsidRPr="001265E9">
              <w:rPr>
                <w:rFonts w:cs="Arial"/>
                <w:spacing w:val="-2"/>
              </w:rPr>
              <w:t>437</w:t>
            </w:r>
          </w:p>
        </w:tc>
        <w:tc>
          <w:tcPr>
            <w:tcW w:w="1701" w:type="dxa"/>
            <w:tcBorders>
              <w:top w:val="nil"/>
              <w:left w:val="nil"/>
              <w:bottom w:val="nil"/>
              <w:right w:val="nil"/>
            </w:tcBorders>
          </w:tcPr>
          <w:p w14:paraId="5823F63A" w14:textId="77777777" w:rsidR="001265E9" w:rsidRPr="001265E9" w:rsidRDefault="001265E9" w:rsidP="001265E9">
            <w:pPr>
              <w:suppressAutoHyphens/>
              <w:ind w:right="78"/>
              <w:jc w:val="right"/>
              <w:rPr>
                <w:rFonts w:cs="Arial"/>
                <w:spacing w:val="-2"/>
              </w:rPr>
            </w:pPr>
            <w:r w:rsidRPr="001265E9">
              <w:rPr>
                <w:rFonts w:cs="Arial"/>
                <w:spacing w:val="-2"/>
              </w:rPr>
              <w:t>-</w:t>
            </w:r>
          </w:p>
        </w:tc>
        <w:tc>
          <w:tcPr>
            <w:tcW w:w="1559" w:type="dxa"/>
            <w:tcBorders>
              <w:top w:val="nil"/>
              <w:left w:val="nil"/>
              <w:bottom w:val="nil"/>
              <w:right w:val="nil"/>
            </w:tcBorders>
          </w:tcPr>
          <w:p w14:paraId="76A9E4EF" w14:textId="77777777" w:rsidR="001265E9" w:rsidRPr="001265E9" w:rsidRDefault="001265E9" w:rsidP="001265E9">
            <w:pPr>
              <w:suppressAutoHyphens/>
              <w:ind w:right="78"/>
              <w:jc w:val="right"/>
              <w:rPr>
                <w:rFonts w:cs="Arial"/>
                <w:spacing w:val="-2"/>
              </w:rPr>
            </w:pPr>
            <w:r w:rsidRPr="001265E9">
              <w:rPr>
                <w:rFonts w:cs="Arial"/>
                <w:spacing w:val="-2"/>
              </w:rPr>
              <w:t>437</w:t>
            </w:r>
          </w:p>
        </w:tc>
      </w:tr>
      <w:tr w:rsidR="001265E9" w:rsidRPr="001265E9" w14:paraId="1254CD27" w14:textId="77777777" w:rsidTr="00B711D0">
        <w:trPr>
          <w:cantSplit/>
          <w:trHeight w:val="210"/>
        </w:trPr>
        <w:tc>
          <w:tcPr>
            <w:tcW w:w="3423" w:type="dxa"/>
            <w:tcBorders>
              <w:top w:val="nil"/>
              <w:left w:val="nil"/>
              <w:bottom w:val="nil"/>
              <w:right w:val="nil"/>
            </w:tcBorders>
          </w:tcPr>
          <w:p w14:paraId="707384AF" w14:textId="77777777" w:rsidR="001265E9" w:rsidRPr="001265E9" w:rsidRDefault="001265E9" w:rsidP="001265E9">
            <w:pPr>
              <w:rPr>
                <w:rFonts w:cs="Arial"/>
                <w:lang w:val="en-AU" w:eastAsia="en-GB"/>
              </w:rPr>
            </w:pPr>
          </w:p>
        </w:tc>
        <w:tc>
          <w:tcPr>
            <w:tcW w:w="1418" w:type="dxa"/>
            <w:gridSpan w:val="4"/>
            <w:tcBorders>
              <w:top w:val="nil"/>
              <w:left w:val="nil"/>
              <w:bottom w:val="nil"/>
              <w:right w:val="nil"/>
            </w:tcBorders>
          </w:tcPr>
          <w:p w14:paraId="1AB6155A" w14:textId="77777777" w:rsidR="001265E9" w:rsidRPr="001265E9" w:rsidRDefault="001265E9" w:rsidP="001265E9">
            <w:pPr>
              <w:ind w:right="49"/>
              <w:jc w:val="right"/>
              <w:rPr>
                <w:rFonts w:cs="Arial"/>
                <w:lang w:val="en-AU" w:eastAsia="en-GB"/>
              </w:rPr>
            </w:pPr>
          </w:p>
        </w:tc>
        <w:tc>
          <w:tcPr>
            <w:tcW w:w="1701" w:type="dxa"/>
            <w:tcBorders>
              <w:top w:val="nil"/>
              <w:left w:val="nil"/>
              <w:bottom w:val="nil"/>
              <w:right w:val="nil"/>
            </w:tcBorders>
          </w:tcPr>
          <w:p w14:paraId="565DE733" w14:textId="77777777" w:rsidR="001265E9" w:rsidRPr="001265E9" w:rsidRDefault="001265E9" w:rsidP="001265E9">
            <w:pPr>
              <w:ind w:right="49"/>
              <w:jc w:val="right"/>
              <w:rPr>
                <w:rFonts w:cs="Arial"/>
                <w:lang w:val="en-AU" w:eastAsia="en-GB"/>
              </w:rPr>
            </w:pPr>
            <w:r w:rsidRPr="001265E9">
              <w:rPr>
                <w:rFonts w:cs="Arial"/>
                <w:lang w:val="en-AU" w:eastAsia="en-GB"/>
              </w:rPr>
              <w:t>════════</w:t>
            </w:r>
          </w:p>
        </w:tc>
        <w:tc>
          <w:tcPr>
            <w:tcW w:w="1701" w:type="dxa"/>
            <w:tcBorders>
              <w:top w:val="nil"/>
              <w:left w:val="nil"/>
              <w:bottom w:val="nil"/>
              <w:right w:val="nil"/>
            </w:tcBorders>
          </w:tcPr>
          <w:p w14:paraId="6B7B70A2" w14:textId="77777777" w:rsidR="001265E9" w:rsidRPr="001265E9" w:rsidRDefault="001265E9" w:rsidP="001265E9">
            <w:pPr>
              <w:ind w:right="49"/>
              <w:jc w:val="right"/>
              <w:rPr>
                <w:rFonts w:cs="Arial"/>
                <w:lang w:val="en-AU" w:eastAsia="en-GB"/>
              </w:rPr>
            </w:pPr>
            <w:r w:rsidRPr="001265E9">
              <w:rPr>
                <w:rFonts w:cs="Arial"/>
                <w:lang w:val="en-AU" w:eastAsia="en-GB"/>
              </w:rPr>
              <w:t>════════</w:t>
            </w:r>
          </w:p>
        </w:tc>
        <w:tc>
          <w:tcPr>
            <w:tcW w:w="1559" w:type="dxa"/>
            <w:tcBorders>
              <w:top w:val="nil"/>
              <w:left w:val="nil"/>
              <w:bottom w:val="nil"/>
              <w:right w:val="nil"/>
            </w:tcBorders>
          </w:tcPr>
          <w:p w14:paraId="799CE046" w14:textId="77777777" w:rsidR="001265E9" w:rsidRPr="001265E9" w:rsidRDefault="001265E9" w:rsidP="001265E9">
            <w:pPr>
              <w:ind w:right="49"/>
              <w:jc w:val="right"/>
              <w:rPr>
                <w:rFonts w:cs="Arial"/>
                <w:lang w:val="en-AU" w:eastAsia="en-GB"/>
              </w:rPr>
            </w:pPr>
            <w:r w:rsidRPr="001265E9">
              <w:rPr>
                <w:rFonts w:cs="Arial"/>
                <w:lang w:val="en-AU" w:eastAsia="en-GB"/>
              </w:rPr>
              <w:t>════════</w:t>
            </w:r>
          </w:p>
        </w:tc>
      </w:tr>
    </w:tbl>
    <w:p w14:paraId="5A4EFE0C" w14:textId="77777777" w:rsidR="00145EB9" w:rsidRPr="00631312" w:rsidRDefault="00BA7AAF" w:rsidP="00BA7AAF">
      <w:pPr>
        <w:jc w:val="center"/>
        <w:rPr>
          <w:b/>
        </w:rPr>
      </w:pPr>
      <w:r w:rsidRPr="00C328EF">
        <w:rPr>
          <w:b/>
          <w:highlight w:val="yellow"/>
        </w:rPr>
        <w:br w:type="page"/>
      </w:r>
      <w:r w:rsidR="00145EB9" w:rsidRPr="00631312">
        <w:rPr>
          <w:b/>
        </w:rPr>
        <w:lastRenderedPageBreak/>
        <w:t>TRANSPORT FOR EDINBURGH LIMITED</w:t>
      </w:r>
    </w:p>
    <w:p w14:paraId="23750AFF" w14:textId="77777777" w:rsidR="00145EB9" w:rsidRPr="00631312" w:rsidRDefault="00145EB9" w:rsidP="00145EB9">
      <w:pPr>
        <w:jc w:val="center"/>
        <w:rPr>
          <w:b/>
        </w:rPr>
      </w:pPr>
    </w:p>
    <w:p w14:paraId="5C339D0B" w14:textId="77777777" w:rsidR="00145EB9" w:rsidRPr="00631312" w:rsidRDefault="00145EB9" w:rsidP="00145EB9">
      <w:pPr>
        <w:jc w:val="center"/>
        <w:rPr>
          <w:b/>
        </w:rPr>
      </w:pPr>
      <w:r w:rsidRPr="00631312">
        <w:rPr>
          <w:b/>
        </w:rPr>
        <w:t>Notes to the Financial Statements (continued)</w:t>
      </w:r>
    </w:p>
    <w:p w14:paraId="431CA8FB" w14:textId="77777777" w:rsidR="00145EB9" w:rsidRPr="00631312" w:rsidRDefault="00145EB9" w:rsidP="00145EB9">
      <w:pPr>
        <w:jc w:val="center"/>
        <w:rPr>
          <w:b/>
        </w:rPr>
      </w:pPr>
    </w:p>
    <w:p w14:paraId="3D8B73EF" w14:textId="77777777" w:rsidR="00145EB9" w:rsidRPr="00AE607B" w:rsidRDefault="00D90B89" w:rsidP="00145EB9">
      <w:pPr>
        <w:jc w:val="center"/>
      </w:pPr>
      <w:r w:rsidRPr="00AE607B">
        <w:rPr>
          <w:b/>
        </w:rPr>
        <w:t>For the period ended 28 December 2024</w:t>
      </w:r>
    </w:p>
    <w:p w14:paraId="29EB6DFE" w14:textId="77777777" w:rsidR="00145EB9" w:rsidRPr="00AE607B" w:rsidRDefault="00145EB9" w:rsidP="00145EB9">
      <w:pPr>
        <w:rPr>
          <w:b/>
        </w:rPr>
      </w:pPr>
    </w:p>
    <w:p w14:paraId="47E77EC4" w14:textId="77777777" w:rsidR="00145EB9" w:rsidRPr="00AE607B" w:rsidRDefault="00145EB9" w:rsidP="00145EB9">
      <w:pPr>
        <w:rPr>
          <w:b/>
        </w:rPr>
      </w:pPr>
      <w:r w:rsidRPr="00AE607B">
        <w:rPr>
          <w:b/>
        </w:rPr>
        <w:t>2</w:t>
      </w:r>
      <w:r w:rsidR="00F72DA3">
        <w:rPr>
          <w:b/>
        </w:rPr>
        <w:t>6</w:t>
      </w:r>
      <w:r w:rsidRPr="00AE607B">
        <w:rPr>
          <w:b/>
        </w:rPr>
        <w:t>.</w:t>
      </w:r>
      <w:r w:rsidRPr="00AE607B">
        <w:rPr>
          <w:b/>
        </w:rPr>
        <w:tab/>
        <w:t>Financial risk management (continued)</w:t>
      </w:r>
    </w:p>
    <w:p w14:paraId="16F708B6" w14:textId="77777777" w:rsidR="00D6498C" w:rsidRPr="00AE607B" w:rsidRDefault="00D6498C" w:rsidP="007318EF">
      <w:pPr>
        <w:rPr>
          <w:rFonts w:cs="Arial"/>
          <w:b/>
          <w:iCs/>
        </w:rPr>
      </w:pPr>
    </w:p>
    <w:p w14:paraId="1E15E9FD" w14:textId="77777777" w:rsidR="003B1A17" w:rsidRPr="00820C65" w:rsidRDefault="003B1A17" w:rsidP="003B1A17">
      <w:pPr>
        <w:ind w:left="567" w:right="267"/>
        <w:rPr>
          <w:rFonts w:cs="Arial"/>
          <w:b/>
          <w:iCs/>
        </w:rPr>
      </w:pPr>
      <w:r w:rsidRPr="00820C65">
        <w:rPr>
          <w:rFonts w:cs="Arial"/>
          <w:b/>
          <w:iCs/>
        </w:rPr>
        <w:t>c.</w:t>
      </w:r>
      <w:r w:rsidRPr="00820C65">
        <w:rPr>
          <w:rFonts w:cs="Arial"/>
          <w:b/>
          <w:iCs/>
        </w:rPr>
        <w:tab/>
        <w:t xml:space="preserve">Market </w:t>
      </w:r>
      <w:r w:rsidR="00D0070A" w:rsidRPr="00820C65">
        <w:rPr>
          <w:rFonts w:cs="Arial"/>
          <w:b/>
          <w:iCs/>
        </w:rPr>
        <w:t>r</w:t>
      </w:r>
      <w:r w:rsidRPr="00820C65">
        <w:rPr>
          <w:rFonts w:cs="Arial"/>
          <w:b/>
          <w:iCs/>
        </w:rPr>
        <w:t>isk</w:t>
      </w:r>
    </w:p>
    <w:p w14:paraId="49BE4768" w14:textId="77777777" w:rsidR="00C029E5" w:rsidRPr="00820C65" w:rsidRDefault="00C029E5" w:rsidP="006309EE">
      <w:pPr>
        <w:autoSpaceDE w:val="0"/>
        <w:autoSpaceDN w:val="0"/>
        <w:adjustRightInd w:val="0"/>
        <w:rPr>
          <w:rFonts w:cs="Arial"/>
          <w:b/>
          <w:i/>
          <w:iCs/>
          <w:lang w:eastAsia="en-GB"/>
        </w:rPr>
      </w:pPr>
    </w:p>
    <w:p w14:paraId="23C638F9" w14:textId="77777777" w:rsidR="006309EE" w:rsidRPr="00820C65" w:rsidRDefault="006309EE" w:rsidP="004831CF">
      <w:pPr>
        <w:autoSpaceDE w:val="0"/>
        <w:autoSpaceDN w:val="0"/>
        <w:adjustRightInd w:val="0"/>
        <w:ind w:left="567"/>
        <w:rPr>
          <w:rFonts w:cs="Arial"/>
          <w:b/>
          <w:iCs/>
        </w:rPr>
      </w:pPr>
      <w:r w:rsidRPr="00820C65">
        <w:rPr>
          <w:rFonts w:cs="Arial"/>
          <w:b/>
          <w:iCs/>
        </w:rPr>
        <w:t>Fuel price risk</w:t>
      </w:r>
    </w:p>
    <w:p w14:paraId="06847A48" w14:textId="77777777" w:rsidR="006309EE" w:rsidRPr="00820C65" w:rsidRDefault="006309EE" w:rsidP="004831CF">
      <w:pPr>
        <w:autoSpaceDE w:val="0"/>
        <w:autoSpaceDN w:val="0"/>
        <w:adjustRightInd w:val="0"/>
        <w:ind w:left="567"/>
        <w:rPr>
          <w:rFonts w:cs="Arial"/>
          <w:b/>
          <w:lang w:eastAsia="en-GB"/>
        </w:rPr>
      </w:pPr>
    </w:p>
    <w:p w14:paraId="2353DD1F" w14:textId="77777777" w:rsidR="006309EE" w:rsidRPr="00820C65" w:rsidRDefault="006309EE" w:rsidP="004831CF">
      <w:pPr>
        <w:autoSpaceDE w:val="0"/>
        <w:autoSpaceDN w:val="0"/>
        <w:adjustRightInd w:val="0"/>
        <w:ind w:left="567"/>
        <w:jc w:val="both"/>
        <w:rPr>
          <w:rFonts w:cs="Arial"/>
          <w:lang w:eastAsia="en-GB"/>
        </w:rPr>
      </w:pPr>
      <w:r w:rsidRPr="00820C65">
        <w:rPr>
          <w:rFonts w:cs="Arial"/>
          <w:lang w:eastAsia="en-GB"/>
        </w:rPr>
        <w:t xml:space="preserve">The </w:t>
      </w:r>
      <w:r w:rsidR="00FC637A" w:rsidRPr="00820C65">
        <w:rPr>
          <w:rFonts w:cs="Arial"/>
          <w:lang w:eastAsia="en-GB"/>
        </w:rPr>
        <w:t>G</w:t>
      </w:r>
      <w:r w:rsidRPr="00820C65">
        <w:rPr>
          <w:rFonts w:cs="Arial"/>
          <w:lang w:eastAsia="en-GB"/>
        </w:rPr>
        <w:t>roup is ex</w:t>
      </w:r>
      <w:r w:rsidR="00BA7AAF" w:rsidRPr="00820C65">
        <w:rPr>
          <w:rFonts w:cs="Arial"/>
          <w:lang w:eastAsia="en-GB"/>
        </w:rPr>
        <w:t xml:space="preserve">posed to commodity price risk. </w:t>
      </w:r>
      <w:r w:rsidRPr="00820C65">
        <w:rPr>
          <w:rFonts w:cs="Arial"/>
          <w:lang w:eastAsia="en-GB"/>
        </w:rPr>
        <w:t xml:space="preserve">The </w:t>
      </w:r>
      <w:r w:rsidR="00FC637A" w:rsidRPr="00820C65">
        <w:rPr>
          <w:rFonts w:cs="Arial"/>
          <w:lang w:eastAsia="en-GB"/>
        </w:rPr>
        <w:t>G</w:t>
      </w:r>
      <w:r w:rsidRPr="00820C65">
        <w:rPr>
          <w:rFonts w:cs="Arial"/>
          <w:lang w:eastAsia="en-GB"/>
        </w:rPr>
        <w:t xml:space="preserve">roup’s operations as at </w:t>
      </w:r>
      <w:r w:rsidR="00D67CB6">
        <w:rPr>
          <w:rFonts w:cs="Arial"/>
          <w:lang w:eastAsia="en-GB"/>
        </w:rPr>
        <w:t>28</w:t>
      </w:r>
      <w:r w:rsidRPr="00820C65">
        <w:rPr>
          <w:rFonts w:cs="Arial"/>
          <w:lang w:eastAsia="en-GB"/>
        </w:rPr>
        <w:t xml:space="preserve"> December 20</w:t>
      </w:r>
      <w:r w:rsidR="00CA350F" w:rsidRPr="00820C65">
        <w:rPr>
          <w:rFonts w:cs="Arial"/>
          <w:lang w:eastAsia="en-GB"/>
        </w:rPr>
        <w:t>2</w:t>
      </w:r>
      <w:r w:rsidR="00820C65">
        <w:rPr>
          <w:rFonts w:cs="Arial"/>
          <w:lang w:eastAsia="en-GB"/>
        </w:rPr>
        <w:t>4</w:t>
      </w:r>
      <w:r w:rsidRPr="00820C65">
        <w:rPr>
          <w:rFonts w:cs="Arial"/>
          <w:lang w:eastAsia="en-GB"/>
        </w:rPr>
        <w:t xml:space="preserve"> consume </w:t>
      </w:r>
      <w:r w:rsidRPr="000A1337">
        <w:rPr>
          <w:rFonts w:cs="Arial"/>
          <w:lang w:eastAsia="en-GB"/>
        </w:rPr>
        <w:t xml:space="preserve">approximately </w:t>
      </w:r>
      <w:r w:rsidR="000A1337" w:rsidRPr="000A1337">
        <w:rPr>
          <w:rFonts w:cs="Arial"/>
          <w:lang w:eastAsia="en-GB"/>
        </w:rPr>
        <w:t>20</w:t>
      </w:r>
      <w:r w:rsidR="00161C7C" w:rsidRPr="000A1337">
        <w:rPr>
          <w:rFonts w:cs="Arial"/>
          <w:lang w:eastAsia="en-GB"/>
        </w:rPr>
        <w:t>.</w:t>
      </w:r>
      <w:r w:rsidR="000A1337" w:rsidRPr="000A1337">
        <w:rPr>
          <w:rFonts w:cs="Arial"/>
          <w:lang w:eastAsia="en-GB"/>
        </w:rPr>
        <w:t>35</w:t>
      </w:r>
      <w:r w:rsidRPr="000A1337">
        <w:rPr>
          <w:rFonts w:cs="Arial"/>
          <w:lang w:eastAsia="en-GB"/>
        </w:rPr>
        <w:t>m litres</w:t>
      </w:r>
      <w:r w:rsidRPr="00820C65">
        <w:rPr>
          <w:rFonts w:cs="Arial"/>
          <w:lang w:eastAsia="en-GB"/>
        </w:rPr>
        <w:t xml:space="preserve"> of diesel fuel per annum. As a result, the </w:t>
      </w:r>
      <w:r w:rsidR="00FC637A" w:rsidRPr="00820C65">
        <w:rPr>
          <w:rFonts w:cs="Arial"/>
          <w:lang w:eastAsia="en-GB"/>
        </w:rPr>
        <w:t>G</w:t>
      </w:r>
      <w:r w:rsidRPr="00820C65">
        <w:rPr>
          <w:rFonts w:cs="Arial"/>
          <w:lang w:eastAsia="en-GB"/>
        </w:rPr>
        <w:t xml:space="preserve">roup’s </w:t>
      </w:r>
      <w:r w:rsidR="00BC3E73" w:rsidRPr="00820C65">
        <w:rPr>
          <w:rFonts w:cs="Arial"/>
          <w:lang w:eastAsia="en-GB"/>
        </w:rPr>
        <w:t>results</w:t>
      </w:r>
      <w:r w:rsidRPr="00820C65">
        <w:rPr>
          <w:rFonts w:cs="Arial"/>
          <w:lang w:eastAsia="en-GB"/>
        </w:rPr>
        <w:t xml:space="preserve"> </w:t>
      </w:r>
      <w:r w:rsidR="00BC3E73" w:rsidRPr="00820C65">
        <w:rPr>
          <w:rFonts w:cs="Arial"/>
          <w:lang w:eastAsia="en-GB"/>
        </w:rPr>
        <w:t>are</w:t>
      </w:r>
      <w:r w:rsidRPr="00820C65">
        <w:rPr>
          <w:rFonts w:cs="Arial"/>
          <w:lang w:eastAsia="en-GB"/>
        </w:rPr>
        <w:t xml:space="preserve"> exposed to movements in the underlying price of fuel.</w:t>
      </w:r>
      <w:r w:rsidR="000B7005" w:rsidRPr="00820C65">
        <w:rPr>
          <w:rFonts w:cs="Arial"/>
          <w:lang w:eastAsia="en-GB"/>
        </w:rPr>
        <w:t xml:space="preserve"> </w:t>
      </w:r>
      <w:r w:rsidR="00C530B4" w:rsidRPr="00820C65">
        <w:rPr>
          <w:rFonts w:cs="Arial"/>
          <w:lang w:eastAsia="en-GB"/>
        </w:rPr>
        <w:t xml:space="preserve">During the </w:t>
      </w:r>
      <w:r w:rsidR="0011148E">
        <w:rPr>
          <w:rFonts w:cs="Arial"/>
          <w:lang w:eastAsia="en-GB"/>
        </w:rPr>
        <w:t>period</w:t>
      </w:r>
      <w:r w:rsidR="00C530B4" w:rsidRPr="00820C65">
        <w:rPr>
          <w:rFonts w:cs="Arial"/>
          <w:lang w:eastAsia="en-GB"/>
        </w:rPr>
        <w:t xml:space="preserve"> however, all of this diesel fuel was hedged with none being exposed to fuel price volatility.</w:t>
      </w:r>
    </w:p>
    <w:p w14:paraId="6356B43E" w14:textId="77777777" w:rsidR="00C530B4" w:rsidRPr="00820C65" w:rsidRDefault="00C530B4" w:rsidP="004831CF">
      <w:pPr>
        <w:autoSpaceDE w:val="0"/>
        <w:autoSpaceDN w:val="0"/>
        <w:adjustRightInd w:val="0"/>
        <w:ind w:left="567"/>
        <w:jc w:val="both"/>
        <w:rPr>
          <w:rFonts w:cs="Arial"/>
          <w:lang w:eastAsia="en-GB"/>
        </w:rPr>
      </w:pPr>
    </w:p>
    <w:p w14:paraId="104DA164" w14:textId="77777777" w:rsidR="006309EE" w:rsidRPr="00820C65" w:rsidRDefault="006309EE" w:rsidP="004831CF">
      <w:pPr>
        <w:autoSpaceDE w:val="0"/>
        <w:autoSpaceDN w:val="0"/>
        <w:adjustRightInd w:val="0"/>
        <w:ind w:left="567"/>
        <w:jc w:val="both"/>
        <w:rPr>
          <w:rFonts w:cs="Arial"/>
          <w:lang w:eastAsia="en-GB"/>
        </w:rPr>
      </w:pPr>
      <w:r w:rsidRPr="00820C65">
        <w:rPr>
          <w:rFonts w:cs="Arial"/>
          <w:lang w:eastAsia="en-GB"/>
        </w:rPr>
        <w:t xml:space="preserve">The </w:t>
      </w:r>
      <w:r w:rsidR="00FC637A" w:rsidRPr="00820C65">
        <w:rPr>
          <w:rFonts w:cs="Arial"/>
          <w:lang w:eastAsia="en-GB"/>
        </w:rPr>
        <w:t>G</w:t>
      </w:r>
      <w:r w:rsidRPr="00820C65">
        <w:rPr>
          <w:rFonts w:cs="Arial"/>
          <w:lang w:eastAsia="en-GB"/>
        </w:rPr>
        <w:t xml:space="preserve">roup’s objective in managing commodity price risk is to reduce the risk that movements in fuel prices result in adverse movements in its </w:t>
      </w:r>
      <w:r w:rsidR="00BC3E73" w:rsidRPr="00820C65">
        <w:rPr>
          <w:rFonts w:cs="Arial"/>
          <w:lang w:eastAsia="en-GB"/>
        </w:rPr>
        <w:t>results</w:t>
      </w:r>
      <w:r w:rsidRPr="00820C65">
        <w:rPr>
          <w:rFonts w:cs="Arial"/>
          <w:lang w:eastAsia="en-GB"/>
        </w:rPr>
        <w:t xml:space="preserve"> and cash flow. The </w:t>
      </w:r>
      <w:r w:rsidR="00FC637A" w:rsidRPr="00820C65">
        <w:rPr>
          <w:rFonts w:cs="Arial"/>
          <w:lang w:eastAsia="en-GB"/>
        </w:rPr>
        <w:t>G</w:t>
      </w:r>
      <w:r w:rsidRPr="00820C65">
        <w:rPr>
          <w:rFonts w:cs="Arial"/>
          <w:lang w:eastAsia="en-GB"/>
        </w:rPr>
        <w:t>roup has a policy of managing the volatility in its fuel costs by maintaining an advance contracting strategy to fix the cost of fuel through a derivative financial instrument.</w:t>
      </w:r>
    </w:p>
    <w:p w14:paraId="0D353E44" w14:textId="77777777" w:rsidR="006309EE" w:rsidRPr="00820C65" w:rsidRDefault="006309EE" w:rsidP="004831CF">
      <w:pPr>
        <w:autoSpaceDE w:val="0"/>
        <w:autoSpaceDN w:val="0"/>
        <w:adjustRightInd w:val="0"/>
        <w:ind w:left="567"/>
        <w:rPr>
          <w:rFonts w:cs="Arial"/>
          <w:lang w:eastAsia="en-GB"/>
        </w:rPr>
      </w:pPr>
    </w:p>
    <w:p w14:paraId="4EA26E60" w14:textId="77777777" w:rsidR="006309EE" w:rsidRPr="00C328EF" w:rsidRDefault="003E6448" w:rsidP="004831CF">
      <w:pPr>
        <w:autoSpaceDE w:val="0"/>
        <w:autoSpaceDN w:val="0"/>
        <w:adjustRightInd w:val="0"/>
        <w:ind w:left="567"/>
        <w:jc w:val="both"/>
        <w:rPr>
          <w:rFonts w:cs="Arial"/>
          <w:highlight w:val="yellow"/>
          <w:lang w:eastAsia="en-GB"/>
        </w:rPr>
      </w:pPr>
      <w:r w:rsidRPr="00820C65">
        <w:rPr>
          <w:rFonts w:cs="Arial"/>
          <w:lang w:eastAsia="en-GB"/>
        </w:rPr>
        <w:t xml:space="preserve">At the settlement date of the contract, where the price of fuel is below the agreed contract price, the </w:t>
      </w:r>
      <w:r w:rsidR="00FC637A" w:rsidRPr="00820C65">
        <w:rPr>
          <w:rFonts w:cs="Arial"/>
          <w:lang w:eastAsia="en-GB"/>
        </w:rPr>
        <w:t>G</w:t>
      </w:r>
      <w:r w:rsidRPr="00820C65">
        <w:rPr>
          <w:rFonts w:cs="Arial"/>
          <w:lang w:eastAsia="en-GB"/>
        </w:rPr>
        <w:t xml:space="preserve">roup are liable for the difference in price for the volume of the commodity agreed in the contract.  Where the value of the commodity is above the price agreed, the </w:t>
      </w:r>
      <w:r w:rsidR="00FC637A" w:rsidRPr="00820C65">
        <w:rPr>
          <w:rFonts w:cs="Arial"/>
          <w:lang w:eastAsia="en-GB"/>
        </w:rPr>
        <w:t>G</w:t>
      </w:r>
      <w:r w:rsidRPr="00820C65">
        <w:rPr>
          <w:rFonts w:cs="Arial"/>
          <w:lang w:eastAsia="en-GB"/>
        </w:rPr>
        <w:t>roup have a financial asset based on the difference in price over the volu</w:t>
      </w:r>
      <w:r w:rsidR="00BA7AAF" w:rsidRPr="00820C65">
        <w:rPr>
          <w:rFonts w:cs="Arial"/>
          <w:lang w:eastAsia="en-GB"/>
        </w:rPr>
        <w:t xml:space="preserve">me of the contract. </w:t>
      </w:r>
      <w:r w:rsidRPr="00820C65">
        <w:rPr>
          <w:rFonts w:cs="Arial"/>
          <w:lang w:eastAsia="en-GB"/>
        </w:rPr>
        <w:t>The net cash flows on settlement of the contracts are paid or rece</w:t>
      </w:r>
      <w:r w:rsidR="00BA7AAF" w:rsidRPr="00820C65">
        <w:rPr>
          <w:rFonts w:cs="Arial"/>
          <w:lang w:eastAsia="en-GB"/>
        </w:rPr>
        <w:t xml:space="preserve">ived at the end of each month. </w:t>
      </w:r>
      <w:r w:rsidRPr="00820C65">
        <w:rPr>
          <w:rFonts w:cs="Arial"/>
          <w:lang w:eastAsia="en-GB"/>
        </w:rPr>
        <w:t>The swap agreements carrying value is exposed to the movement in</w:t>
      </w:r>
      <w:r w:rsidR="00BA7AAF" w:rsidRPr="00820C65">
        <w:rPr>
          <w:rFonts w:cs="Arial"/>
          <w:lang w:eastAsia="en-GB"/>
        </w:rPr>
        <w:t xml:space="preserve"> the underlying price of fuel. </w:t>
      </w:r>
      <w:r w:rsidRPr="00820C65">
        <w:rPr>
          <w:rFonts w:cs="Arial"/>
          <w:lang w:eastAsia="en-GB"/>
        </w:rPr>
        <w:t xml:space="preserve">Consequently, the </w:t>
      </w:r>
      <w:r w:rsidR="00FC637A" w:rsidRPr="00820C65">
        <w:rPr>
          <w:rFonts w:cs="Arial"/>
          <w:lang w:eastAsia="en-GB"/>
        </w:rPr>
        <w:t>G</w:t>
      </w:r>
      <w:r w:rsidRPr="00820C65">
        <w:rPr>
          <w:rFonts w:cs="Arial"/>
          <w:lang w:eastAsia="en-GB"/>
        </w:rPr>
        <w:t xml:space="preserve">roup’s </w:t>
      </w:r>
      <w:r w:rsidR="00BC3E73" w:rsidRPr="00820C65">
        <w:rPr>
          <w:rFonts w:cs="Arial"/>
          <w:lang w:eastAsia="en-GB"/>
        </w:rPr>
        <w:t>results</w:t>
      </w:r>
      <w:r w:rsidRPr="00820C65">
        <w:rPr>
          <w:rFonts w:cs="Arial"/>
          <w:lang w:eastAsia="en-GB"/>
        </w:rPr>
        <w:t xml:space="preserve"> </w:t>
      </w:r>
      <w:r w:rsidR="00BC3E73" w:rsidRPr="00820C65">
        <w:rPr>
          <w:rFonts w:cs="Arial"/>
          <w:lang w:eastAsia="en-GB"/>
        </w:rPr>
        <w:t>are</w:t>
      </w:r>
      <w:r w:rsidRPr="00820C65">
        <w:rPr>
          <w:rFonts w:cs="Arial"/>
          <w:lang w:eastAsia="en-GB"/>
        </w:rPr>
        <w:t xml:space="preserve"> exposed as movements in the contract value are taken through the Statement of </w:t>
      </w:r>
      <w:r w:rsidR="000B7005" w:rsidRPr="00820C65">
        <w:rPr>
          <w:rFonts w:cs="Arial"/>
          <w:lang w:eastAsia="en-GB"/>
        </w:rPr>
        <w:t xml:space="preserve">Other </w:t>
      </w:r>
      <w:r w:rsidR="00BA7AAF" w:rsidRPr="00820C65">
        <w:rPr>
          <w:rFonts w:cs="Arial"/>
          <w:lang w:eastAsia="en-GB"/>
        </w:rPr>
        <w:t xml:space="preserve">Comprehensive </w:t>
      </w:r>
      <w:r w:rsidR="00BA7AAF" w:rsidRPr="000A1337">
        <w:rPr>
          <w:rFonts w:cs="Arial"/>
          <w:lang w:eastAsia="en-GB"/>
        </w:rPr>
        <w:t xml:space="preserve">Income. </w:t>
      </w:r>
      <w:r w:rsidR="00433A27" w:rsidRPr="000A1337">
        <w:rPr>
          <w:rFonts w:cs="Arial"/>
          <w:lang w:eastAsia="en-GB"/>
        </w:rPr>
        <w:t xml:space="preserve">A 1p </w:t>
      </w:r>
      <w:r w:rsidR="000A1337" w:rsidRPr="000A1337">
        <w:rPr>
          <w:rFonts w:cs="Arial"/>
          <w:lang w:eastAsia="en-GB"/>
        </w:rPr>
        <w:t>in</w:t>
      </w:r>
      <w:r w:rsidR="00433A27" w:rsidRPr="000A1337">
        <w:rPr>
          <w:rFonts w:cs="Arial"/>
          <w:lang w:eastAsia="en-GB"/>
        </w:rPr>
        <w:t xml:space="preserve">crease in </w:t>
      </w:r>
      <w:r w:rsidR="00433A27" w:rsidRPr="00820C65">
        <w:rPr>
          <w:rFonts w:cs="Arial"/>
          <w:lang w:eastAsia="en-GB"/>
        </w:rPr>
        <w:t xml:space="preserve">the underlying </w:t>
      </w:r>
      <w:r w:rsidR="00433A27" w:rsidRPr="000A1337">
        <w:rPr>
          <w:rFonts w:cs="Arial"/>
          <w:lang w:eastAsia="en-GB"/>
        </w:rPr>
        <w:t xml:space="preserve">price of fuel </w:t>
      </w:r>
      <w:r w:rsidR="000A1337" w:rsidRPr="000A1337">
        <w:rPr>
          <w:rFonts w:cs="Arial"/>
          <w:lang w:eastAsia="en-GB"/>
        </w:rPr>
        <w:t>in</w:t>
      </w:r>
      <w:r w:rsidR="00433A27" w:rsidRPr="000A1337">
        <w:rPr>
          <w:rFonts w:cs="Arial"/>
          <w:lang w:eastAsia="en-GB"/>
        </w:rPr>
        <w:t xml:space="preserve">creases the overall net </w:t>
      </w:r>
      <w:r w:rsidR="00F8101D" w:rsidRPr="000A1337">
        <w:rPr>
          <w:rFonts w:cs="Arial"/>
          <w:lang w:eastAsia="en-GB"/>
        </w:rPr>
        <w:t>asset</w:t>
      </w:r>
      <w:r w:rsidR="00433A27" w:rsidRPr="000A1337">
        <w:rPr>
          <w:rFonts w:cs="Arial"/>
          <w:lang w:eastAsia="en-GB"/>
        </w:rPr>
        <w:t xml:space="preserve"> of the fixed contracts by approximately £</w:t>
      </w:r>
      <w:r w:rsidR="0042110F" w:rsidRPr="000A1337">
        <w:rPr>
          <w:rFonts w:cs="Arial"/>
          <w:lang w:eastAsia="en-GB"/>
        </w:rPr>
        <w:t>3</w:t>
      </w:r>
      <w:r w:rsidR="000A1337" w:rsidRPr="000A1337">
        <w:rPr>
          <w:rFonts w:cs="Arial"/>
          <w:lang w:eastAsia="en-GB"/>
        </w:rPr>
        <w:t>5</w:t>
      </w:r>
      <w:r w:rsidR="00433A27" w:rsidRPr="000A1337">
        <w:rPr>
          <w:rFonts w:cs="Arial"/>
          <w:lang w:eastAsia="en-GB"/>
        </w:rPr>
        <w:t>0,000</w:t>
      </w:r>
      <w:r w:rsidR="00C405EA" w:rsidRPr="000A1337">
        <w:rPr>
          <w:rFonts w:cs="Arial"/>
          <w:lang w:eastAsia="en-GB"/>
        </w:rPr>
        <w:t>. Likewise</w:t>
      </w:r>
      <w:r w:rsidR="00A637F0" w:rsidRPr="000A1337">
        <w:rPr>
          <w:rFonts w:cs="Arial"/>
          <w:lang w:eastAsia="en-GB"/>
        </w:rPr>
        <w:t>, if the price</w:t>
      </w:r>
      <w:r w:rsidR="00A637F0" w:rsidRPr="00820C65">
        <w:rPr>
          <w:rFonts w:cs="Arial"/>
          <w:lang w:eastAsia="en-GB"/>
        </w:rPr>
        <w:t xml:space="preserve"> of </w:t>
      </w:r>
      <w:r w:rsidR="00A637F0" w:rsidRPr="000A1337">
        <w:rPr>
          <w:rFonts w:cs="Arial"/>
          <w:lang w:eastAsia="en-GB"/>
        </w:rPr>
        <w:t xml:space="preserve">fuel was to </w:t>
      </w:r>
      <w:r w:rsidR="000A1337" w:rsidRPr="000A1337">
        <w:rPr>
          <w:rFonts w:cs="Arial"/>
          <w:lang w:eastAsia="en-GB"/>
        </w:rPr>
        <w:t>de</w:t>
      </w:r>
      <w:r w:rsidR="00A637F0" w:rsidRPr="000A1337">
        <w:rPr>
          <w:rFonts w:cs="Arial"/>
          <w:lang w:eastAsia="en-GB"/>
        </w:rPr>
        <w:t xml:space="preserve">crease </w:t>
      </w:r>
      <w:r w:rsidR="000A1337" w:rsidRPr="000A1337">
        <w:rPr>
          <w:rFonts w:cs="Arial"/>
          <w:lang w:eastAsia="en-GB"/>
        </w:rPr>
        <w:t>below</w:t>
      </w:r>
      <w:r w:rsidR="00A637F0" w:rsidRPr="000A1337">
        <w:rPr>
          <w:rFonts w:cs="Arial"/>
          <w:lang w:eastAsia="en-GB"/>
        </w:rPr>
        <w:t xml:space="preserve"> the underlying price of the contracts, then this would result in a </w:t>
      </w:r>
      <w:r w:rsidR="000A1337" w:rsidRPr="000A1337">
        <w:rPr>
          <w:rFonts w:cs="Arial"/>
          <w:lang w:eastAsia="en-GB"/>
        </w:rPr>
        <w:t>de</w:t>
      </w:r>
      <w:r w:rsidR="00A637F0" w:rsidRPr="000A1337">
        <w:rPr>
          <w:rFonts w:cs="Arial"/>
          <w:lang w:eastAsia="en-GB"/>
        </w:rPr>
        <w:t>crease in the o</w:t>
      </w:r>
      <w:r w:rsidR="00A637F0" w:rsidRPr="00820C65">
        <w:rPr>
          <w:rFonts w:cs="Arial"/>
          <w:lang w:eastAsia="en-GB"/>
        </w:rPr>
        <w:t xml:space="preserve">verall net </w:t>
      </w:r>
      <w:r w:rsidR="00433A27" w:rsidRPr="00820C65">
        <w:rPr>
          <w:rFonts w:cs="Arial"/>
          <w:lang w:eastAsia="en-GB"/>
        </w:rPr>
        <w:t>asset</w:t>
      </w:r>
      <w:r w:rsidR="00A637F0" w:rsidRPr="00820C65">
        <w:rPr>
          <w:rFonts w:cs="Arial"/>
          <w:lang w:eastAsia="en-GB"/>
        </w:rPr>
        <w:t>.</w:t>
      </w:r>
      <w:r w:rsidR="006309EE" w:rsidRPr="00820C65">
        <w:rPr>
          <w:rFonts w:cs="Arial"/>
          <w:lang w:eastAsia="en-GB"/>
        </w:rPr>
        <w:t xml:space="preserve"> </w:t>
      </w:r>
    </w:p>
    <w:p w14:paraId="48713124" w14:textId="77777777" w:rsidR="006309EE" w:rsidRPr="00C328EF" w:rsidRDefault="006309EE" w:rsidP="004831CF">
      <w:pPr>
        <w:autoSpaceDE w:val="0"/>
        <w:autoSpaceDN w:val="0"/>
        <w:adjustRightInd w:val="0"/>
        <w:ind w:left="567"/>
        <w:jc w:val="both"/>
        <w:rPr>
          <w:rFonts w:cs="Arial"/>
          <w:highlight w:val="yellow"/>
          <w:lang w:eastAsia="en-GB"/>
        </w:rPr>
      </w:pPr>
    </w:p>
    <w:p w14:paraId="39770ADE" w14:textId="77777777" w:rsidR="00FC77F3" w:rsidRPr="00820C65" w:rsidRDefault="004831CF" w:rsidP="004831CF">
      <w:pPr>
        <w:autoSpaceDE w:val="0"/>
        <w:autoSpaceDN w:val="0"/>
        <w:adjustRightInd w:val="0"/>
        <w:ind w:left="567"/>
        <w:jc w:val="both"/>
        <w:rPr>
          <w:rFonts w:cs="Arial"/>
          <w:lang w:eastAsia="en-GB"/>
        </w:rPr>
      </w:pPr>
      <w:r w:rsidRPr="00820C65">
        <w:rPr>
          <w:rFonts w:eastAsia="Calibri" w:cs="Arial"/>
          <w:lang w:eastAsia="en-GB"/>
        </w:rPr>
        <w:t>However, the impact through the Group’s Statement of Other Comprehensive Income would be offset by the impact of price fluctuations on the total costs incurred in purchasing the commodity. Any gain or loss on the fuel price contract will partly offset the corresponding impact of price increases/decreases of fuel. There is an economic relationship between the hedged items and the hedging instruments as the terms of commodity swap contracts match the terms of the expected forecast transactions (i.e., notional amount and expected payment date). The Group has established a hedge ratio of 0.55:1 for the hedging relationships as per existing hedge strategy the group protects that friction of their expected exposure to the risk components. To test the hedge effectiveness, the Group uses the hypothetical derivative method and compares the changes in the fair value of the hedging instruments against the changes in fair value of the hedged items attributable to the hedged risks. The hedge ineffectiveness can arise from changes to the forecasted amount of cash flows of hedged items and hedging instruments.</w:t>
      </w:r>
    </w:p>
    <w:p w14:paraId="26E8C9DB" w14:textId="77777777" w:rsidR="00FC77F3" w:rsidRPr="00631312" w:rsidRDefault="00FC77F3" w:rsidP="004831CF">
      <w:pPr>
        <w:autoSpaceDE w:val="0"/>
        <w:autoSpaceDN w:val="0"/>
        <w:adjustRightInd w:val="0"/>
        <w:ind w:left="567"/>
        <w:jc w:val="center"/>
        <w:rPr>
          <w:b/>
        </w:rPr>
      </w:pPr>
      <w:r w:rsidRPr="00C328EF">
        <w:rPr>
          <w:rFonts w:cs="Arial"/>
          <w:highlight w:val="yellow"/>
          <w:lang w:eastAsia="en-GB"/>
        </w:rPr>
        <w:br w:type="page"/>
      </w:r>
      <w:r w:rsidRPr="00631312">
        <w:rPr>
          <w:b/>
        </w:rPr>
        <w:lastRenderedPageBreak/>
        <w:t>TRANSPORT FOR EDINBURGH LIMITED</w:t>
      </w:r>
    </w:p>
    <w:p w14:paraId="4B949CEA" w14:textId="77777777" w:rsidR="00FC77F3" w:rsidRPr="00631312" w:rsidRDefault="00FC77F3" w:rsidP="00FC77F3">
      <w:pPr>
        <w:jc w:val="center"/>
        <w:rPr>
          <w:b/>
        </w:rPr>
      </w:pPr>
    </w:p>
    <w:p w14:paraId="1F54AC5B" w14:textId="77777777" w:rsidR="00FC77F3" w:rsidRPr="00631312" w:rsidRDefault="00FC77F3" w:rsidP="00FC77F3">
      <w:pPr>
        <w:jc w:val="center"/>
        <w:rPr>
          <w:b/>
        </w:rPr>
      </w:pPr>
      <w:r w:rsidRPr="00631312">
        <w:rPr>
          <w:b/>
        </w:rPr>
        <w:t>Notes to the Financial Statements (continued)</w:t>
      </w:r>
    </w:p>
    <w:p w14:paraId="0E64CF64" w14:textId="77777777" w:rsidR="00FC77F3" w:rsidRPr="00631312" w:rsidRDefault="00FC77F3" w:rsidP="00FC77F3">
      <w:pPr>
        <w:jc w:val="center"/>
        <w:rPr>
          <w:b/>
        </w:rPr>
      </w:pPr>
    </w:p>
    <w:p w14:paraId="4C74E8DF" w14:textId="77777777" w:rsidR="00FC77F3" w:rsidRPr="00631312" w:rsidRDefault="00D90B89" w:rsidP="00FC77F3">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r w:rsidR="00FC77F3" w:rsidRPr="00631312">
        <w:t xml:space="preserve"> </w:t>
      </w:r>
    </w:p>
    <w:p w14:paraId="3C16A008" w14:textId="77777777" w:rsidR="004B14BB" w:rsidRPr="00AE607B" w:rsidRDefault="004B14BB" w:rsidP="006309EE">
      <w:pPr>
        <w:autoSpaceDE w:val="0"/>
        <w:autoSpaceDN w:val="0"/>
        <w:adjustRightInd w:val="0"/>
        <w:jc w:val="both"/>
        <w:rPr>
          <w:rFonts w:cs="Arial"/>
          <w:b/>
        </w:rPr>
      </w:pPr>
    </w:p>
    <w:p w14:paraId="4B0637C2" w14:textId="77777777" w:rsidR="006309EE" w:rsidRPr="00AE607B" w:rsidRDefault="006309EE" w:rsidP="006309EE">
      <w:pPr>
        <w:autoSpaceDE w:val="0"/>
        <w:autoSpaceDN w:val="0"/>
        <w:adjustRightInd w:val="0"/>
        <w:jc w:val="both"/>
        <w:rPr>
          <w:rFonts w:cs="Arial"/>
          <w:b/>
        </w:rPr>
      </w:pPr>
      <w:r w:rsidRPr="00AE607B">
        <w:rPr>
          <w:rFonts w:cs="Arial"/>
          <w:b/>
        </w:rPr>
        <w:t>2</w:t>
      </w:r>
      <w:r w:rsidR="002E39A1">
        <w:rPr>
          <w:rFonts w:cs="Arial"/>
          <w:b/>
        </w:rPr>
        <w:t>7</w:t>
      </w:r>
      <w:r w:rsidRPr="00AE607B">
        <w:rPr>
          <w:rFonts w:cs="Arial"/>
          <w:b/>
        </w:rPr>
        <w:t xml:space="preserve">.    </w:t>
      </w:r>
      <w:r w:rsidR="00AF28E4" w:rsidRPr="00AE607B">
        <w:rPr>
          <w:rFonts w:cs="Arial"/>
          <w:b/>
        </w:rPr>
        <w:t>D</w:t>
      </w:r>
      <w:r w:rsidRPr="00AE607B">
        <w:rPr>
          <w:rFonts w:cs="Arial"/>
          <w:b/>
        </w:rPr>
        <w:t>erivative</w:t>
      </w:r>
      <w:r w:rsidR="00AF28E4" w:rsidRPr="00AE607B">
        <w:rPr>
          <w:rFonts w:cs="Arial"/>
          <w:b/>
        </w:rPr>
        <w:t xml:space="preserve"> financial i</w:t>
      </w:r>
      <w:r w:rsidRPr="00AE607B">
        <w:rPr>
          <w:rFonts w:cs="Arial"/>
          <w:b/>
        </w:rPr>
        <w:t>nstruments</w:t>
      </w:r>
    </w:p>
    <w:p w14:paraId="4895FA0C" w14:textId="77777777" w:rsidR="00595566" w:rsidRPr="00AE607B" w:rsidRDefault="00595566" w:rsidP="00CA4833">
      <w:pPr>
        <w:autoSpaceDE w:val="0"/>
        <w:autoSpaceDN w:val="0"/>
        <w:adjustRightInd w:val="0"/>
        <w:jc w:val="both"/>
        <w:rPr>
          <w:rFonts w:cs="Arial"/>
          <w:lang w:eastAsia="en-GB"/>
        </w:rPr>
      </w:pPr>
    </w:p>
    <w:p w14:paraId="3CA67FC4" w14:textId="77777777" w:rsidR="006309EE" w:rsidRPr="00631312" w:rsidRDefault="00AF28E4" w:rsidP="006309EE">
      <w:pPr>
        <w:autoSpaceDE w:val="0"/>
        <w:autoSpaceDN w:val="0"/>
        <w:adjustRightInd w:val="0"/>
        <w:jc w:val="both"/>
        <w:rPr>
          <w:rFonts w:cs="Arial"/>
          <w:lang w:eastAsia="en-GB"/>
        </w:rPr>
      </w:pPr>
      <w:r w:rsidRPr="00631312">
        <w:rPr>
          <w:rFonts w:cs="Arial"/>
          <w:lang w:eastAsia="en-GB"/>
        </w:rPr>
        <w:t>Derivative f</w:t>
      </w:r>
      <w:r w:rsidR="006309EE" w:rsidRPr="00631312">
        <w:rPr>
          <w:rFonts w:cs="Arial"/>
          <w:lang w:eastAsia="en-GB"/>
        </w:rPr>
        <w:t>inancial instruments that are measured in the balance sheet at fair value are disclosed by level of the following fair value measurement hierarchy:</w:t>
      </w:r>
    </w:p>
    <w:p w14:paraId="5A806123" w14:textId="77777777" w:rsidR="006309EE" w:rsidRPr="00631312" w:rsidRDefault="006309EE" w:rsidP="006309EE">
      <w:pPr>
        <w:autoSpaceDE w:val="0"/>
        <w:autoSpaceDN w:val="0"/>
        <w:adjustRightInd w:val="0"/>
        <w:jc w:val="both"/>
        <w:rPr>
          <w:rFonts w:cs="Arial"/>
          <w:lang w:eastAsia="en-GB"/>
        </w:rPr>
      </w:pPr>
    </w:p>
    <w:p w14:paraId="0A1B5AE1" w14:textId="77777777" w:rsidR="006309EE" w:rsidRPr="00631312" w:rsidRDefault="006309EE" w:rsidP="006309EE">
      <w:pPr>
        <w:autoSpaceDE w:val="0"/>
        <w:autoSpaceDN w:val="0"/>
        <w:adjustRightInd w:val="0"/>
        <w:jc w:val="both"/>
        <w:rPr>
          <w:rFonts w:cs="Arial"/>
          <w:lang w:eastAsia="en-GB"/>
        </w:rPr>
      </w:pPr>
      <w:r w:rsidRPr="00631312">
        <w:rPr>
          <w:rFonts w:cs="Arial"/>
          <w:lang w:eastAsia="en-GB"/>
        </w:rPr>
        <w:t>Level 1 – Quoted prices (unadjusted) in active markets for identical assets or liabilities.</w:t>
      </w:r>
    </w:p>
    <w:p w14:paraId="567A1113" w14:textId="77777777" w:rsidR="006309EE" w:rsidRPr="00631312" w:rsidRDefault="006309EE" w:rsidP="006309EE">
      <w:pPr>
        <w:autoSpaceDE w:val="0"/>
        <w:autoSpaceDN w:val="0"/>
        <w:adjustRightInd w:val="0"/>
        <w:jc w:val="both"/>
        <w:rPr>
          <w:rFonts w:cs="Arial"/>
          <w:lang w:eastAsia="en-GB"/>
        </w:rPr>
      </w:pPr>
    </w:p>
    <w:p w14:paraId="23EDED9B" w14:textId="77777777" w:rsidR="006309EE" w:rsidRPr="00631312" w:rsidRDefault="006309EE" w:rsidP="006309EE">
      <w:pPr>
        <w:autoSpaceDE w:val="0"/>
        <w:autoSpaceDN w:val="0"/>
        <w:adjustRightInd w:val="0"/>
        <w:jc w:val="both"/>
        <w:rPr>
          <w:rFonts w:cs="Arial"/>
          <w:lang w:eastAsia="en-GB"/>
        </w:rPr>
      </w:pPr>
      <w:r w:rsidRPr="00631312">
        <w:rPr>
          <w:rFonts w:cs="Arial"/>
          <w:lang w:eastAsia="en-GB"/>
        </w:rPr>
        <w:t>Level 2 – Inputs other than quoted prices included within Level 1 that are observable for the asset or liability either directly (that is, as prices) or indirectly (that is, derived from prices).</w:t>
      </w:r>
    </w:p>
    <w:p w14:paraId="79C115C4" w14:textId="77777777" w:rsidR="006309EE" w:rsidRPr="00631312" w:rsidRDefault="006309EE" w:rsidP="006309EE">
      <w:pPr>
        <w:autoSpaceDE w:val="0"/>
        <w:autoSpaceDN w:val="0"/>
        <w:adjustRightInd w:val="0"/>
        <w:jc w:val="both"/>
        <w:rPr>
          <w:rFonts w:cs="Arial"/>
          <w:lang w:eastAsia="en-GB"/>
        </w:rPr>
      </w:pPr>
    </w:p>
    <w:p w14:paraId="7F6D04D3" w14:textId="77777777" w:rsidR="006309EE" w:rsidRPr="00631312" w:rsidRDefault="006309EE" w:rsidP="006309EE">
      <w:pPr>
        <w:autoSpaceDE w:val="0"/>
        <w:autoSpaceDN w:val="0"/>
        <w:adjustRightInd w:val="0"/>
        <w:jc w:val="both"/>
        <w:rPr>
          <w:rFonts w:cs="Arial"/>
          <w:lang w:eastAsia="en-GB"/>
        </w:rPr>
      </w:pPr>
      <w:r w:rsidRPr="00631312">
        <w:rPr>
          <w:rFonts w:cs="Arial"/>
          <w:lang w:eastAsia="en-GB"/>
        </w:rPr>
        <w:t>Level 3 – Inputs for the assets or liability that are not based on observable market data (that is unobservable inputs).</w:t>
      </w:r>
    </w:p>
    <w:p w14:paraId="145EFFFA" w14:textId="77777777" w:rsidR="006309EE" w:rsidRPr="00C328EF" w:rsidRDefault="006309EE" w:rsidP="006309EE">
      <w:pPr>
        <w:rPr>
          <w:rFonts w:cs="Arial"/>
          <w:highlight w:val="yellow"/>
          <w:lang w:eastAsia="en-GB"/>
        </w:rPr>
      </w:pPr>
    </w:p>
    <w:p w14:paraId="1B8ECDE6" w14:textId="77777777" w:rsidR="006309EE" w:rsidRPr="00631312" w:rsidRDefault="006309EE" w:rsidP="006309EE">
      <w:pPr>
        <w:rPr>
          <w:rFonts w:cs="Arial"/>
          <w:lang w:eastAsia="en-GB"/>
        </w:rPr>
      </w:pPr>
    </w:p>
    <w:p w14:paraId="507DAD3F" w14:textId="77777777" w:rsidR="006309EE" w:rsidRPr="00631312" w:rsidRDefault="006309EE" w:rsidP="006309EE">
      <w:pPr>
        <w:rPr>
          <w:rFonts w:cs="Arial"/>
          <w:lang w:eastAsia="en-GB"/>
        </w:rPr>
      </w:pPr>
      <w:r w:rsidRPr="00631312">
        <w:rPr>
          <w:rFonts w:cs="Arial"/>
          <w:lang w:eastAsia="en-GB"/>
        </w:rPr>
        <w:t xml:space="preserve">The following table presents the Group’s </w:t>
      </w:r>
      <w:r w:rsidR="0037517C" w:rsidRPr="00631312">
        <w:rPr>
          <w:rFonts w:cs="Arial"/>
          <w:lang w:eastAsia="en-GB"/>
        </w:rPr>
        <w:t xml:space="preserve">derivatives </w:t>
      </w:r>
      <w:r w:rsidRPr="00631312">
        <w:rPr>
          <w:rFonts w:cs="Arial"/>
          <w:lang w:eastAsia="en-GB"/>
        </w:rPr>
        <w:t xml:space="preserve">financial </w:t>
      </w:r>
      <w:r w:rsidR="0037517C" w:rsidRPr="00631312">
        <w:rPr>
          <w:rFonts w:cs="Arial"/>
          <w:lang w:eastAsia="en-GB"/>
        </w:rPr>
        <w:t>instruments</w:t>
      </w:r>
      <w:r w:rsidRPr="00631312">
        <w:rPr>
          <w:rFonts w:cs="Arial"/>
          <w:lang w:eastAsia="en-GB"/>
        </w:rPr>
        <w:t xml:space="preserve"> that are measured at fair value within the hierarchy at </w:t>
      </w:r>
      <w:r w:rsidR="00D67CB6">
        <w:rPr>
          <w:rFonts w:cs="Arial"/>
          <w:lang w:eastAsia="en-GB"/>
        </w:rPr>
        <w:t>28</w:t>
      </w:r>
      <w:r w:rsidRPr="00631312">
        <w:rPr>
          <w:rFonts w:cs="Arial"/>
          <w:lang w:eastAsia="en-GB"/>
        </w:rPr>
        <w:t xml:space="preserve"> December.</w:t>
      </w:r>
    </w:p>
    <w:tbl>
      <w:tblPr>
        <w:tblW w:w="0" w:type="auto"/>
        <w:tblLook w:val="0000" w:firstRow="0" w:lastRow="0" w:firstColumn="0" w:lastColumn="0" w:noHBand="0" w:noVBand="0"/>
      </w:tblPr>
      <w:tblGrid>
        <w:gridCol w:w="6206"/>
        <w:gridCol w:w="1221"/>
        <w:gridCol w:w="1112"/>
        <w:gridCol w:w="125"/>
        <w:gridCol w:w="1237"/>
      </w:tblGrid>
      <w:tr w:rsidR="00165437" w:rsidRPr="00C328EF" w14:paraId="766CA21D" w14:textId="77777777" w:rsidTr="00165437">
        <w:trPr>
          <w:trHeight w:val="258"/>
        </w:trPr>
        <w:tc>
          <w:tcPr>
            <w:tcW w:w="6397" w:type="dxa"/>
          </w:tcPr>
          <w:p w14:paraId="006C28AD" w14:textId="77777777" w:rsidR="00165437" w:rsidRPr="00C328EF" w:rsidRDefault="00165437" w:rsidP="00165437">
            <w:pPr>
              <w:autoSpaceDE w:val="0"/>
              <w:autoSpaceDN w:val="0"/>
              <w:adjustRightInd w:val="0"/>
              <w:rPr>
                <w:rFonts w:cs="Arial"/>
                <w:highlight w:val="yellow"/>
                <w:lang w:eastAsia="en-GB"/>
              </w:rPr>
            </w:pPr>
          </w:p>
        </w:tc>
        <w:tc>
          <w:tcPr>
            <w:tcW w:w="1246" w:type="dxa"/>
          </w:tcPr>
          <w:p w14:paraId="50611FB5" w14:textId="77777777" w:rsidR="00165437" w:rsidRPr="00631312" w:rsidRDefault="004831CF" w:rsidP="00165437">
            <w:pPr>
              <w:autoSpaceDE w:val="0"/>
              <w:autoSpaceDN w:val="0"/>
              <w:adjustRightInd w:val="0"/>
              <w:jc w:val="center"/>
              <w:rPr>
                <w:rFonts w:cs="Arial"/>
                <w:b/>
                <w:lang w:eastAsia="en-GB"/>
              </w:rPr>
            </w:pPr>
            <w:r w:rsidRPr="00631312">
              <w:rPr>
                <w:rFonts w:cs="Arial"/>
                <w:b/>
                <w:lang w:eastAsia="en-GB"/>
              </w:rPr>
              <w:t>Note</w:t>
            </w:r>
          </w:p>
        </w:tc>
        <w:tc>
          <w:tcPr>
            <w:tcW w:w="1237" w:type="dxa"/>
            <w:gridSpan w:val="2"/>
          </w:tcPr>
          <w:p w14:paraId="390A38B3" w14:textId="77777777" w:rsidR="00165437" w:rsidRPr="00631312" w:rsidRDefault="007D4685" w:rsidP="00165437">
            <w:pPr>
              <w:autoSpaceDE w:val="0"/>
              <w:autoSpaceDN w:val="0"/>
              <w:adjustRightInd w:val="0"/>
              <w:jc w:val="center"/>
              <w:rPr>
                <w:rFonts w:cs="Arial"/>
                <w:b/>
                <w:lang w:eastAsia="en-GB"/>
              </w:rPr>
            </w:pPr>
            <w:r>
              <w:rPr>
                <w:rFonts w:cs="Arial"/>
                <w:b/>
                <w:lang w:eastAsia="en-GB"/>
              </w:rPr>
              <w:t>28/12/</w:t>
            </w:r>
            <w:r w:rsidR="00165437" w:rsidRPr="00631312">
              <w:rPr>
                <w:rFonts w:cs="Arial"/>
                <w:b/>
                <w:lang w:eastAsia="en-GB"/>
              </w:rPr>
              <w:t>202</w:t>
            </w:r>
            <w:r w:rsidR="00631312" w:rsidRPr="00631312">
              <w:rPr>
                <w:rFonts w:cs="Arial"/>
                <w:b/>
                <w:lang w:eastAsia="en-GB"/>
              </w:rPr>
              <w:t>4</w:t>
            </w:r>
          </w:p>
        </w:tc>
        <w:tc>
          <w:tcPr>
            <w:tcW w:w="1237" w:type="dxa"/>
          </w:tcPr>
          <w:p w14:paraId="582DF714" w14:textId="77777777" w:rsidR="00165437" w:rsidRPr="00631312" w:rsidRDefault="007D4685" w:rsidP="00165437">
            <w:pPr>
              <w:autoSpaceDE w:val="0"/>
              <w:autoSpaceDN w:val="0"/>
              <w:adjustRightInd w:val="0"/>
              <w:jc w:val="center"/>
              <w:rPr>
                <w:rFonts w:cs="Arial"/>
                <w:b/>
                <w:lang w:eastAsia="en-GB"/>
              </w:rPr>
            </w:pPr>
            <w:r>
              <w:rPr>
                <w:rFonts w:cs="Arial"/>
                <w:b/>
                <w:lang w:eastAsia="en-GB"/>
              </w:rPr>
              <w:t>30/12/</w:t>
            </w:r>
            <w:r w:rsidR="00165437" w:rsidRPr="00631312">
              <w:rPr>
                <w:rFonts w:cs="Arial"/>
                <w:b/>
                <w:lang w:eastAsia="en-GB"/>
              </w:rPr>
              <w:t>202</w:t>
            </w:r>
            <w:r w:rsidR="00631312" w:rsidRPr="00631312">
              <w:rPr>
                <w:rFonts w:cs="Arial"/>
                <w:b/>
                <w:lang w:eastAsia="en-GB"/>
              </w:rPr>
              <w:t>3</w:t>
            </w:r>
          </w:p>
        </w:tc>
      </w:tr>
      <w:tr w:rsidR="00165437" w:rsidRPr="00C328EF" w14:paraId="27FE15B6" w14:textId="77777777" w:rsidTr="00165437">
        <w:trPr>
          <w:trHeight w:val="258"/>
        </w:trPr>
        <w:tc>
          <w:tcPr>
            <w:tcW w:w="6397" w:type="dxa"/>
          </w:tcPr>
          <w:p w14:paraId="4094294C" w14:textId="77777777" w:rsidR="00165437" w:rsidRPr="00C328EF" w:rsidRDefault="00165437" w:rsidP="00165437">
            <w:pPr>
              <w:autoSpaceDE w:val="0"/>
              <w:autoSpaceDN w:val="0"/>
              <w:adjustRightInd w:val="0"/>
              <w:rPr>
                <w:rFonts w:cs="Arial"/>
                <w:highlight w:val="yellow"/>
                <w:lang w:eastAsia="en-GB"/>
              </w:rPr>
            </w:pPr>
          </w:p>
        </w:tc>
        <w:tc>
          <w:tcPr>
            <w:tcW w:w="1246" w:type="dxa"/>
          </w:tcPr>
          <w:p w14:paraId="0F011EB5" w14:textId="77777777" w:rsidR="00165437" w:rsidRPr="00631312" w:rsidRDefault="00165437" w:rsidP="00165437">
            <w:pPr>
              <w:autoSpaceDE w:val="0"/>
              <w:autoSpaceDN w:val="0"/>
              <w:adjustRightInd w:val="0"/>
              <w:jc w:val="center"/>
              <w:rPr>
                <w:rFonts w:cs="Arial"/>
                <w:b/>
                <w:lang w:eastAsia="en-GB"/>
              </w:rPr>
            </w:pPr>
          </w:p>
        </w:tc>
        <w:tc>
          <w:tcPr>
            <w:tcW w:w="1237" w:type="dxa"/>
            <w:gridSpan w:val="2"/>
          </w:tcPr>
          <w:p w14:paraId="3903ADEB" w14:textId="77777777" w:rsidR="00165437" w:rsidRPr="00631312" w:rsidRDefault="00165437" w:rsidP="00165437">
            <w:pPr>
              <w:autoSpaceDE w:val="0"/>
              <w:autoSpaceDN w:val="0"/>
              <w:adjustRightInd w:val="0"/>
              <w:jc w:val="center"/>
              <w:rPr>
                <w:rFonts w:cs="Arial"/>
                <w:b/>
                <w:lang w:eastAsia="en-GB"/>
              </w:rPr>
            </w:pPr>
            <w:r w:rsidRPr="00631312">
              <w:rPr>
                <w:rFonts w:cs="Arial"/>
                <w:b/>
                <w:lang w:eastAsia="en-GB"/>
              </w:rPr>
              <w:t>£’000</w:t>
            </w:r>
          </w:p>
        </w:tc>
        <w:tc>
          <w:tcPr>
            <w:tcW w:w="1237" w:type="dxa"/>
          </w:tcPr>
          <w:p w14:paraId="5D33D1A2" w14:textId="77777777" w:rsidR="00165437" w:rsidRPr="00631312" w:rsidRDefault="00165437" w:rsidP="00165437">
            <w:pPr>
              <w:autoSpaceDE w:val="0"/>
              <w:autoSpaceDN w:val="0"/>
              <w:adjustRightInd w:val="0"/>
              <w:jc w:val="center"/>
              <w:rPr>
                <w:rFonts w:cs="Arial"/>
                <w:b/>
                <w:lang w:eastAsia="en-GB"/>
              </w:rPr>
            </w:pPr>
            <w:r w:rsidRPr="00631312">
              <w:rPr>
                <w:rFonts w:cs="Arial"/>
                <w:b/>
                <w:lang w:eastAsia="en-GB"/>
              </w:rPr>
              <w:t>£’000</w:t>
            </w:r>
          </w:p>
        </w:tc>
      </w:tr>
      <w:tr w:rsidR="00165437" w:rsidRPr="00C328EF" w14:paraId="77A894DB" w14:textId="77777777" w:rsidTr="00165437">
        <w:trPr>
          <w:trHeight w:val="70"/>
        </w:trPr>
        <w:tc>
          <w:tcPr>
            <w:tcW w:w="6397" w:type="dxa"/>
          </w:tcPr>
          <w:p w14:paraId="5993A322" w14:textId="77777777" w:rsidR="00165437" w:rsidRPr="00C328EF" w:rsidRDefault="004831CF" w:rsidP="00165437">
            <w:pPr>
              <w:autoSpaceDE w:val="0"/>
              <w:autoSpaceDN w:val="0"/>
              <w:adjustRightInd w:val="0"/>
              <w:rPr>
                <w:rFonts w:cs="Arial"/>
                <w:highlight w:val="yellow"/>
                <w:lang w:eastAsia="en-GB"/>
              </w:rPr>
            </w:pPr>
            <w:r w:rsidRPr="00631312">
              <w:rPr>
                <w:rFonts w:cs="Arial"/>
                <w:b/>
                <w:lang w:eastAsia="en-GB"/>
              </w:rPr>
              <w:t>Assets</w:t>
            </w:r>
            <w:r w:rsidR="00492E6D" w:rsidRPr="00631312">
              <w:rPr>
                <w:rFonts w:cs="Arial"/>
                <w:b/>
                <w:lang w:eastAsia="en-GB"/>
              </w:rPr>
              <w:t>/(liabilities)</w:t>
            </w:r>
          </w:p>
        </w:tc>
        <w:tc>
          <w:tcPr>
            <w:tcW w:w="1246" w:type="dxa"/>
          </w:tcPr>
          <w:p w14:paraId="0FE63C27" w14:textId="77777777" w:rsidR="00165437" w:rsidRPr="00C328EF" w:rsidRDefault="00165437" w:rsidP="00165437">
            <w:pPr>
              <w:autoSpaceDE w:val="0"/>
              <w:autoSpaceDN w:val="0"/>
              <w:adjustRightInd w:val="0"/>
              <w:jc w:val="center"/>
              <w:rPr>
                <w:rFonts w:cs="Arial"/>
                <w:highlight w:val="yellow"/>
                <w:lang w:eastAsia="en-GB"/>
              </w:rPr>
            </w:pPr>
          </w:p>
        </w:tc>
        <w:tc>
          <w:tcPr>
            <w:tcW w:w="1237" w:type="dxa"/>
            <w:gridSpan w:val="2"/>
          </w:tcPr>
          <w:p w14:paraId="0E9E4DC2" w14:textId="77777777" w:rsidR="00165437" w:rsidRPr="00C328EF" w:rsidRDefault="00165437" w:rsidP="00165437">
            <w:pPr>
              <w:autoSpaceDE w:val="0"/>
              <w:autoSpaceDN w:val="0"/>
              <w:adjustRightInd w:val="0"/>
              <w:jc w:val="center"/>
              <w:rPr>
                <w:rFonts w:cs="Arial"/>
                <w:highlight w:val="yellow"/>
                <w:lang w:eastAsia="en-GB"/>
              </w:rPr>
            </w:pPr>
          </w:p>
        </w:tc>
        <w:tc>
          <w:tcPr>
            <w:tcW w:w="1237" w:type="dxa"/>
          </w:tcPr>
          <w:p w14:paraId="6A19B7AF" w14:textId="77777777" w:rsidR="00165437" w:rsidRPr="00631312" w:rsidRDefault="00165437" w:rsidP="00165437">
            <w:pPr>
              <w:autoSpaceDE w:val="0"/>
              <w:autoSpaceDN w:val="0"/>
              <w:adjustRightInd w:val="0"/>
              <w:jc w:val="center"/>
              <w:rPr>
                <w:rFonts w:cs="Arial"/>
                <w:lang w:eastAsia="en-GB"/>
              </w:rPr>
            </w:pPr>
          </w:p>
        </w:tc>
      </w:tr>
      <w:tr w:rsidR="00631312" w:rsidRPr="00C328EF" w14:paraId="75641F17" w14:textId="77777777" w:rsidTr="00842A3B">
        <w:trPr>
          <w:trHeight w:val="70"/>
        </w:trPr>
        <w:tc>
          <w:tcPr>
            <w:tcW w:w="6397" w:type="dxa"/>
          </w:tcPr>
          <w:p w14:paraId="19637F0F" w14:textId="77777777" w:rsidR="00631312" w:rsidRPr="00631312" w:rsidRDefault="00631312" w:rsidP="00631312">
            <w:pPr>
              <w:autoSpaceDE w:val="0"/>
              <w:autoSpaceDN w:val="0"/>
              <w:adjustRightInd w:val="0"/>
              <w:rPr>
                <w:rFonts w:cs="Arial"/>
                <w:bCs/>
              </w:rPr>
            </w:pPr>
            <w:r w:rsidRPr="00631312">
              <w:rPr>
                <w:rFonts w:cs="Arial"/>
                <w:bCs/>
              </w:rPr>
              <w:t>Heritable properties (Level 3)</w:t>
            </w:r>
          </w:p>
        </w:tc>
        <w:tc>
          <w:tcPr>
            <w:tcW w:w="1246" w:type="dxa"/>
          </w:tcPr>
          <w:p w14:paraId="190E32B3" w14:textId="77777777" w:rsidR="00631312" w:rsidRPr="00F0414A" w:rsidRDefault="00631312" w:rsidP="00631312">
            <w:pPr>
              <w:autoSpaceDE w:val="0"/>
              <w:autoSpaceDN w:val="0"/>
              <w:adjustRightInd w:val="0"/>
              <w:jc w:val="center"/>
              <w:rPr>
                <w:rFonts w:cs="Arial"/>
                <w:lang w:eastAsia="en-GB"/>
              </w:rPr>
            </w:pPr>
            <w:r w:rsidRPr="00F0414A">
              <w:rPr>
                <w:rFonts w:cs="Arial"/>
                <w:lang w:eastAsia="en-GB"/>
              </w:rPr>
              <w:t>8</w:t>
            </w:r>
          </w:p>
        </w:tc>
        <w:tc>
          <w:tcPr>
            <w:tcW w:w="1112" w:type="dxa"/>
          </w:tcPr>
          <w:p w14:paraId="50BBC51C" w14:textId="77777777" w:rsidR="00631312" w:rsidRPr="009C65B1" w:rsidRDefault="009C65B1" w:rsidP="00631312">
            <w:pPr>
              <w:autoSpaceDE w:val="0"/>
              <w:autoSpaceDN w:val="0"/>
              <w:adjustRightInd w:val="0"/>
              <w:jc w:val="center"/>
              <w:rPr>
                <w:rFonts w:cs="Arial"/>
                <w:lang w:eastAsia="en-GB"/>
              </w:rPr>
            </w:pPr>
            <w:r w:rsidRPr="009C65B1">
              <w:rPr>
                <w:rFonts w:cs="Arial"/>
                <w:lang w:eastAsia="en-GB"/>
              </w:rPr>
              <w:t>77</w:t>
            </w:r>
            <w:r w:rsidR="00631312" w:rsidRPr="009C65B1">
              <w:rPr>
                <w:rFonts w:cs="Arial"/>
                <w:lang w:eastAsia="en-GB"/>
              </w:rPr>
              <w:t>,</w:t>
            </w:r>
            <w:r w:rsidRPr="009C65B1">
              <w:rPr>
                <w:rFonts w:cs="Arial"/>
                <w:lang w:eastAsia="en-GB"/>
              </w:rPr>
              <w:t>404</w:t>
            </w:r>
          </w:p>
        </w:tc>
        <w:tc>
          <w:tcPr>
            <w:tcW w:w="1362" w:type="dxa"/>
            <w:gridSpan w:val="2"/>
          </w:tcPr>
          <w:p w14:paraId="4E8592F8" w14:textId="77777777" w:rsidR="00631312" w:rsidRPr="00631312" w:rsidRDefault="00631312" w:rsidP="00631312">
            <w:pPr>
              <w:autoSpaceDE w:val="0"/>
              <w:autoSpaceDN w:val="0"/>
              <w:adjustRightInd w:val="0"/>
              <w:jc w:val="center"/>
              <w:rPr>
                <w:rFonts w:cs="Arial"/>
                <w:lang w:eastAsia="en-GB"/>
              </w:rPr>
            </w:pPr>
            <w:r w:rsidRPr="00631312">
              <w:rPr>
                <w:rFonts w:cs="Arial"/>
                <w:lang w:eastAsia="en-GB"/>
              </w:rPr>
              <w:t>83,968</w:t>
            </w:r>
          </w:p>
        </w:tc>
      </w:tr>
      <w:tr w:rsidR="00631312" w:rsidRPr="00C328EF" w14:paraId="7370891E" w14:textId="77777777" w:rsidTr="00165437">
        <w:trPr>
          <w:trHeight w:val="70"/>
        </w:trPr>
        <w:tc>
          <w:tcPr>
            <w:tcW w:w="6397" w:type="dxa"/>
          </w:tcPr>
          <w:p w14:paraId="1D099DE2" w14:textId="77777777" w:rsidR="00631312" w:rsidRPr="00631312" w:rsidRDefault="00631312" w:rsidP="00631312">
            <w:pPr>
              <w:autoSpaceDE w:val="0"/>
              <w:autoSpaceDN w:val="0"/>
              <w:adjustRightInd w:val="0"/>
              <w:rPr>
                <w:rFonts w:cs="Arial"/>
                <w:bCs/>
                <w:lang w:eastAsia="en-GB"/>
              </w:rPr>
            </w:pPr>
            <w:r w:rsidRPr="00631312">
              <w:rPr>
                <w:rFonts w:cs="Arial"/>
                <w:bCs/>
              </w:rPr>
              <w:t>Derivative financial instruments (Level 2)</w:t>
            </w:r>
          </w:p>
        </w:tc>
        <w:tc>
          <w:tcPr>
            <w:tcW w:w="1246" w:type="dxa"/>
          </w:tcPr>
          <w:p w14:paraId="14FAA991" w14:textId="77777777" w:rsidR="00631312" w:rsidRPr="00F0414A" w:rsidRDefault="00631312" w:rsidP="00631312">
            <w:pPr>
              <w:autoSpaceDE w:val="0"/>
              <w:autoSpaceDN w:val="0"/>
              <w:adjustRightInd w:val="0"/>
              <w:jc w:val="center"/>
              <w:rPr>
                <w:rFonts w:cs="Arial"/>
                <w:lang w:eastAsia="en-GB"/>
              </w:rPr>
            </w:pPr>
            <w:r w:rsidRPr="00F0414A">
              <w:rPr>
                <w:rFonts w:cs="Arial"/>
                <w:lang w:eastAsia="en-GB"/>
              </w:rPr>
              <w:t>1</w:t>
            </w:r>
            <w:r w:rsidR="00F0414A" w:rsidRPr="00F0414A">
              <w:rPr>
                <w:rFonts w:cs="Arial"/>
                <w:lang w:eastAsia="en-GB"/>
              </w:rPr>
              <w:t>5</w:t>
            </w:r>
          </w:p>
        </w:tc>
        <w:tc>
          <w:tcPr>
            <w:tcW w:w="1237" w:type="dxa"/>
            <w:gridSpan w:val="2"/>
          </w:tcPr>
          <w:p w14:paraId="6F47D792" w14:textId="77777777" w:rsidR="00631312" w:rsidRPr="00631312" w:rsidRDefault="00631312" w:rsidP="00631312">
            <w:pPr>
              <w:autoSpaceDE w:val="0"/>
              <w:autoSpaceDN w:val="0"/>
              <w:adjustRightInd w:val="0"/>
              <w:jc w:val="center"/>
              <w:rPr>
                <w:rFonts w:cs="Arial"/>
                <w:lang w:eastAsia="en-GB"/>
              </w:rPr>
            </w:pPr>
            <w:r w:rsidRPr="00631312">
              <w:rPr>
                <w:rFonts w:cs="Arial"/>
                <w:lang w:eastAsia="en-GB"/>
              </w:rPr>
              <w:t>(505)</w:t>
            </w:r>
          </w:p>
        </w:tc>
        <w:tc>
          <w:tcPr>
            <w:tcW w:w="1237" w:type="dxa"/>
          </w:tcPr>
          <w:p w14:paraId="3225E936" w14:textId="77777777" w:rsidR="00631312" w:rsidRPr="00631312" w:rsidRDefault="00631312" w:rsidP="00631312">
            <w:pPr>
              <w:autoSpaceDE w:val="0"/>
              <w:autoSpaceDN w:val="0"/>
              <w:adjustRightInd w:val="0"/>
              <w:jc w:val="center"/>
              <w:rPr>
                <w:rFonts w:cs="Arial"/>
                <w:lang w:eastAsia="en-GB"/>
              </w:rPr>
            </w:pPr>
            <w:r w:rsidRPr="00631312">
              <w:rPr>
                <w:rFonts w:cs="Arial"/>
                <w:lang w:eastAsia="en-GB"/>
              </w:rPr>
              <w:t>(1,705)</w:t>
            </w:r>
          </w:p>
        </w:tc>
      </w:tr>
      <w:tr w:rsidR="00631312" w:rsidRPr="00C328EF" w14:paraId="0C8665B8" w14:textId="77777777" w:rsidTr="00165437">
        <w:trPr>
          <w:trHeight w:val="70"/>
        </w:trPr>
        <w:tc>
          <w:tcPr>
            <w:tcW w:w="6397" w:type="dxa"/>
          </w:tcPr>
          <w:p w14:paraId="3F492F32" w14:textId="77777777" w:rsidR="00631312" w:rsidRPr="00C328EF" w:rsidRDefault="00631312" w:rsidP="00631312">
            <w:pPr>
              <w:autoSpaceDE w:val="0"/>
              <w:autoSpaceDN w:val="0"/>
              <w:adjustRightInd w:val="0"/>
              <w:rPr>
                <w:rFonts w:cs="Arial"/>
                <w:bCs/>
                <w:highlight w:val="yellow"/>
                <w:lang w:eastAsia="en-GB"/>
              </w:rPr>
            </w:pPr>
          </w:p>
        </w:tc>
        <w:tc>
          <w:tcPr>
            <w:tcW w:w="1246" w:type="dxa"/>
          </w:tcPr>
          <w:p w14:paraId="75A46F32" w14:textId="77777777" w:rsidR="00631312" w:rsidRPr="00C328EF" w:rsidRDefault="00631312" w:rsidP="00631312">
            <w:pPr>
              <w:autoSpaceDE w:val="0"/>
              <w:autoSpaceDN w:val="0"/>
              <w:adjustRightInd w:val="0"/>
              <w:jc w:val="center"/>
              <w:rPr>
                <w:rFonts w:cs="Arial"/>
                <w:highlight w:val="yellow"/>
                <w:lang w:eastAsia="en-GB"/>
              </w:rPr>
            </w:pPr>
          </w:p>
        </w:tc>
        <w:tc>
          <w:tcPr>
            <w:tcW w:w="1237" w:type="dxa"/>
            <w:gridSpan w:val="2"/>
          </w:tcPr>
          <w:p w14:paraId="404ACFCB" w14:textId="77777777" w:rsidR="00631312" w:rsidRPr="00631312" w:rsidRDefault="00631312" w:rsidP="00631312">
            <w:pPr>
              <w:autoSpaceDE w:val="0"/>
              <w:autoSpaceDN w:val="0"/>
              <w:adjustRightInd w:val="0"/>
              <w:ind w:right="170"/>
              <w:jc w:val="center"/>
              <w:rPr>
                <w:rFonts w:cs="Arial"/>
                <w:lang w:eastAsia="en-GB"/>
              </w:rPr>
            </w:pPr>
            <w:r w:rsidRPr="00631312">
              <w:rPr>
                <w:rFonts w:cs="Arial"/>
              </w:rPr>
              <w:t>══════</w:t>
            </w:r>
          </w:p>
        </w:tc>
        <w:tc>
          <w:tcPr>
            <w:tcW w:w="1237" w:type="dxa"/>
          </w:tcPr>
          <w:p w14:paraId="111277B0" w14:textId="77777777" w:rsidR="00631312" w:rsidRPr="00631312" w:rsidRDefault="00631312" w:rsidP="00631312">
            <w:pPr>
              <w:autoSpaceDE w:val="0"/>
              <w:autoSpaceDN w:val="0"/>
              <w:adjustRightInd w:val="0"/>
              <w:ind w:right="170"/>
              <w:jc w:val="center"/>
              <w:rPr>
                <w:rFonts w:cs="Arial"/>
                <w:lang w:eastAsia="en-GB"/>
              </w:rPr>
            </w:pPr>
            <w:r w:rsidRPr="00631312">
              <w:rPr>
                <w:rFonts w:cs="Arial"/>
              </w:rPr>
              <w:t>══════</w:t>
            </w:r>
          </w:p>
        </w:tc>
      </w:tr>
    </w:tbl>
    <w:p w14:paraId="1AF901F6" w14:textId="77777777" w:rsidR="006309EE" w:rsidRPr="00C328EF" w:rsidRDefault="006309EE" w:rsidP="006309EE">
      <w:pPr>
        <w:autoSpaceDE w:val="0"/>
        <w:autoSpaceDN w:val="0"/>
        <w:adjustRightInd w:val="0"/>
        <w:jc w:val="both"/>
        <w:rPr>
          <w:rFonts w:cs="Arial"/>
          <w:b/>
          <w:highlight w:val="yellow"/>
          <w:lang w:eastAsia="en-GB"/>
        </w:rPr>
      </w:pPr>
    </w:p>
    <w:p w14:paraId="5DCD0418" w14:textId="77777777" w:rsidR="006309EE" w:rsidRPr="00631312" w:rsidRDefault="006309EE" w:rsidP="006309EE">
      <w:pPr>
        <w:autoSpaceDE w:val="0"/>
        <w:autoSpaceDN w:val="0"/>
        <w:adjustRightInd w:val="0"/>
        <w:jc w:val="both"/>
        <w:rPr>
          <w:rFonts w:cs="Arial"/>
          <w:lang w:eastAsia="en-GB"/>
        </w:rPr>
      </w:pPr>
      <w:r w:rsidRPr="00631312">
        <w:rPr>
          <w:rFonts w:cs="Arial"/>
          <w:lang w:eastAsia="en-GB"/>
        </w:rPr>
        <w:t xml:space="preserve">The </w:t>
      </w:r>
      <w:r w:rsidR="00FC637A" w:rsidRPr="00631312">
        <w:rPr>
          <w:rFonts w:cs="Arial"/>
          <w:lang w:eastAsia="en-GB"/>
        </w:rPr>
        <w:t>G</w:t>
      </w:r>
      <w:r w:rsidRPr="00631312">
        <w:rPr>
          <w:rFonts w:cs="Arial"/>
          <w:lang w:eastAsia="en-GB"/>
        </w:rPr>
        <w:t>roup uses cash flow hedges to hedge the commodity price risk. The derivative instrument used is a commodity swap.</w:t>
      </w:r>
    </w:p>
    <w:p w14:paraId="1D2302BC" w14:textId="77777777" w:rsidR="006309EE" w:rsidRPr="00C328EF" w:rsidRDefault="006309EE" w:rsidP="006309EE">
      <w:pPr>
        <w:autoSpaceDE w:val="0"/>
        <w:autoSpaceDN w:val="0"/>
        <w:adjustRightInd w:val="0"/>
        <w:jc w:val="both"/>
        <w:rPr>
          <w:rFonts w:cs="Arial"/>
          <w:highlight w:val="yellow"/>
          <w:lang w:eastAsia="en-GB"/>
        </w:rPr>
      </w:pPr>
    </w:p>
    <w:p w14:paraId="632C9CFE" w14:textId="77777777" w:rsidR="006309EE" w:rsidRPr="00C328EF" w:rsidRDefault="006309EE" w:rsidP="006309EE">
      <w:pPr>
        <w:autoSpaceDE w:val="0"/>
        <w:autoSpaceDN w:val="0"/>
        <w:adjustRightInd w:val="0"/>
        <w:jc w:val="both"/>
        <w:rPr>
          <w:rFonts w:cs="Arial"/>
          <w:b/>
          <w:highlight w:val="yellow"/>
          <w:lang w:eastAsia="en-GB"/>
        </w:rPr>
      </w:pPr>
    </w:p>
    <w:p w14:paraId="418FAD0A" w14:textId="77777777" w:rsidR="006309EE" w:rsidRPr="00631312" w:rsidRDefault="006309EE" w:rsidP="006309EE">
      <w:pPr>
        <w:autoSpaceDE w:val="0"/>
        <w:autoSpaceDN w:val="0"/>
        <w:adjustRightInd w:val="0"/>
        <w:jc w:val="both"/>
        <w:rPr>
          <w:rFonts w:cs="Arial"/>
          <w:b/>
          <w:lang w:eastAsia="en-GB"/>
        </w:rPr>
      </w:pPr>
      <w:r w:rsidRPr="00631312">
        <w:rPr>
          <w:rFonts w:cs="Arial"/>
          <w:b/>
          <w:lang w:eastAsia="en-GB"/>
        </w:rPr>
        <w:t>Carrying value and fair value of derivative financial instruments</w:t>
      </w:r>
    </w:p>
    <w:p w14:paraId="3FEE40A2" w14:textId="77777777" w:rsidR="006309EE" w:rsidRPr="00631312" w:rsidRDefault="006309EE" w:rsidP="006309EE">
      <w:pPr>
        <w:autoSpaceDE w:val="0"/>
        <w:autoSpaceDN w:val="0"/>
        <w:adjustRightInd w:val="0"/>
        <w:jc w:val="both"/>
        <w:rPr>
          <w:rFonts w:cs="Arial"/>
          <w:lang w:eastAsia="en-GB"/>
        </w:rPr>
      </w:pPr>
    </w:p>
    <w:p w14:paraId="32326530" w14:textId="77777777" w:rsidR="006309EE" w:rsidRPr="00631312" w:rsidRDefault="006309EE" w:rsidP="006309EE">
      <w:pPr>
        <w:autoSpaceDE w:val="0"/>
        <w:autoSpaceDN w:val="0"/>
        <w:adjustRightInd w:val="0"/>
        <w:jc w:val="both"/>
        <w:rPr>
          <w:rFonts w:cs="Arial"/>
          <w:lang w:eastAsia="en-GB"/>
        </w:rPr>
      </w:pPr>
      <w:r w:rsidRPr="00631312">
        <w:rPr>
          <w:rFonts w:cs="Arial"/>
          <w:lang w:eastAsia="en-GB"/>
        </w:rPr>
        <w:t>Derivative financial instruments are classified on the balance sheet as follows:</w:t>
      </w:r>
    </w:p>
    <w:tbl>
      <w:tblPr>
        <w:tblpPr w:leftFromText="180" w:rightFromText="180" w:vertAnchor="text" w:horzAnchor="margin" w:tblpY="108"/>
        <w:tblW w:w="10173" w:type="dxa"/>
        <w:tblLayout w:type="fixed"/>
        <w:tblLook w:val="0000" w:firstRow="0" w:lastRow="0" w:firstColumn="0" w:lastColumn="0" w:noHBand="0" w:noVBand="0"/>
      </w:tblPr>
      <w:tblGrid>
        <w:gridCol w:w="6629"/>
        <w:gridCol w:w="992"/>
        <w:gridCol w:w="1276"/>
        <w:gridCol w:w="1276"/>
      </w:tblGrid>
      <w:tr w:rsidR="00BA7AAF" w:rsidRPr="00631312" w14:paraId="76472354" w14:textId="77777777" w:rsidTr="00BA7AAF">
        <w:tc>
          <w:tcPr>
            <w:tcW w:w="6629" w:type="dxa"/>
          </w:tcPr>
          <w:p w14:paraId="5260B036" w14:textId="77777777" w:rsidR="00BA7AAF" w:rsidRPr="00631312" w:rsidRDefault="00BA7AAF" w:rsidP="00BA7AAF">
            <w:pPr>
              <w:autoSpaceDE w:val="0"/>
              <w:autoSpaceDN w:val="0"/>
              <w:adjustRightInd w:val="0"/>
              <w:rPr>
                <w:rFonts w:cs="Arial"/>
                <w:lang w:eastAsia="en-GB"/>
              </w:rPr>
            </w:pPr>
          </w:p>
        </w:tc>
        <w:tc>
          <w:tcPr>
            <w:tcW w:w="992" w:type="dxa"/>
          </w:tcPr>
          <w:p w14:paraId="6254F649" w14:textId="77777777" w:rsidR="00BA7AAF" w:rsidRPr="00631312" w:rsidRDefault="00BA7AAF" w:rsidP="00BA7AAF">
            <w:pPr>
              <w:autoSpaceDE w:val="0"/>
              <w:autoSpaceDN w:val="0"/>
              <w:adjustRightInd w:val="0"/>
              <w:jc w:val="center"/>
              <w:rPr>
                <w:rFonts w:cs="Arial"/>
                <w:b/>
                <w:lang w:eastAsia="en-GB"/>
              </w:rPr>
            </w:pPr>
            <w:r w:rsidRPr="00631312">
              <w:rPr>
                <w:rFonts w:cs="Arial"/>
                <w:b/>
                <w:lang w:eastAsia="en-GB"/>
              </w:rPr>
              <w:t>Note</w:t>
            </w:r>
          </w:p>
        </w:tc>
        <w:tc>
          <w:tcPr>
            <w:tcW w:w="1276" w:type="dxa"/>
          </w:tcPr>
          <w:p w14:paraId="70793338" w14:textId="77777777" w:rsidR="00BA7AAF" w:rsidRPr="00631312" w:rsidRDefault="007D4685" w:rsidP="00BA7AAF">
            <w:pPr>
              <w:autoSpaceDE w:val="0"/>
              <w:autoSpaceDN w:val="0"/>
              <w:adjustRightInd w:val="0"/>
              <w:jc w:val="center"/>
              <w:rPr>
                <w:rFonts w:cs="Arial"/>
                <w:b/>
                <w:lang w:eastAsia="en-GB"/>
              </w:rPr>
            </w:pPr>
            <w:r>
              <w:rPr>
                <w:rFonts w:cs="Arial"/>
                <w:b/>
                <w:lang w:eastAsia="en-GB"/>
              </w:rPr>
              <w:t>28/12/</w:t>
            </w:r>
            <w:r w:rsidR="00BA7AAF" w:rsidRPr="00631312">
              <w:rPr>
                <w:rFonts w:cs="Arial"/>
                <w:b/>
                <w:lang w:eastAsia="en-GB"/>
              </w:rPr>
              <w:t>20</w:t>
            </w:r>
            <w:r w:rsidR="00CA350F" w:rsidRPr="00631312">
              <w:rPr>
                <w:rFonts w:cs="Arial"/>
                <w:b/>
                <w:lang w:eastAsia="en-GB"/>
              </w:rPr>
              <w:t>2</w:t>
            </w:r>
            <w:r w:rsidR="00631312" w:rsidRPr="00631312">
              <w:rPr>
                <w:rFonts w:cs="Arial"/>
                <w:b/>
                <w:lang w:eastAsia="en-GB"/>
              </w:rPr>
              <w:t>4</w:t>
            </w:r>
          </w:p>
        </w:tc>
        <w:tc>
          <w:tcPr>
            <w:tcW w:w="1276" w:type="dxa"/>
          </w:tcPr>
          <w:p w14:paraId="74AEF057" w14:textId="77777777" w:rsidR="00BA7AAF" w:rsidRPr="00631312" w:rsidRDefault="007D4685" w:rsidP="00BA7AAF">
            <w:pPr>
              <w:autoSpaceDE w:val="0"/>
              <w:autoSpaceDN w:val="0"/>
              <w:adjustRightInd w:val="0"/>
              <w:jc w:val="center"/>
              <w:rPr>
                <w:rFonts w:cs="Arial"/>
                <w:b/>
                <w:lang w:eastAsia="en-GB"/>
              </w:rPr>
            </w:pPr>
            <w:r>
              <w:rPr>
                <w:rFonts w:cs="Arial"/>
                <w:b/>
                <w:lang w:eastAsia="en-GB"/>
              </w:rPr>
              <w:t>28/12/</w:t>
            </w:r>
            <w:r w:rsidR="00BA7AAF" w:rsidRPr="00631312">
              <w:rPr>
                <w:rFonts w:cs="Arial"/>
                <w:b/>
                <w:lang w:eastAsia="en-GB"/>
              </w:rPr>
              <w:t>20</w:t>
            </w:r>
            <w:r w:rsidR="00165437" w:rsidRPr="00631312">
              <w:rPr>
                <w:rFonts w:cs="Arial"/>
                <w:b/>
                <w:lang w:eastAsia="en-GB"/>
              </w:rPr>
              <w:t>2</w:t>
            </w:r>
            <w:r w:rsidR="00631312" w:rsidRPr="00631312">
              <w:rPr>
                <w:rFonts w:cs="Arial"/>
                <w:b/>
                <w:lang w:eastAsia="en-GB"/>
              </w:rPr>
              <w:t>3</w:t>
            </w:r>
          </w:p>
        </w:tc>
      </w:tr>
      <w:tr w:rsidR="00BA7AAF" w:rsidRPr="00631312" w14:paraId="37893D48" w14:textId="77777777" w:rsidTr="00BA7AAF">
        <w:tc>
          <w:tcPr>
            <w:tcW w:w="6629" w:type="dxa"/>
          </w:tcPr>
          <w:p w14:paraId="222332BF" w14:textId="77777777" w:rsidR="00BA7AAF" w:rsidRPr="00631312" w:rsidRDefault="00BA7AAF" w:rsidP="00BA7AAF">
            <w:pPr>
              <w:autoSpaceDE w:val="0"/>
              <w:autoSpaceDN w:val="0"/>
              <w:adjustRightInd w:val="0"/>
              <w:rPr>
                <w:rFonts w:cs="Arial"/>
                <w:lang w:eastAsia="en-GB"/>
              </w:rPr>
            </w:pPr>
          </w:p>
        </w:tc>
        <w:tc>
          <w:tcPr>
            <w:tcW w:w="992" w:type="dxa"/>
          </w:tcPr>
          <w:p w14:paraId="3B5E8C26" w14:textId="77777777" w:rsidR="00BA7AAF" w:rsidRPr="00631312" w:rsidRDefault="00BA7AAF" w:rsidP="00BA7AAF">
            <w:pPr>
              <w:autoSpaceDE w:val="0"/>
              <w:autoSpaceDN w:val="0"/>
              <w:adjustRightInd w:val="0"/>
              <w:jc w:val="center"/>
              <w:rPr>
                <w:rFonts w:cs="Arial"/>
                <w:b/>
                <w:lang w:eastAsia="en-GB"/>
              </w:rPr>
            </w:pPr>
          </w:p>
        </w:tc>
        <w:tc>
          <w:tcPr>
            <w:tcW w:w="1276" w:type="dxa"/>
          </w:tcPr>
          <w:p w14:paraId="35336193" w14:textId="77777777" w:rsidR="00BA7AAF" w:rsidRPr="00631312" w:rsidRDefault="00BA7AAF" w:rsidP="00BA7AAF">
            <w:pPr>
              <w:autoSpaceDE w:val="0"/>
              <w:autoSpaceDN w:val="0"/>
              <w:adjustRightInd w:val="0"/>
              <w:jc w:val="center"/>
              <w:rPr>
                <w:rFonts w:cs="Arial"/>
                <w:b/>
                <w:lang w:eastAsia="en-GB"/>
              </w:rPr>
            </w:pPr>
            <w:r w:rsidRPr="00631312">
              <w:rPr>
                <w:rFonts w:cs="Arial"/>
                <w:b/>
                <w:lang w:eastAsia="en-GB"/>
              </w:rPr>
              <w:t>£’000</w:t>
            </w:r>
          </w:p>
        </w:tc>
        <w:tc>
          <w:tcPr>
            <w:tcW w:w="1276" w:type="dxa"/>
          </w:tcPr>
          <w:p w14:paraId="0F332118" w14:textId="77777777" w:rsidR="00BA7AAF" w:rsidRPr="00631312" w:rsidRDefault="00BA7AAF" w:rsidP="00BA7AAF">
            <w:pPr>
              <w:autoSpaceDE w:val="0"/>
              <w:autoSpaceDN w:val="0"/>
              <w:adjustRightInd w:val="0"/>
              <w:jc w:val="center"/>
              <w:rPr>
                <w:rFonts w:cs="Arial"/>
                <w:b/>
                <w:lang w:eastAsia="en-GB"/>
              </w:rPr>
            </w:pPr>
            <w:r w:rsidRPr="00631312">
              <w:rPr>
                <w:rFonts w:cs="Arial"/>
                <w:b/>
                <w:lang w:eastAsia="en-GB"/>
              </w:rPr>
              <w:t>£’000</w:t>
            </w:r>
          </w:p>
        </w:tc>
      </w:tr>
      <w:tr w:rsidR="00BA7AAF" w:rsidRPr="00631312" w14:paraId="13ADE22C" w14:textId="77777777" w:rsidTr="00BA7AAF">
        <w:tc>
          <w:tcPr>
            <w:tcW w:w="6629" w:type="dxa"/>
          </w:tcPr>
          <w:p w14:paraId="2700C967" w14:textId="77777777" w:rsidR="00BA7AAF" w:rsidRPr="00631312" w:rsidRDefault="00BA7AAF" w:rsidP="00BA7AAF">
            <w:pPr>
              <w:autoSpaceDE w:val="0"/>
              <w:autoSpaceDN w:val="0"/>
              <w:adjustRightInd w:val="0"/>
              <w:rPr>
                <w:rFonts w:cs="Arial"/>
                <w:b/>
                <w:lang w:eastAsia="en-GB"/>
              </w:rPr>
            </w:pPr>
            <w:r w:rsidRPr="00631312">
              <w:rPr>
                <w:rFonts w:cs="Arial"/>
                <w:b/>
                <w:lang w:eastAsia="en-GB"/>
              </w:rPr>
              <w:t xml:space="preserve">Non-current </w:t>
            </w:r>
            <w:r w:rsidR="00165437" w:rsidRPr="00631312">
              <w:rPr>
                <w:rFonts w:cs="Arial"/>
                <w:b/>
                <w:lang w:eastAsia="en-GB"/>
              </w:rPr>
              <w:t>assets</w:t>
            </w:r>
          </w:p>
        </w:tc>
        <w:tc>
          <w:tcPr>
            <w:tcW w:w="992" w:type="dxa"/>
          </w:tcPr>
          <w:p w14:paraId="643B2A84" w14:textId="77777777" w:rsidR="00BA7AAF" w:rsidRPr="00631312" w:rsidRDefault="00BA7AAF" w:rsidP="00BA7AAF">
            <w:pPr>
              <w:autoSpaceDE w:val="0"/>
              <w:autoSpaceDN w:val="0"/>
              <w:adjustRightInd w:val="0"/>
              <w:jc w:val="center"/>
              <w:rPr>
                <w:rFonts w:cs="Arial"/>
                <w:lang w:eastAsia="en-GB"/>
              </w:rPr>
            </w:pPr>
          </w:p>
        </w:tc>
        <w:tc>
          <w:tcPr>
            <w:tcW w:w="1276" w:type="dxa"/>
          </w:tcPr>
          <w:p w14:paraId="4CDAE956" w14:textId="77777777" w:rsidR="00BA7AAF" w:rsidRPr="00631312" w:rsidRDefault="00BA7AAF" w:rsidP="00BA7AAF">
            <w:pPr>
              <w:autoSpaceDE w:val="0"/>
              <w:autoSpaceDN w:val="0"/>
              <w:adjustRightInd w:val="0"/>
              <w:jc w:val="center"/>
              <w:rPr>
                <w:rFonts w:cs="Arial"/>
                <w:lang w:eastAsia="en-GB"/>
              </w:rPr>
            </w:pPr>
          </w:p>
        </w:tc>
        <w:tc>
          <w:tcPr>
            <w:tcW w:w="1276" w:type="dxa"/>
          </w:tcPr>
          <w:p w14:paraId="05366ADA" w14:textId="77777777" w:rsidR="00BA7AAF" w:rsidRPr="00631312" w:rsidRDefault="00BA7AAF" w:rsidP="00BA7AAF">
            <w:pPr>
              <w:autoSpaceDE w:val="0"/>
              <w:autoSpaceDN w:val="0"/>
              <w:adjustRightInd w:val="0"/>
              <w:jc w:val="center"/>
              <w:rPr>
                <w:rFonts w:cs="Arial"/>
                <w:lang w:eastAsia="en-GB"/>
              </w:rPr>
            </w:pPr>
          </w:p>
        </w:tc>
      </w:tr>
      <w:tr w:rsidR="00631312" w:rsidRPr="00C328EF" w14:paraId="4F387E5E" w14:textId="77777777" w:rsidTr="00D430AD">
        <w:tc>
          <w:tcPr>
            <w:tcW w:w="6629" w:type="dxa"/>
          </w:tcPr>
          <w:p w14:paraId="10CA7593" w14:textId="77777777" w:rsidR="00631312" w:rsidRPr="00631312" w:rsidRDefault="00631312" w:rsidP="00631312">
            <w:pPr>
              <w:autoSpaceDE w:val="0"/>
              <w:autoSpaceDN w:val="0"/>
              <w:adjustRightInd w:val="0"/>
              <w:rPr>
                <w:rFonts w:cs="Arial"/>
                <w:lang w:eastAsia="en-GB"/>
              </w:rPr>
            </w:pPr>
            <w:r w:rsidRPr="00631312">
              <w:rPr>
                <w:rFonts w:cs="Arial"/>
                <w:lang w:eastAsia="en-GB"/>
              </w:rPr>
              <w:t>Fuel derivatives</w:t>
            </w:r>
          </w:p>
        </w:tc>
        <w:tc>
          <w:tcPr>
            <w:tcW w:w="992" w:type="dxa"/>
          </w:tcPr>
          <w:p w14:paraId="420D35BC" w14:textId="77777777" w:rsidR="00631312" w:rsidRPr="00F0414A" w:rsidRDefault="00631312" w:rsidP="00631312">
            <w:pPr>
              <w:autoSpaceDE w:val="0"/>
              <w:autoSpaceDN w:val="0"/>
              <w:adjustRightInd w:val="0"/>
              <w:jc w:val="center"/>
              <w:rPr>
                <w:rFonts w:cs="Arial"/>
              </w:rPr>
            </w:pPr>
            <w:r w:rsidRPr="00F0414A">
              <w:rPr>
                <w:rFonts w:cs="Arial"/>
              </w:rPr>
              <w:t>1</w:t>
            </w:r>
            <w:r w:rsidR="00F0414A" w:rsidRPr="00F0414A">
              <w:rPr>
                <w:rFonts w:cs="Arial"/>
              </w:rPr>
              <w:t>5</w:t>
            </w:r>
          </w:p>
        </w:tc>
        <w:tc>
          <w:tcPr>
            <w:tcW w:w="1276" w:type="dxa"/>
          </w:tcPr>
          <w:p w14:paraId="0FD34305" w14:textId="77777777" w:rsidR="00631312" w:rsidRPr="00631312" w:rsidRDefault="00631312" w:rsidP="00631312">
            <w:pPr>
              <w:autoSpaceDE w:val="0"/>
              <w:autoSpaceDN w:val="0"/>
              <w:adjustRightInd w:val="0"/>
              <w:jc w:val="center"/>
              <w:rPr>
                <w:rFonts w:cs="Arial"/>
                <w:lang w:eastAsia="en-GB"/>
              </w:rPr>
            </w:pPr>
            <w:r w:rsidRPr="00631312">
              <w:rPr>
                <w:rFonts w:cs="Arial"/>
                <w:spacing w:val="-2"/>
              </w:rPr>
              <w:t>(195)</w:t>
            </w:r>
          </w:p>
        </w:tc>
        <w:tc>
          <w:tcPr>
            <w:tcW w:w="1276" w:type="dxa"/>
          </w:tcPr>
          <w:p w14:paraId="36BEC280" w14:textId="77777777" w:rsidR="00631312" w:rsidRPr="00631312" w:rsidRDefault="00631312" w:rsidP="00631312">
            <w:pPr>
              <w:autoSpaceDE w:val="0"/>
              <w:autoSpaceDN w:val="0"/>
              <w:adjustRightInd w:val="0"/>
              <w:jc w:val="center"/>
              <w:rPr>
                <w:rFonts w:cs="Arial"/>
                <w:lang w:eastAsia="en-GB"/>
              </w:rPr>
            </w:pPr>
            <w:r w:rsidRPr="00631312">
              <w:rPr>
                <w:rFonts w:cs="Arial"/>
                <w:spacing w:val="-2"/>
              </w:rPr>
              <w:t>(1,016)</w:t>
            </w:r>
          </w:p>
        </w:tc>
      </w:tr>
      <w:tr w:rsidR="00631312" w:rsidRPr="00C328EF" w14:paraId="655AA981" w14:textId="77777777" w:rsidTr="00D430AD">
        <w:tc>
          <w:tcPr>
            <w:tcW w:w="6629" w:type="dxa"/>
          </w:tcPr>
          <w:p w14:paraId="4554BC22" w14:textId="77777777" w:rsidR="00631312" w:rsidRPr="00631312" w:rsidRDefault="00631312" w:rsidP="00631312">
            <w:pPr>
              <w:autoSpaceDE w:val="0"/>
              <w:autoSpaceDN w:val="0"/>
              <w:adjustRightInd w:val="0"/>
              <w:rPr>
                <w:rFonts w:cs="Arial"/>
                <w:lang w:eastAsia="en-GB"/>
              </w:rPr>
            </w:pPr>
          </w:p>
        </w:tc>
        <w:tc>
          <w:tcPr>
            <w:tcW w:w="992" w:type="dxa"/>
          </w:tcPr>
          <w:p w14:paraId="5EC231FA" w14:textId="77777777" w:rsidR="00631312" w:rsidRPr="00F0414A" w:rsidRDefault="00631312" w:rsidP="00631312">
            <w:pPr>
              <w:autoSpaceDE w:val="0"/>
              <w:autoSpaceDN w:val="0"/>
              <w:adjustRightInd w:val="0"/>
              <w:jc w:val="center"/>
              <w:rPr>
                <w:rFonts w:cs="Arial"/>
                <w:lang w:eastAsia="en-GB"/>
              </w:rPr>
            </w:pPr>
          </w:p>
        </w:tc>
        <w:tc>
          <w:tcPr>
            <w:tcW w:w="1276" w:type="dxa"/>
          </w:tcPr>
          <w:p w14:paraId="5B04248D" w14:textId="77777777" w:rsidR="00631312" w:rsidRPr="00631312" w:rsidRDefault="00631312" w:rsidP="00631312">
            <w:pPr>
              <w:autoSpaceDE w:val="0"/>
              <w:autoSpaceDN w:val="0"/>
              <w:adjustRightInd w:val="0"/>
              <w:jc w:val="center"/>
              <w:rPr>
                <w:rFonts w:cs="Arial"/>
                <w:lang w:eastAsia="en-GB"/>
              </w:rPr>
            </w:pPr>
          </w:p>
        </w:tc>
        <w:tc>
          <w:tcPr>
            <w:tcW w:w="1276" w:type="dxa"/>
          </w:tcPr>
          <w:p w14:paraId="48FB222B" w14:textId="77777777" w:rsidR="00631312" w:rsidRPr="00631312" w:rsidRDefault="00631312" w:rsidP="00631312">
            <w:pPr>
              <w:autoSpaceDE w:val="0"/>
              <w:autoSpaceDN w:val="0"/>
              <w:adjustRightInd w:val="0"/>
              <w:jc w:val="center"/>
              <w:rPr>
                <w:rFonts w:cs="Arial"/>
                <w:lang w:eastAsia="en-GB"/>
              </w:rPr>
            </w:pPr>
          </w:p>
        </w:tc>
      </w:tr>
      <w:tr w:rsidR="00631312" w:rsidRPr="00C328EF" w14:paraId="758FE831" w14:textId="77777777" w:rsidTr="00D430AD">
        <w:tc>
          <w:tcPr>
            <w:tcW w:w="6629" w:type="dxa"/>
          </w:tcPr>
          <w:p w14:paraId="6225AA8E" w14:textId="77777777" w:rsidR="00631312" w:rsidRPr="00631312" w:rsidRDefault="00631312" w:rsidP="00631312">
            <w:pPr>
              <w:autoSpaceDE w:val="0"/>
              <w:autoSpaceDN w:val="0"/>
              <w:adjustRightInd w:val="0"/>
              <w:rPr>
                <w:rFonts w:cs="Arial"/>
                <w:b/>
                <w:lang w:eastAsia="en-GB"/>
              </w:rPr>
            </w:pPr>
            <w:r w:rsidRPr="00631312">
              <w:rPr>
                <w:rFonts w:cs="Arial"/>
                <w:b/>
                <w:lang w:eastAsia="en-GB"/>
              </w:rPr>
              <w:t>Current assets</w:t>
            </w:r>
          </w:p>
        </w:tc>
        <w:tc>
          <w:tcPr>
            <w:tcW w:w="992" w:type="dxa"/>
          </w:tcPr>
          <w:p w14:paraId="5A0CEA9E" w14:textId="77777777" w:rsidR="00631312" w:rsidRPr="00F0414A" w:rsidRDefault="00631312" w:rsidP="00631312">
            <w:pPr>
              <w:autoSpaceDE w:val="0"/>
              <w:autoSpaceDN w:val="0"/>
              <w:adjustRightInd w:val="0"/>
              <w:jc w:val="center"/>
              <w:rPr>
                <w:rFonts w:cs="Arial"/>
                <w:lang w:eastAsia="en-GB"/>
              </w:rPr>
            </w:pPr>
          </w:p>
        </w:tc>
        <w:tc>
          <w:tcPr>
            <w:tcW w:w="1276" w:type="dxa"/>
          </w:tcPr>
          <w:p w14:paraId="3C9191DB" w14:textId="77777777" w:rsidR="00631312" w:rsidRPr="00631312" w:rsidRDefault="00631312" w:rsidP="00631312">
            <w:pPr>
              <w:autoSpaceDE w:val="0"/>
              <w:autoSpaceDN w:val="0"/>
              <w:adjustRightInd w:val="0"/>
              <w:jc w:val="center"/>
              <w:rPr>
                <w:rFonts w:cs="Arial"/>
                <w:lang w:eastAsia="en-GB"/>
              </w:rPr>
            </w:pPr>
          </w:p>
        </w:tc>
        <w:tc>
          <w:tcPr>
            <w:tcW w:w="1276" w:type="dxa"/>
          </w:tcPr>
          <w:p w14:paraId="37954BF6" w14:textId="77777777" w:rsidR="00631312" w:rsidRPr="00631312" w:rsidRDefault="00631312" w:rsidP="00631312">
            <w:pPr>
              <w:autoSpaceDE w:val="0"/>
              <w:autoSpaceDN w:val="0"/>
              <w:adjustRightInd w:val="0"/>
              <w:jc w:val="center"/>
              <w:rPr>
                <w:rFonts w:cs="Arial"/>
                <w:lang w:eastAsia="en-GB"/>
              </w:rPr>
            </w:pPr>
          </w:p>
        </w:tc>
      </w:tr>
      <w:tr w:rsidR="00631312" w:rsidRPr="00C328EF" w14:paraId="5A1140C5" w14:textId="77777777" w:rsidTr="00D430AD">
        <w:tc>
          <w:tcPr>
            <w:tcW w:w="6629" w:type="dxa"/>
          </w:tcPr>
          <w:p w14:paraId="2CCB991C" w14:textId="77777777" w:rsidR="00631312" w:rsidRPr="00631312" w:rsidRDefault="00631312" w:rsidP="00631312">
            <w:pPr>
              <w:autoSpaceDE w:val="0"/>
              <w:autoSpaceDN w:val="0"/>
              <w:adjustRightInd w:val="0"/>
              <w:rPr>
                <w:rFonts w:cs="Arial"/>
                <w:lang w:eastAsia="en-GB"/>
              </w:rPr>
            </w:pPr>
            <w:r w:rsidRPr="00631312">
              <w:rPr>
                <w:rFonts w:cs="Arial"/>
                <w:lang w:eastAsia="en-GB"/>
              </w:rPr>
              <w:t>Fuel derivatives</w:t>
            </w:r>
          </w:p>
        </w:tc>
        <w:tc>
          <w:tcPr>
            <w:tcW w:w="992" w:type="dxa"/>
          </w:tcPr>
          <w:p w14:paraId="19BDA403" w14:textId="77777777" w:rsidR="00631312" w:rsidRPr="00F0414A" w:rsidRDefault="00631312" w:rsidP="00631312">
            <w:pPr>
              <w:autoSpaceDE w:val="0"/>
              <w:autoSpaceDN w:val="0"/>
              <w:adjustRightInd w:val="0"/>
              <w:jc w:val="center"/>
              <w:rPr>
                <w:rFonts w:cs="Arial"/>
              </w:rPr>
            </w:pPr>
            <w:r w:rsidRPr="00F0414A">
              <w:rPr>
                <w:rFonts w:cs="Arial"/>
              </w:rPr>
              <w:t>1</w:t>
            </w:r>
            <w:r w:rsidR="00F0414A" w:rsidRPr="00F0414A">
              <w:rPr>
                <w:rFonts w:cs="Arial"/>
              </w:rPr>
              <w:t>5</w:t>
            </w:r>
          </w:p>
        </w:tc>
        <w:tc>
          <w:tcPr>
            <w:tcW w:w="1276" w:type="dxa"/>
          </w:tcPr>
          <w:p w14:paraId="1B49BC97" w14:textId="77777777" w:rsidR="00631312" w:rsidRPr="00631312" w:rsidRDefault="00631312" w:rsidP="00631312">
            <w:pPr>
              <w:autoSpaceDE w:val="0"/>
              <w:autoSpaceDN w:val="0"/>
              <w:adjustRightInd w:val="0"/>
              <w:jc w:val="center"/>
              <w:rPr>
                <w:rFonts w:cs="Arial"/>
                <w:lang w:eastAsia="en-GB"/>
              </w:rPr>
            </w:pPr>
            <w:r w:rsidRPr="00631312">
              <w:rPr>
                <w:rFonts w:cs="Arial"/>
                <w:lang w:eastAsia="en-GB"/>
              </w:rPr>
              <w:t>(310)</w:t>
            </w:r>
          </w:p>
        </w:tc>
        <w:tc>
          <w:tcPr>
            <w:tcW w:w="1276" w:type="dxa"/>
          </w:tcPr>
          <w:p w14:paraId="76D4BADA" w14:textId="77777777" w:rsidR="00631312" w:rsidRPr="00631312" w:rsidRDefault="00631312" w:rsidP="00631312">
            <w:pPr>
              <w:autoSpaceDE w:val="0"/>
              <w:autoSpaceDN w:val="0"/>
              <w:adjustRightInd w:val="0"/>
              <w:jc w:val="center"/>
              <w:rPr>
                <w:rFonts w:cs="Arial"/>
                <w:lang w:eastAsia="en-GB"/>
              </w:rPr>
            </w:pPr>
            <w:r w:rsidRPr="00631312">
              <w:rPr>
                <w:rFonts w:cs="Arial"/>
                <w:lang w:eastAsia="en-GB"/>
              </w:rPr>
              <w:t>(689)</w:t>
            </w:r>
          </w:p>
        </w:tc>
      </w:tr>
      <w:tr w:rsidR="00631312" w:rsidRPr="00C328EF" w14:paraId="43B95718" w14:textId="77777777" w:rsidTr="00D430AD">
        <w:tc>
          <w:tcPr>
            <w:tcW w:w="6629" w:type="dxa"/>
          </w:tcPr>
          <w:p w14:paraId="62EE9DE8" w14:textId="77777777" w:rsidR="00631312" w:rsidRPr="00631312" w:rsidRDefault="00631312" w:rsidP="00631312">
            <w:pPr>
              <w:autoSpaceDE w:val="0"/>
              <w:autoSpaceDN w:val="0"/>
              <w:adjustRightInd w:val="0"/>
              <w:rPr>
                <w:rFonts w:cs="Arial"/>
                <w:lang w:eastAsia="en-GB"/>
              </w:rPr>
            </w:pPr>
          </w:p>
        </w:tc>
        <w:tc>
          <w:tcPr>
            <w:tcW w:w="992" w:type="dxa"/>
          </w:tcPr>
          <w:p w14:paraId="772CAD09" w14:textId="77777777" w:rsidR="00631312" w:rsidRPr="00F0414A" w:rsidRDefault="00631312" w:rsidP="00631312">
            <w:pPr>
              <w:autoSpaceDE w:val="0"/>
              <w:autoSpaceDN w:val="0"/>
              <w:adjustRightInd w:val="0"/>
              <w:jc w:val="center"/>
              <w:rPr>
                <w:rFonts w:cs="Arial"/>
                <w:lang w:eastAsia="en-GB"/>
              </w:rPr>
            </w:pPr>
          </w:p>
        </w:tc>
        <w:tc>
          <w:tcPr>
            <w:tcW w:w="1276" w:type="dxa"/>
          </w:tcPr>
          <w:p w14:paraId="07F737B8" w14:textId="77777777" w:rsidR="00631312" w:rsidRPr="00631312" w:rsidRDefault="00631312" w:rsidP="00631312">
            <w:pPr>
              <w:autoSpaceDE w:val="0"/>
              <w:autoSpaceDN w:val="0"/>
              <w:adjustRightInd w:val="0"/>
              <w:jc w:val="center"/>
              <w:rPr>
                <w:rFonts w:cs="Arial"/>
                <w:lang w:eastAsia="en-GB"/>
              </w:rPr>
            </w:pPr>
            <w:r w:rsidRPr="00631312">
              <w:rPr>
                <w:rFonts w:cs="Arial"/>
                <w:lang w:eastAsia="en-GB"/>
              </w:rPr>
              <w:t>─────</w:t>
            </w:r>
          </w:p>
        </w:tc>
        <w:tc>
          <w:tcPr>
            <w:tcW w:w="1276" w:type="dxa"/>
          </w:tcPr>
          <w:p w14:paraId="322154A7" w14:textId="77777777" w:rsidR="00631312" w:rsidRPr="00631312" w:rsidRDefault="00631312" w:rsidP="00631312">
            <w:pPr>
              <w:autoSpaceDE w:val="0"/>
              <w:autoSpaceDN w:val="0"/>
              <w:adjustRightInd w:val="0"/>
              <w:jc w:val="center"/>
              <w:rPr>
                <w:rFonts w:cs="Arial"/>
                <w:lang w:eastAsia="en-GB"/>
              </w:rPr>
            </w:pPr>
            <w:r w:rsidRPr="00631312">
              <w:rPr>
                <w:rFonts w:cs="Arial"/>
                <w:lang w:eastAsia="en-GB"/>
              </w:rPr>
              <w:t>─────</w:t>
            </w:r>
          </w:p>
        </w:tc>
      </w:tr>
      <w:tr w:rsidR="00631312" w:rsidRPr="00C328EF" w14:paraId="68A8B11A" w14:textId="77777777" w:rsidTr="00D430AD">
        <w:tc>
          <w:tcPr>
            <w:tcW w:w="6629" w:type="dxa"/>
          </w:tcPr>
          <w:p w14:paraId="384F180C" w14:textId="77777777" w:rsidR="00631312" w:rsidRPr="00631312" w:rsidRDefault="00631312" w:rsidP="00631312">
            <w:pPr>
              <w:autoSpaceDE w:val="0"/>
              <w:autoSpaceDN w:val="0"/>
              <w:adjustRightInd w:val="0"/>
              <w:rPr>
                <w:rFonts w:cs="Arial"/>
                <w:b/>
                <w:lang w:eastAsia="en-GB"/>
              </w:rPr>
            </w:pPr>
            <w:r w:rsidRPr="00631312">
              <w:rPr>
                <w:rFonts w:cs="Arial"/>
                <w:b/>
                <w:lang w:eastAsia="en-GB"/>
              </w:rPr>
              <w:t>Total net carrying value</w:t>
            </w:r>
          </w:p>
        </w:tc>
        <w:tc>
          <w:tcPr>
            <w:tcW w:w="992" w:type="dxa"/>
          </w:tcPr>
          <w:p w14:paraId="4D5A6684" w14:textId="77777777" w:rsidR="00631312" w:rsidRPr="00C328EF" w:rsidRDefault="00631312" w:rsidP="00631312">
            <w:pPr>
              <w:autoSpaceDE w:val="0"/>
              <w:autoSpaceDN w:val="0"/>
              <w:adjustRightInd w:val="0"/>
              <w:jc w:val="center"/>
              <w:rPr>
                <w:rFonts w:cs="Arial"/>
                <w:highlight w:val="yellow"/>
                <w:lang w:eastAsia="en-GB"/>
              </w:rPr>
            </w:pPr>
          </w:p>
        </w:tc>
        <w:tc>
          <w:tcPr>
            <w:tcW w:w="1276" w:type="dxa"/>
          </w:tcPr>
          <w:p w14:paraId="201BADD9" w14:textId="77777777" w:rsidR="00631312" w:rsidRPr="00631312" w:rsidRDefault="00631312" w:rsidP="00631312">
            <w:pPr>
              <w:autoSpaceDE w:val="0"/>
              <w:autoSpaceDN w:val="0"/>
              <w:adjustRightInd w:val="0"/>
              <w:jc w:val="center"/>
              <w:rPr>
                <w:rFonts w:cs="Arial"/>
                <w:lang w:eastAsia="en-GB"/>
              </w:rPr>
            </w:pPr>
            <w:r w:rsidRPr="00631312">
              <w:rPr>
                <w:rFonts w:cs="Arial"/>
                <w:lang w:eastAsia="en-GB"/>
              </w:rPr>
              <w:t>(505)</w:t>
            </w:r>
          </w:p>
        </w:tc>
        <w:tc>
          <w:tcPr>
            <w:tcW w:w="1276" w:type="dxa"/>
          </w:tcPr>
          <w:p w14:paraId="60E913C7" w14:textId="77777777" w:rsidR="00631312" w:rsidRPr="00631312" w:rsidRDefault="00631312" w:rsidP="00631312">
            <w:pPr>
              <w:autoSpaceDE w:val="0"/>
              <w:autoSpaceDN w:val="0"/>
              <w:adjustRightInd w:val="0"/>
              <w:jc w:val="center"/>
              <w:rPr>
                <w:rFonts w:cs="Arial"/>
                <w:lang w:eastAsia="en-GB"/>
              </w:rPr>
            </w:pPr>
            <w:r w:rsidRPr="00631312">
              <w:rPr>
                <w:rFonts w:cs="Arial"/>
                <w:lang w:eastAsia="en-GB"/>
              </w:rPr>
              <w:t>(1,705)</w:t>
            </w:r>
          </w:p>
        </w:tc>
      </w:tr>
      <w:tr w:rsidR="00631312" w:rsidRPr="00C328EF" w14:paraId="505DAE0F" w14:textId="77777777" w:rsidTr="00D430AD">
        <w:tc>
          <w:tcPr>
            <w:tcW w:w="6629" w:type="dxa"/>
          </w:tcPr>
          <w:p w14:paraId="2A9F1D4B" w14:textId="77777777" w:rsidR="00631312" w:rsidRPr="00631312" w:rsidRDefault="00631312" w:rsidP="00631312">
            <w:pPr>
              <w:autoSpaceDE w:val="0"/>
              <w:autoSpaceDN w:val="0"/>
              <w:adjustRightInd w:val="0"/>
              <w:rPr>
                <w:rFonts w:cs="Arial"/>
                <w:b/>
                <w:lang w:eastAsia="en-GB"/>
              </w:rPr>
            </w:pPr>
          </w:p>
        </w:tc>
        <w:tc>
          <w:tcPr>
            <w:tcW w:w="992" w:type="dxa"/>
          </w:tcPr>
          <w:p w14:paraId="3533A0D6" w14:textId="77777777" w:rsidR="00631312" w:rsidRPr="00C328EF" w:rsidRDefault="00631312" w:rsidP="00631312">
            <w:pPr>
              <w:autoSpaceDE w:val="0"/>
              <w:autoSpaceDN w:val="0"/>
              <w:adjustRightInd w:val="0"/>
              <w:jc w:val="center"/>
              <w:rPr>
                <w:rFonts w:cs="Arial"/>
                <w:highlight w:val="yellow"/>
              </w:rPr>
            </w:pPr>
          </w:p>
        </w:tc>
        <w:tc>
          <w:tcPr>
            <w:tcW w:w="1276" w:type="dxa"/>
          </w:tcPr>
          <w:p w14:paraId="18ADFC60" w14:textId="77777777" w:rsidR="00631312" w:rsidRPr="00631312" w:rsidRDefault="00631312" w:rsidP="00631312">
            <w:pPr>
              <w:autoSpaceDE w:val="0"/>
              <w:autoSpaceDN w:val="0"/>
              <w:adjustRightInd w:val="0"/>
              <w:jc w:val="center"/>
              <w:rPr>
                <w:rFonts w:cs="Arial"/>
                <w:lang w:eastAsia="en-GB"/>
              </w:rPr>
            </w:pPr>
            <w:r w:rsidRPr="00631312">
              <w:rPr>
                <w:rFonts w:cs="Arial"/>
              </w:rPr>
              <w:t>═════</w:t>
            </w:r>
          </w:p>
        </w:tc>
        <w:tc>
          <w:tcPr>
            <w:tcW w:w="1276" w:type="dxa"/>
          </w:tcPr>
          <w:p w14:paraId="65B79F0D" w14:textId="77777777" w:rsidR="00631312" w:rsidRPr="00631312" w:rsidRDefault="00631312" w:rsidP="00631312">
            <w:pPr>
              <w:autoSpaceDE w:val="0"/>
              <w:autoSpaceDN w:val="0"/>
              <w:adjustRightInd w:val="0"/>
              <w:jc w:val="center"/>
              <w:rPr>
                <w:rFonts w:cs="Arial"/>
                <w:lang w:eastAsia="en-GB"/>
              </w:rPr>
            </w:pPr>
            <w:r w:rsidRPr="00631312">
              <w:rPr>
                <w:rFonts w:cs="Arial"/>
              </w:rPr>
              <w:t>═════</w:t>
            </w:r>
          </w:p>
        </w:tc>
      </w:tr>
    </w:tbl>
    <w:p w14:paraId="34EB445A" w14:textId="77777777" w:rsidR="006309EE" w:rsidRPr="00631312" w:rsidRDefault="006309EE" w:rsidP="006309EE">
      <w:pPr>
        <w:autoSpaceDE w:val="0"/>
        <w:autoSpaceDN w:val="0"/>
        <w:adjustRightInd w:val="0"/>
        <w:rPr>
          <w:rFonts w:cs="Arial"/>
          <w:lang w:eastAsia="en-GB"/>
        </w:rPr>
      </w:pPr>
    </w:p>
    <w:p w14:paraId="40A9EE70" w14:textId="77777777" w:rsidR="00FC77F3" w:rsidRPr="00631312" w:rsidRDefault="006309EE" w:rsidP="00FC77F3">
      <w:pPr>
        <w:autoSpaceDE w:val="0"/>
        <w:autoSpaceDN w:val="0"/>
        <w:adjustRightInd w:val="0"/>
        <w:jc w:val="both"/>
        <w:rPr>
          <w:rFonts w:cs="Arial"/>
          <w:lang w:eastAsia="en-GB"/>
        </w:rPr>
      </w:pPr>
      <w:r w:rsidRPr="00631312">
        <w:rPr>
          <w:rFonts w:cs="Arial"/>
          <w:lang w:eastAsia="en-GB"/>
        </w:rPr>
        <w:t>The fair value of derivative financial instruments is equal to their carrying value, as shown in the above table.</w:t>
      </w:r>
    </w:p>
    <w:p w14:paraId="522D0BF0" w14:textId="77777777" w:rsidR="00FC77F3" w:rsidRPr="00631312" w:rsidRDefault="00FC77F3" w:rsidP="00FC77F3">
      <w:pPr>
        <w:autoSpaceDE w:val="0"/>
        <w:autoSpaceDN w:val="0"/>
        <w:adjustRightInd w:val="0"/>
        <w:jc w:val="center"/>
        <w:rPr>
          <w:b/>
        </w:rPr>
      </w:pPr>
      <w:r w:rsidRPr="00631312">
        <w:rPr>
          <w:rFonts w:cs="Arial"/>
          <w:lang w:eastAsia="en-GB"/>
        </w:rPr>
        <w:br w:type="page"/>
      </w:r>
      <w:r w:rsidRPr="00631312">
        <w:rPr>
          <w:b/>
        </w:rPr>
        <w:lastRenderedPageBreak/>
        <w:t>TRANSPORT FOR EDINBURGH LIMITED</w:t>
      </w:r>
    </w:p>
    <w:p w14:paraId="252FDA72" w14:textId="77777777" w:rsidR="00FC77F3" w:rsidRPr="00631312" w:rsidRDefault="00FC77F3" w:rsidP="00FC77F3">
      <w:pPr>
        <w:jc w:val="center"/>
        <w:rPr>
          <w:b/>
        </w:rPr>
      </w:pPr>
    </w:p>
    <w:p w14:paraId="37DBFC3D" w14:textId="77777777" w:rsidR="00FC77F3" w:rsidRPr="00631312" w:rsidRDefault="00FC77F3" w:rsidP="00FC77F3">
      <w:pPr>
        <w:jc w:val="center"/>
        <w:rPr>
          <w:b/>
        </w:rPr>
      </w:pPr>
      <w:r w:rsidRPr="00631312">
        <w:rPr>
          <w:b/>
        </w:rPr>
        <w:t>Notes to the Financial Statements (continued)</w:t>
      </w:r>
    </w:p>
    <w:p w14:paraId="0D688C2D" w14:textId="77777777" w:rsidR="00FC77F3" w:rsidRPr="00631312" w:rsidRDefault="00FC77F3" w:rsidP="00FC77F3">
      <w:pPr>
        <w:jc w:val="center"/>
        <w:rPr>
          <w:b/>
        </w:rPr>
      </w:pPr>
    </w:p>
    <w:p w14:paraId="7ED64FEB" w14:textId="77777777" w:rsidR="00FC77F3" w:rsidRPr="00631312" w:rsidRDefault="00D90B89" w:rsidP="00FC77F3">
      <w:pPr>
        <w:jc w:val="cente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7EC4E5B3" w14:textId="77777777" w:rsidR="006309EE" w:rsidRPr="00AE607B" w:rsidRDefault="006309EE" w:rsidP="006309EE">
      <w:pPr>
        <w:autoSpaceDE w:val="0"/>
        <w:autoSpaceDN w:val="0"/>
        <w:adjustRightInd w:val="0"/>
        <w:rPr>
          <w:rFonts w:cs="Arial"/>
          <w:lang w:eastAsia="en-GB"/>
        </w:rPr>
      </w:pPr>
    </w:p>
    <w:p w14:paraId="62AD03A1" w14:textId="77777777" w:rsidR="004B14BB" w:rsidRPr="00AE607B" w:rsidRDefault="004B14BB" w:rsidP="004B14BB">
      <w:pPr>
        <w:autoSpaceDE w:val="0"/>
        <w:autoSpaceDN w:val="0"/>
        <w:adjustRightInd w:val="0"/>
        <w:jc w:val="both"/>
        <w:rPr>
          <w:rFonts w:cs="Arial"/>
          <w:b/>
        </w:rPr>
      </w:pPr>
      <w:r w:rsidRPr="00AE607B">
        <w:rPr>
          <w:rFonts w:cs="Arial"/>
          <w:b/>
        </w:rPr>
        <w:t>2</w:t>
      </w:r>
      <w:r w:rsidR="00F72DA3">
        <w:rPr>
          <w:rFonts w:cs="Arial"/>
          <w:b/>
        </w:rPr>
        <w:t>7</w:t>
      </w:r>
      <w:r w:rsidRPr="00AE607B">
        <w:rPr>
          <w:rFonts w:cs="Arial"/>
          <w:b/>
        </w:rPr>
        <w:t>.   Derivative financial instruments</w:t>
      </w:r>
      <w:r w:rsidR="005D6132" w:rsidRPr="00AE607B">
        <w:rPr>
          <w:rFonts w:cs="Arial"/>
          <w:b/>
        </w:rPr>
        <w:t xml:space="preserve"> </w:t>
      </w:r>
      <w:r w:rsidR="005D6132" w:rsidRPr="00AE607B">
        <w:rPr>
          <w:b/>
        </w:rPr>
        <w:t>(continued)</w:t>
      </w:r>
    </w:p>
    <w:p w14:paraId="22711E38" w14:textId="77777777" w:rsidR="004B14BB" w:rsidRPr="00AE607B" w:rsidRDefault="004B14BB" w:rsidP="006309EE">
      <w:pPr>
        <w:autoSpaceDE w:val="0"/>
        <w:autoSpaceDN w:val="0"/>
        <w:adjustRightInd w:val="0"/>
        <w:rPr>
          <w:rFonts w:cs="Arial"/>
          <w:lang w:eastAsia="en-GB"/>
        </w:rPr>
      </w:pPr>
    </w:p>
    <w:p w14:paraId="68A0FEF1" w14:textId="77777777" w:rsidR="006309EE" w:rsidRPr="00B02CFE" w:rsidRDefault="006309EE" w:rsidP="006309EE">
      <w:pPr>
        <w:autoSpaceDE w:val="0"/>
        <w:autoSpaceDN w:val="0"/>
        <w:adjustRightInd w:val="0"/>
        <w:rPr>
          <w:rFonts w:cs="Arial"/>
          <w:lang w:eastAsia="en-GB"/>
        </w:rPr>
      </w:pPr>
      <w:r w:rsidRPr="00B02CFE">
        <w:rPr>
          <w:rFonts w:cs="Arial"/>
          <w:lang w:eastAsia="en-GB"/>
        </w:rPr>
        <w:t xml:space="preserve">The movements in the fair value of fuel derivatives in the </w:t>
      </w:r>
      <w:r w:rsidR="0011148E">
        <w:rPr>
          <w:rFonts w:cs="Arial"/>
          <w:lang w:eastAsia="en-GB"/>
        </w:rPr>
        <w:t>period</w:t>
      </w:r>
      <w:r w:rsidRPr="00B02CFE">
        <w:rPr>
          <w:rFonts w:cs="Arial"/>
          <w:lang w:eastAsia="en-GB"/>
        </w:rPr>
        <w:t xml:space="preserve"> were as follows:</w:t>
      </w:r>
    </w:p>
    <w:tbl>
      <w:tblPr>
        <w:tblW w:w="10173" w:type="dxa"/>
        <w:tblLayout w:type="fixed"/>
        <w:tblLook w:val="0000" w:firstRow="0" w:lastRow="0" w:firstColumn="0" w:lastColumn="0" w:noHBand="0" w:noVBand="0"/>
      </w:tblPr>
      <w:tblGrid>
        <w:gridCol w:w="7479"/>
        <w:gridCol w:w="1276"/>
        <w:gridCol w:w="1418"/>
      </w:tblGrid>
      <w:tr w:rsidR="00BA7AAF" w:rsidRPr="00B02CFE" w14:paraId="088FA3AF" w14:textId="77777777" w:rsidTr="00037D69">
        <w:tc>
          <w:tcPr>
            <w:tcW w:w="7479" w:type="dxa"/>
          </w:tcPr>
          <w:p w14:paraId="03615106" w14:textId="77777777" w:rsidR="00BA7AAF" w:rsidRPr="00B02CFE" w:rsidRDefault="00BA7AAF" w:rsidP="00BA7AAF">
            <w:pPr>
              <w:autoSpaceDE w:val="0"/>
              <w:autoSpaceDN w:val="0"/>
              <w:adjustRightInd w:val="0"/>
              <w:rPr>
                <w:rFonts w:cs="Arial"/>
                <w:b/>
                <w:lang w:eastAsia="en-GB"/>
              </w:rPr>
            </w:pPr>
          </w:p>
        </w:tc>
        <w:tc>
          <w:tcPr>
            <w:tcW w:w="1276" w:type="dxa"/>
          </w:tcPr>
          <w:p w14:paraId="476E151E" w14:textId="77777777" w:rsidR="00BA7AAF" w:rsidRPr="00B02CFE" w:rsidRDefault="007D4685" w:rsidP="00BA7AAF">
            <w:pPr>
              <w:autoSpaceDE w:val="0"/>
              <w:autoSpaceDN w:val="0"/>
              <w:adjustRightInd w:val="0"/>
              <w:jc w:val="center"/>
              <w:rPr>
                <w:rFonts w:cs="Arial"/>
                <w:b/>
                <w:lang w:eastAsia="en-GB"/>
              </w:rPr>
            </w:pPr>
            <w:r>
              <w:rPr>
                <w:rFonts w:cs="Arial"/>
                <w:b/>
                <w:lang w:eastAsia="en-GB"/>
              </w:rPr>
              <w:t>28/12/</w:t>
            </w:r>
            <w:r w:rsidR="00BA7AAF" w:rsidRPr="00B02CFE">
              <w:rPr>
                <w:rFonts w:cs="Arial"/>
                <w:b/>
                <w:lang w:eastAsia="en-GB"/>
              </w:rPr>
              <w:t>20</w:t>
            </w:r>
            <w:r w:rsidR="00CA350F" w:rsidRPr="00B02CFE">
              <w:rPr>
                <w:rFonts w:cs="Arial"/>
                <w:b/>
                <w:lang w:eastAsia="en-GB"/>
              </w:rPr>
              <w:t>2</w:t>
            </w:r>
            <w:r w:rsidR="00B02CFE">
              <w:rPr>
                <w:rFonts w:cs="Arial"/>
                <w:b/>
                <w:lang w:eastAsia="en-GB"/>
              </w:rPr>
              <w:t>4</w:t>
            </w:r>
          </w:p>
        </w:tc>
        <w:tc>
          <w:tcPr>
            <w:tcW w:w="1418" w:type="dxa"/>
          </w:tcPr>
          <w:p w14:paraId="652CF3BE" w14:textId="77777777" w:rsidR="00BA7AAF" w:rsidRPr="00B02CFE" w:rsidRDefault="007D4685" w:rsidP="00BA7AAF">
            <w:pPr>
              <w:autoSpaceDE w:val="0"/>
              <w:autoSpaceDN w:val="0"/>
              <w:adjustRightInd w:val="0"/>
              <w:ind w:right="176"/>
              <w:jc w:val="center"/>
              <w:rPr>
                <w:rFonts w:cs="Arial"/>
                <w:b/>
                <w:lang w:eastAsia="en-GB"/>
              </w:rPr>
            </w:pPr>
            <w:r>
              <w:rPr>
                <w:rFonts w:cs="Arial"/>
                <w:b/>
                <w:lang w:eastAsia="en-GB"/>
              </w:rPr>
              <w:t>30/12</w:t>
            </w:r>
            <w:r w:rsidR="00BF72BA">
              <w:rPr>
                <w:rFonts w:cs="Arial"/>
                <w:b/>
                <w:lang w:eastAsia="en-GB"/>
              </w:rPr>
              <w:t>/</w:t>
            </w:r>
            <w:r w:rsidR="00BA7AAF" w:rsidRPr="00B02CFE">
              <w:rPr>
                <w:rFonts w:cs="Arial"/>
                <w:b/>
                <w:lang w:eastAsia="en-GB"/>
              </w:rPr>
              <w:t>20</w:t>
            </w:r>
            <w:r w:rsidR="00165437" w:rsidRPr="00B02CFE">
              <w:rPr>
                <w:rFonts w:cs="Arial"/>
                <w:b/>
                <w:lang w:eastAsia="en-GB"/>
              </w:rPr>
              <w:t>2</w:t>
            </w:r>
            <w:r w:rsidR="00B02CFE">
              <w:rPr>
                <w:rFonts w:cs="Arial"/>
                <w:b/>
                <w:lang w:eastAsia="en-GB"/>
              </w:rPr>
              <w:t>3</w:t>
            </w:r>
          </w:p>
        </w:tc>
      </w:tr>
      <w:tr w:rsidR="00BA7AAF" w:rsidRPr="00B02CFE" w14:paraId="2AE70C77" w14:textId="77777777" w:rsidTr="00037D69">
        <w:tc>
          <w:tcPr>
            <w:tcW w:w="7479" w:type="dxa"/>
          </w:tcPr>
          <w:p w14:paraId="09871405" w14:textId="77777777" w:rsidR="00BA7AAF" w:rsidRPr="00B02CFE" w:rsidRDefault="00BA7AAF" w:rsidP="00BA7AAF">
            <w:pPr>
              <w:autoSpaceDE w:val="0"/>
              <w:autoSpaceDN w:val="0"/>
              <w:adjustRightInd w:val="0"/>
              <w:rPr>
                <w:rFonts w:cs="Arial"/>
                <w:lang w:eastAsia="en-GB"/>
              </w:rPr>
            </w:pPr>
            <w:r w:rsidRPr="00B02CFE">
              <w:rPr>
                <w:rFonts w:cs="Arial"/>
                <w:b/>
                <w:lang w:eastAsia="en-GB"/>
              </w:rPr>
              <w:t>Fuel derivatives</w:t>
            </w:r>
          </w:p>
        </w:tc>
        <w:tc>
          <w:tcPr>
            <w:tcW w:w="1276" w:type="dxa"/>
          </w:tcPr>
          <w:p w14:paraId="1E17B413" w14:textId="77777777" w:rsidR="00BA7AAF" w:rsidRPr="00B02CFE" w:rsidRDefault="00BA7AAF" w:rsidP="00BA7AAF">
            <w:pPr>
              <w:autoSpaceDE w:val="0"/>
              <w:autoSpaceDN w:val="0"/>
              <w:adjustRightInd w:val="0"/>
              <w:jc w:val="center"/>
              <w:rPr>
                <w:rFonts w:cs="Arial"/>
                <w:b/>
                <w:lang w:eastAsia="en-GB"/>
              </w:rPr>
            </w:pPr>
            <w:r w:rsidRPr="00B02CFE">
              <w:rPr>
                <w:rFonts w:cs="Arial"/>
                <w:b/>
                <w:lang w:eastAsia="en-GB"/>
              </w:rPr>
              <w:t>£’000</w:t>
            </w:r>
          </w:p>
        </w:tc>
        <w:tc>
          <w:tcPr>
            <w:tcW w:w="1418" w:type="dxa"/>
          </w:tcPr>
          <w:p w14:paraId="0E63EF7B" w14:textId="77777777" w:rsidR="00BA7AAF" w:rsidRPr="00B02CFE" w:rsidRDefault="00BA7AAF" w:rsidP="00BA7AAF">
            <w:pPr>
              <w:autoSpaceDE w:val="0"/>
              <w:autoSpaceDN w:val="0"/>
              <w:adjustRightInd w:val="0"/>
              <w:ind w:right="176"/>
              <w:jc w:val="center"/>
              <w:rPr>
                <w:rFonts w:cs="Arial"/>
                <w:b/>
                <w:lang w:eastAsia="en-GB"/>
              </w:rPr>
            </w:pPr>
            <w:r w:rsidRPr="00B02CFE">
              <w:rPr>
                <w:rFonts w:cs="Arial"/>
                <w:b/>
                <w:lang w:eastAsia="en-GB"/>
              </w:rPr>
              <w:t>£’000</w:t>
            </w:r>
          </w:p>
        </w:tc>
      </w:tr>
      <w:tr w:rsidR="00BA7AAF" w:rsidRPr="00B02CFE" w14:paraId="328B97EE" w14:textId="77777777" w:rsidTr="00037D69">
        <w:tc>
          <w:tcPr>
            <w:tcW w:w="7479" w:type="dxa"/>
          </w:tcPr>
          <w:p w14:paraId="7CD5EF58" w14:textId="77777777" w:rsidR="00BA7AAF" w:rsidRPr="00B02CFE" w:rsidRDefault="00BA7AAF" w:rsidP="00BA7AAF">
            <w:pPr>
              <w:autoSpaceDE w:val="0"/>
              <w:autoSpaceDN w:val="0"/>
              <w:adjustRightInd w:val="0"/>
              <w:rPr>
                <w:rFonts w:cs="Arial"/>
                <w:lang w:eastAsia="en-GB"/>
              </w:rPr>
            </w:pPr>
          </w:p>
        </w:tc>
        <w:tc>
          <w:tcPr>
            <w:tcW w:w="1276" w:type="dxa"/>
          </w:tcPr>
          <w:p w14:paraId="364BF310" w14:textId="77777777" w:rsidR="00BA7AAF" w:rsidRPr="00B02CFE" w:rsidRDefault="00BA7AAF" w:rsidP="00BA7AAF">
            <w:pPr>
              <w:autoSpaceDE w:val="0"/>
              <w:autoSpaceDN w:val="0"/>
              <w:adjustRightInd w:val="0"/>
              <w:jc w:val="center"/>
              <w:rPr>
                <w:rFonts w:cs="Arial"/>
                <w:lang w:eastAsia="en-GB"/>
              </w:rPr>
            </w:pPr>
          </w:p>
        </w:tc>
        <w:tc>
          <w:tcPr>
            <w:tcW w:w="1418" w:type="dxa"/>
          </w:tcPr>
          <w:p w14:paraId="1AB87C77" w14:textId="77777777" w:rsidR="00BA7AAF" w:rsidRPr="00B02CFE" w:rsidRDefault="00BA7AAF" w:rsidP="00BA7AAF">
            <w:pPr>
              <w:autoSpaceDE w:val="0"/>
              <w:autoSpaceDN w:val="0"/>
              <w:adjustRightInd w:val="0"/>
              <w:ind w:right="176"/>
              <w:jc w:val="center"/>
              <w:rPr>
                <w:rFonts w:cs="Arial"/>
                <w:lang w:eastAsia="en-GB"/>
              </w:rPr>
            </w:pPr>
          </w:p>
        </w:tc>
      </w:tr>
      <w:tr w:rsidR="00B02CFE" w:rsidRPr="00C328EF" w14:paraId="1341B656" w14:textId="77777777" w:rsidTr="00037D69">
        <w:tc>
          <w:tcPr>
            <w:tcW w:w="7479" w:type="dxa"/>
          </w:tcPr>
          <w:p w14:paraId="30504FDE" w14:textId="77777777" w:rsidR="00B02CFE" w:rsidRPr="00B02CFE" w:rsidRDefault="00B02CFE" w:rsidP="00B02CFE">
            <w:pPr>
              <w:autoSpaceDE w:val="0"/>
              <w:autoSpaceDN w:val="0"/>
              <w:adjustRightInd w:val="0"/>
              <w:rPr>
                <w:rFonts w:cs="Arial"/>
                <w:lang w:eastAsia="en-GB"/>
              </w:rPr>
            </w:pPr>
            <w:r w:rsidRPr="00B02CFE">
              <w:rPr>
                <w:rFonts w:cs="Arial"/>
                <w:lang w:eastAsia="en-GB"/>
              </w:rPr>
              <w:t xml:space="preserve">Fair value at the start of the </w:t>
            </w:r>
            <w:r w:rsidR="00D67CB6">
              <w:rPr>
                <w:rFonts w:cs="Arial"/>
                <w:lang w:eastAsia="en-GB"/>
              </w:rPr>
              <w:t>period</w:t>
            </w:r>
          </w:p>
        </w:tc>
        <w:tc>
          <w:tcPr>
            <w:tcW w:w="1276" w:type="dxa"/>
          </w:tcPr>
          <w:p w14:paraId="1414B94A" w14:textId="77777777" w:rsidR="00B02CFE" w:rsidRPr="00C328EF" w:rsidRDefault="00B02CFE" w:rsidP="00B02CFE">
            <w:pPr>
              <w:autoSpaceDE w:val="0"/>
              <w:autoSpaceDN w:val="0"/>
              <w:adjustRightInd w:val="0"/>
              <w:ind w:right="176"/>
              <w:jc w:val="right"/>
              <w:rPr>
                <w:rFonts w:cs="Arial"/>
                <w:highlight w:val="yellow"/>
                <w:lang w:eastAsia="en-GB"/>
              </w:rPr>
            </w:pPr>
            <w:r w:rsidRPr="00B02CFE">
              <w:rPr>
                <w:rFonts w:cs="Arial"/>
                <w:lang w:eastAsia="en-GB"/>
              </w:rPr>
              <w:t>(1,705)</w:t>
            </w:r>
          </w:p>
        </w:tc>
        <w:tc>
          <w:tcPr>
            <w:tcW w:w="1418" w:type="dxa"/>
          </w:tcPr>
          <w:p w14:paraId="7A1503DA" w14:textId="77777777" w:rsidR="00B02CFE" w:rsidRPr="00B02CFE" w:rsidRDefault="00B02CFE" w:rsidP="00B02CFE">
            <w:pPr>
              <w:autoSpaceDE w:val="0"/>
              <w:autoSpaceDN w:val="0"/>
              <w:adjustRightInd w:val="0"/>
              <w:ind w:right="176"/>
              <w:jc w:val="right"/>
              <w:rPr>
                <w:rFonts w:cs="Arial"/>
                <w:lang w:eastAsia="en-GB"/>
              </w:rPr>
            </w:pPr>
            <w:r w:rsidRPr="00B02CFE">
              <w:rPr>
                <w:rFonts w:cs="Arial"/>
                <w:lang w:eastAsia="en-GB"/>
              </w:rPr>
              <w:t>2,336</w:t>
            </w:r>
          </w:p>
        </w:tc>
      </w:tr>
      <w:tr w:rsidR="00B02CFE" w:rsidRPr="00C328EF" w14:paraId="396C3BF8" w14:textId="77777777" w:rsidTr="00037D69">
        <w:tc>
          <w:tcPr>
            <w:tcW w:w="7479" w:type="dxa"/>
          </w:tcPr>
          <w:p w14:paraId="5AFCC9B2" w14:textId="77777777" w:rsidR="00B02CFE" w:rsidRPr="00B02CFE" w:rsidRDefault="00B02CFE" w:rsidP="00B02CFE">
            <w:pPr>
              <w:autoSpaceDE w:val="0"/>
              <w:autoSpaceDN w:val="0"/>
              <w:adjustRightInd w:val="0"/>
              <w:rPr>
                <w:rFonts w:cs="Arial"/>
                <w:lang w:eastAsia="en-GB"/>
              </w:rPr>
            </w:pPr>
            <w:r w:rsidRPr="00B02CFE">
              <w:rPr>
                <w:rFonts w:cs="Arial"/>
                <w:lang w:eastAsia="en-GB"/>
              </w:rPr>
              <w:t xml:space="preserve">Changes in the fair value during the </w:t>
            </w:r>
            <w:r w:rsidR="00D67CB6">
              <w:rPr>
                <w:rFonts w:cs="Arial"/>
                <w:lang w:eastAsia="en-GB"/>
              </w:rPr>
              <w:t>period</w:t>
            </w:r>
            <w:r w:rsidRPr="00B02CFE">
              <w:rPr>
                <w:rFonts w:cs="Arial"/>
                <w:lang w:eastAsia="en-GB"/>
              </w:rPr>
              <w:t xml:space="preserve"> </w:t>
            </w:r>
          </w:p>
        </w:tc>
        <w:tc>
          <w:tcPr>
            <w:tcW w:w="1276" w:type="dxa"/>
          </w:tcPr>
          <w:p w14:paraId="2ED2A44E" w14:textId="77777777" w:rsidR="00B02CFE" w:rsidRPr="00B02CFE" w:rsidRDefault="00B02CFE" w:rsidP="00B02CFE">
            <w:pPr>
              <w:autoSpaceDE w:val="0"/>
              <w:autoSpaceDN w:val="0"/>
              <w:adjustRightInd w:val="0"/>
              <w:ind w:right="176"/>
              <w:jc w:val="right"/>
              <w:rPr>
                <w:rFonts w:cs="Arial"/>
                <w:lang w:eastAsia="en-GB"/>
              </w:rPr>
            </w:pPr>
            <w:r w:rsidRPr="00B02CFE">
              <w:rPr>
                <w:rFonts w:cs="Arial"/>
                <w:lang w:eastAsia="en-GB"/>
              </w:rPr>
              <w:t>766</w:t>
            </w:r>
          </w:p>
        </w:tc>
        <w:tc>
          <w:tcPr>
            <w:tcW w:w="1418" w:type="dxa"/>
          </w:tcPr>
          <w:p w14:paraId="61F61ABA" w14:textId="77777777" w:rsidR="00B02CFE" w:rsidRPr="00B02CFE" w:rsidRDefault="00B02CFE" w:rsidP="00B02CFE">
            <w:pPr>
              <w:autoSpaceDE w:val="0"/>
              <w:autoSpaceDN w:val="0"/>
              <w:adjustRightInd w:val="0"/>
              <w:ind w:right="176"/>
              <w:jc w:val="right"/>
              <w:rPr>
                <w:rFonts w:cs="Arial"/>
                <w:lang w:eastAsia="en-GB"/>
              </w:rPr>
            </w:pPr>
            <w:r w:rsidRPr="00B02CFE">
              <w:rPr>
                <w:rFonts w:cs="Arial"/>
                <w:lang w:eastAsia="en-GB"/>
              </w:rPr>
              <w:t>(2,857)</w:t>
            </w:r>
          </w:p>
        </w:tc>
      </w:tr>
      <w:tr w:rsidR="00B02CFE" w:rsidRPr="00C328EF" w14:paraId="3994EB0B" w14:textId="77777777" w:rsidTr="00037D69">
        <w:tc>
          <w:tcPr>
            <w:tcW w:w="7479" w:type="dxa"/>
          </w:tcPr>
          <w:p w14:paraId="0845703D" w14:textId="77777777" w:rsidR="00B02CFE" w:rsidRPr="00B02CFE" w:rsidRDefault="00B02CFE" w:rsidP="00B02CFE">
            <w:pPr>
              <w:autoSpaceDE w:val="0"/>
              <w:autoSpaceDN w:val="0"/>
              <w:adjustRightInd w:val="0"/>
              <w:rPr>
                <w:rFonts w:cs="Arial"/>
                <w:lang w:eastAsia="en-GB"/>
              </w:rPr>
            </w:pPr>
            <w:r w:rsidRPr="00B02CFE">
              <w:rPr>
                <w:rFonts w:cs="Arial"/>
                <w:lang w:eastAsia="en-GB"/>
              </w:rPr>
              <w:t xml:space="preserve">Cash paid/(received) during the </w:t>
            </w:r>
            <w:r w:rsidR="00D67CB6">
              <w:rPr>
                <w:rFonts w:cs="Arial"/>
                <w:lang w:eastAsia="en-GB"/>
              </w:rPr>
              <w:t>period</w:t>
            </w:r>
          </w:p>
        </w:tc>
        <w:tc>
          <w:tcPr>
            <w:tcW w:w="1276" w:type="dxa"/>
          </w:tcPr>
          <w:p w14:paraId="6AEF9126" w14:textId="77777777" w:rsidR="00B02CFE" w:rsidRPr="00B02CFE" w:rsidRDefault="00B02CFE" w:rsidP="00B02CFE">
            <w:pPr>
              <w:autoSpaceDE w:val="0"/>
              <w:autoSpaceDN w:val="0"/>
              <w:adjustRightInd w:val="0"/>
              <w:ind w:right="176"/>
              <w:jc w:val="right"/>
              <w:rPr>
                <w:rFonts w:cs="Arial"/>
                <w:lang w:eastAsia="en-GB"/>
              </w:rPr>
            </w:pPr>
            <w:r w:rsidRPr="00B02CFE">
              <w:rPr>
                <w:rFonts w:cs="Arial"/>
                <w:lang w:eastAsia="en-GB"/>
              </w:rPr>
              <w:t>434</w:t>
            </w:r>
          </w:p>
        </w:tc>
        <w:tc>
          <w:tcPr>
            <w:tcW w:w="1418" w:type="dxa"/>
          </w:tcPr>
          <w:p w14:paraId="03A05977" w14:textId="77777777" w:rsidR="00B02CFE" w:rsidRPr="00B02CFE" w:rsidRDefault="00B02CFE" w:rsidP="00B02CFE">
            <w:pPr>
              <w:autoSpaceDE w:val="0"/>
              <w:autoSpaceDN w:val="0"/>
              <w:adjustRightInd w:val="0"/>
              <w:ind w:right="176"/>
              <w:jc w:val="right"/>
              <w:rPr>
                <w:rFonts w:cs="Arial"/>
                <w:lang w:eastAsia="en-GB"/>
              </w:rPr>
            </w:pPr>
            <w:r w:rsidRPr="00B02CFE">
              <w:rPr>
                <w:rFonts w:cs="Arial"/>
                <w:lang w:eastAsia="en-GB"/>
              </w:rPr>
              <w:t>(1,184)</w:t>
            </w:r>
          </w:p>
        </w:tc>
      </w:tr>
      <w:tr w:rsidR="00B02CFE" w:rsidRPr="00C328EF" w14:paraId="2D06E226" w14:textId="77777777" w:rsidTr="00037D69">
        <w:tc>
          <w:tcPr>
            <w:tcW w:w="7479" w:type="dxa"/>
          </w:tcPr>
          <w:p w14:paraId="2109E368" w14:textId="77777777" w:rsidR="00B02CFE" w:rsidRPr="00B02CFE" w:rsidRDefault="00B02CFE" w:rsidP="00B02CFE">
            <w:pPr>
              <w:autoSpaceDE w:val="0"/>
              <w:autoSpaceDN w:val="0"/>
              <w:adjustRightInd w:val="0"/>
              <w:rPr>
                <w:rFonts w:cs="Arial"/>
                <w:lang w:eastAsia="en-GB"/>
              </w:rPr>
            </w:pPr>
          </w:p>
        </w:tc>
        <w:tc>
          <w:tcPr>
            <w:tcW w:w="1276" w:type="dxa"/>
          </w:tcPr>
          <w:p w14:paraId="1365E187" w14:textId="77777777" w:rsidR="00B02CFE" w:rsidRPr="00B02CFE" w:rsidRDefault="00B02CFE" w:rsidP="00B02CFE">
            <w:pPr>
              <w:autoSpaceDE w:val="0"/>
              <w:autoSpaceDN w:val="0"/>
              <w:adjustRightInd w:val="0"/>
              <w:ind w:right="176"/>
              <w:jc w:val="right"/>
              <w:rPr>
                <w:rFonts w:cs="Arial"/>
                <w:lang w:eastAsia="en-GB"/>
              </w:rPr>
            </w:pPr>
            <w:r w:rsidRPr="00B02CFE">
              <w:rPr>
                <w:rFonts w:cs="Arial"/>
                <w:lang w:eastAsia="en-GB"/>
              </w:rPr>
              <w:t>──────</w:t>
            </w:r>
          </w:p>
        </w:tc>
        <w:tc>
          <w:tcPr>
            <w:tcW w:w="1418" w:type="dxa"/>
          </w:tcPr>
          <w:p w14:paraId="4689BC3A" w14:textId="77777777" w:rsidR="00B02CFE" w:rsidRPr="00B02CFE" w:rsidRDefault="00B02CFE" w:rsidP="00B02CFE">
            <w:pPr>
              <w:autoSpaceDE w:val="0"/>
              <w:autoSpaceDN w:val="0"/>
              <w:adjustRightInd w:val="0"/>
              <w:ind w:right="176"/>
              <w:jc w:val="right"/>
              <w:rPr>
                <w:rFonts w:cs="Arial"/>
                <w:lang w:eastAsia="en-GB"/>
              </w:rPr>
            </w:pPr>
            <w:r w:rsidRPr="00B02CFE">
              <w:rPr>
                <w:rFonts w:cs="Arial"/>
                <w:lang w:eastAsia="en-GB"/>
              </w:rPr>
              <w:t>──────</w:t>
            </w:r>
          </w:p>
        </w:tc>
      </w:tr>
      <w:tr w:rsidR="00B02CFE" w:rsidRPr="00C328EF" w14:paraId="2F429324" w14:textId="77777777" w:rsidTr="00037D69">
        <w:tc>
          <w:tcPr>
            <w:tcW w:w="7479" w:type="dxa"/>
          </w:tcPr>
          <w:p w14:paraId="7C1EA6EA" w14:textId="77777777" w:rsidR="00B02CFE" w:rsidRPr="00B02CFE" w:rsidRDefault="00B02CFE" w:rsidP="00B02CFE">
            <w:pPr>
              <w:autoSpaceDE w:val="0"/>
              <w:autoSpaceDN w:val="0"/>
              <w:adjustRightInd w:val="0"/>
              <w:rPr>
                <w:rFonts w:cs="Arial"/>
                <w:lang w:eastAsia="en-GB"/>
              </w:rPr>
            </w:pPr>
            <w:r w:rsidRPr="00B02CFE">
              <w:rPr>
                <w:rFonts w:cs="Arial"/>
                <w:lang w:eastAsia="en-GB"/>
              </w:rPr>
              <w:t xml:space="preserve">Fair value at the end of the </w:t>
            </w:r>
            <w:r w:rsidR="00D67CB6">
              <w:rPr>
                <w:rFonts w:cs="Arial"/>
                <w:lang w:eastAsia="en-GB"/>
              </w:rPr>
              <w:t>period</w:t>
            </w:r>
          </w:p>
        </w:tc>
        <w:tc>
          <w:tcPr>
            <w:tcW w:w="1276" w:type="dxa"/>
          </w:tcPr>
          <w:p w14:paraId="3EF65A6A" w14:textId="77777777" w:rsidR="00B02CFE" w:rsidRPr="00B02CFE" w:rsidRDefault="00B02CFE" w:rsidP="00B02CFE">
            <w:pPr>
              <w:autoSpaceDE w:val="0"/>
              <w:autoSpaceDN w:val="0"/>
              <w:adjustRightInd w:val="0"/>
              <w:ind w:right="176"/>
              <w:jc w:val="right"/>
              <w:rPr>
                <w:rFonts w:cs="Arial"/>
                <w:lang w:eastAsia="en-GB"/>
              </w:rPr>
            </w:pPr>
            <w:r w:rsidRPr="00B02CFE">
              <w:rPr>
                <w:rFonts w:cs="Arial"/>
                <w:lang w:eastAsia="en-GB"/>
              </w:rPr>
              <w:t>(505)</w:t>
            </w:r>
          </w:p>
        </w:tc>
        <w:tc>
          <w:tcPr>
            <w:tcW w:w="1418" w:type="dxa"/>
          </w:tcPr>
          <w:p w14:paraId="0BF774A5" w14:textId="77777777" w:rsidR="00B02CFE" w:rsidRPr="00B02CFE" w:rsidRDefault="00B02CFE" w:rsidP="00B02CFE">
            <w:pPr>
              <w:autoSpaceDE w:val="0"/>
              <w:autoSpaceDN w:val="0"/>
              <w:adjustRightInd w:val="0"/>
              <w:ind w:right="176"/>
              <w:jc w:val="right"/>
              <w:rPr>
                <w:rFonts w:cs="Arial"/>
                <w:lang w:eastAsia="en-GB"/>
              </w:rPr>
            </w:pPr>
            <w:r w:rsidRPr="00B02CFE">
              <w:rPr>
                <w:rFonts w:cs="Arial"/>
                <w:lang w:eastAsia="en-GB"/>
              </w:rPr>
              <w:t>(1,705)</w:t>
            </w:r>
          </w:p>
        </w:tc>
      </w:tr>
      <w:tr w:rsidR="00B02CFE" w:rsidRPr="00C328EF" w14:paraId="01826D8B" w14:textId="77777777" w:rsidTr="00037D69">
        <w:tc>
          <w:tcPr>
            <w:tcW w:w="7479" w:type="dxa"/>
          </w:tcPr>
          <w:p w14:paraId="2813A492" w14:textId="77777777" w:rsidR="00B02CFE" w:rsidRPr="00C328EF" w:rsidRDefault="00B02CFE" w:rsidP="00B02CFE">
            <w:pPr>
              <w:autoSpaceDE w:val="0"/>
              <w:autoSpaceDN w:val="0"/>
              <w:adjustRightInd w:val="0"/>
              <w:rPr>
                <w:rFonts w:cs="Arial"/>
                <w:highlight w:val="yellow"/>
                <w:lang w:eastAsia="en-GB"/>
              </w:rPr>
            </w:pPr>
          </w:p>
        </w:tc>
        <w:tc>
          <w:tcPr>
            <w:tcW w:w="1276" w:type="dxa"/>
          </w:tcPr>
          <w:p w14:paraId="149D3C60" w14:textId="77777777" w:rsidR="00B02CFE" w:rsidRPr="00B02CFE" w:rsidRDefault="00B02CFE" w:rsidP="00B02CFE">
            <w:pPr>
              <w:autoSpaceDE w:val="0"/>
              <w:autoSpaceDN w:val="0"/>
              <w:adjustRightInd w:val="0"/>
              <w:ind w:right="176"/>
              <w:jc w:val="right"/>
              <w:rPr>
                <w:rFonts w:cs="Arial"/>
                <w:lang w:eastAsia="en-GB"/>
              </w:rPr>
            </w:pPr>
            <w:r w:rsidRPr="00B02CFE">
              <w:rPr>
                <w:rFonts w:cs="Arial"/>
              </w:rPr>
              <w:t>══════</w:t>
            </w:r>
          </w:p>
        </w:tc>
        <w:tc>
          <w:tcPr>
            <w:tcW w:w="1418" w:type="dxa"/>
          </w:tcPr>
          <w:p w14:paraId="6F21DF5A" w14:textId="77777777" w:rsidR="00B02CFE" w:rsidRPr="00B02CFE" w:rsidRDefault="00B02CFE" w:rsidP="00B02CFE">
            <w:pPr>
              <w:autoSpaceDE w:val="0"/>
              <w:autoSpaceDN w:val="0"/>
              <w:adjustRightInd w:val="0"/>
              <w:ind w:right="176"/>
              <w:jc w:val="right"/>
              <w:rPr>
                <w:rFonts w:cs="Arial"/>
                <w:lang w:eastAsia="en-GB"/>
              </w:rPr>
            </w:pPr>
            <w:r w:rsidRPr="00B02CFE">
              <w:rPr>
                <w:rFonts w:cs="Arial"/>
              </w:rPr>
              <w:t>══════</w:t>
            </w:r>
          </w:p>
        </w:tc>
      </w:tr>
    </w:tbl>
    <w:p w14:paraId="03B12C11" w14:textId="77777777" w:rsidR="004831CF" w:rsidRPr="00B02CFE" w:rsidRDefault="004831CF" w:rsidP="004831CF">
      <w:pPr>
        <w:spacing w:after="160" w:line="259" w:lineRule="auto"/>
        <w:rPr>
          <w:rFonts w:eastAsia="Calibri" w:cs="Arial"/>
          <w:lang w:eastAsia="en-GB"/>
        </w:rPr>
      </w:pPr>
      <w:r w:rsidRPr="00B02CFE">
        <w:rPr>
          <w:rFonts w:eastAsia="Calibri" w:cs="Arial"/>
          <w:lang w:eastAsia="en-GB"/>
        </w:rPr>
        <w:t>No hedging ineffectiveness has been recognised in the profit and loss account.</w:t>
      </w:r>
    </w:p>
    <w:p w14:paraId="3EF42EFD" w14:textId="77777777" w:rsidR="004831CF" w:rsidRPr="00B02CFE" w:rsidRDefault="004831CF" w:rsidP="006309EE">
      <w:pPr>
        <w:rPr>
          <w:rFonts w:cs="Arial"/>
          <w:sz w:val="8"/>
          <w:szCs w:val="8"/>
          <w:lang w:eastAsia="en-GB"/>
        </w:rPr>
      </w:pPr>
    </w:p>
    <w:p w14:paraId="38BB88B2" w14:textId="77777777" w:rsidR="006309EE" w:rsidRPr="00B02CFE" w:rsidRDefault="006309EE" w:rsidP="006309EE">
      <w:pPr>
        <w:rPr>
          <w:rFonts w:cs="Arial"/>
          <w:lang w:eastAsia="en-GB"/>
        </w:rPr>
      </w:pPr>
      <w:r w:rsidRPr="00B02CFE">
        <w:rPr>
          <w:rFonts w:cs="Arial"/>
          <w:lang w:eastAsia="en-GB"/>
        </w:rPr>
        <w:t>The fair value of derivatives split by maturity was as follows:</w:t>
      </w:r>
    </w:p>
    <w:tbl>
      <w:tblPr>
        <w:tblW w:w="10173" w:type="dxa"/>
        <w:tblLayout w:type="fixed"/>
        <w:tblLook w:val="0000" w:firstRow="0" w:lastRow="0" w:firstColumn="0" w:lastColumn="0" w:noHBand="0" w:noVBand="0"/>
      </w:tblPr>
      <w:tblGrid>
        <w:gridCol w:w="8897"/>
        <w:gridCol w:w="1276"/>
      </w:tblGrid>
      <w:tr w:rsidR="006309EE" w:rsidRPr="00B02CFE" w14:paraId="4E6E58E1" w14:textId="77777777" w:rsidTr="00037D69">
        <w:tc>
          <w:tcPr>
            <w:tcW w:w="8897" w:type="dxa"/>
          </w:tcPr>
          <w:p w14:paraId="0D77D4A8" w14:textId="77777777" w:rsidR="006309EE" w:rsidRPr="00B02CFE" w:rsidRDefault="006309EE" w:rsidP="00616380">
            <w:pPr>
              <w:autoSpaceDE w:val="0"/>
              <w:autoSpaceDN w:val="0"/>
              <w:adjustRightInd w:val="0"/>
              <w:rPr>
                <w:rFonts w:cs="Arial"/>
                <w:b/>
                <w:lang w:eastAsia="en-GB"/>
              </w:rPr>
            </w:pPr>
          </w:p>
        </w:tc>
        <w:tc>
          <w:tcPr>
            <w:tcW w:w="1276" w:type="dxa"/>
          </w:tcPr>
          <w:p w14:paraId="4925E927" w14:textId="77777777" w:rsidR="006309EE" w:rsidRPr="00B02CFE" w:rsidRDefault="00B02CFE" w:rsidP="00616380">
            <w:pPr>
              <w:autoSpaceDE w:val="0"/>
              <w:autoSpaceDN w:val="0"/>
              <w:adjustRightInd w:val="0"/>
              <w:jc w:val="center"/>
              <w:rPr>
                <w:rFonts w:cs="Arial"/>
                <w:b/>
                <w:lang w:eastAsia="en-GB"/>
              </w:rPr>
            </w:pPr>
            <w:r>
              <w:rPr>
                <w:rFonts w:cs="Arial"/>
                <w:b/>
                <w:lang w:eastAsia="en-GB"/>
              </w:rPr>
              <w:t>(Liabilities)/</w:t>
            </w:r>
            <w:r w:rsidR="0037517C" w:rsidRPr="00B02CFE">
              <w:rPr>
                <w:rFonts w:cs="Arial"/>
                <w:b/>
                <w:lang w:eastAsia="en-GB"/>
              </w:rPr>
              <w:t>Assets</w:t>
            </w:r>
          </w:p>
        </w:tc>
      </w:tr>
      <w:tr w:rsidR="006309EE" w:rsidRPr="00B02CFE" w14:paraId="336853DC" w14:textId="77777777" w:rsidTr="00037D69">
        <w:tc>
          <w:tcPr>
            <w:tcW w:w="8897" w:type="dxa"/>
          </w:tcPr>
          <w:p w14:paraId="7A549629" w14:textId="77777777" w:rsidR="006309EE" w:rsidRPr="00B02CFE" w:rsidRDefault="00565033" w:rsidP="00672228">
            <w:pPr>
              <w:autoSpaceDE w:val="0"/>
              <w:autoSpaceDN w:val="0"/>
              <w:adjustRightInd w:val="0"/>
              <w:rPr>
                <w:rFonts w:cs="Arial"/>
                <w:b/>
                <w:lang w:eastAsia="en-GB"/>
              </w:rPr>
            </w:pPr>
            <w:r w:rsidRPr="00B02CFE">
              <w:rPr>
                <w:rFonts w:cs="Arial"/>
                <w:b/>
                <w:lang w:eastAsia="en-GB"/>
              </w:rPr>
              <w:t xml:space="preserve">As at </w:t>
            </w:r>
            <w:r w:rsidR="00D67CB6">
              <w:rPr>
                <w:rFonts w:cs="Arial"/>
                <w:b/>
                <w:lang w:eastAsia="en-GB"/>
              </w:rPr>
              <w:t>28</w:t>
            </w:r>
            <w:r w:rsidRPr="00B02CFE">
              <w:rPr>
                <w:rFonts w:cs="Arial"/>
                <w:b/>
                <w:lang w:eastAsia="en-GB"/>
              </w:rPr>
              <w:t xml:space="preserve"> December 20</w:t>
            </w:r>
            <w:r w:rsidR="00CA350F" w:rsidRPr="00B02CFE">
              <w:rPr>
                <w:rFonts w:cs="Arial"/>
                <w:b/>
                <w:lang w:eastAsia="en-GB"/>
              </w:rPr>
              <w:t>2</w:t>
            </w:r>
            <w:r w:rsidR="00B02CFE">
              <w:rPr>
                <w:rFonts w:cs="Arial"/>
                <w:b/>
                <w:lang w:eastAsia="en-GB"/>
              </w:rPr>
              <w:t>4</w:t>
            </w:r>
          </w:p>
        </w:tc>
        <w:tc>
          <w:tcPr>
            <w:tcW w:w="1276" w:type="dxa"/>
          </w:tcPr>
          <w:p w14:paraId="1A11AEB7" w14:textId="77777777" w:rsidR="006309EE" w:rsidRPr="00B02CFE" w:rsidRDefault="006309EE" w:rsidP="00616380">
            <w:pPr>
              <w:autoSpaceDE w:val="0"/>
              <w:autoSpaceDN w:val="0"/>
              <w:adjustRightInd w:val="0"/>
              <w:jc w:val="center"/>
              <w:rPr>
                <w:rFonts w:cs="Arial"/>
                <w:b/>
                <w:lang w:eastAsia="en-GB"/>
              </w:rPr>
            </w:pPr>
            <w:r w:rsidRPr="00B02CFE">
              <w:rPr>
                <w:rFonts w:cs="Arial"/>
                <w:b/>
                <w:lang w:eastAsia="en-GB"/>
              </w:rPr>
              <w:t>£’000</w:t>
            </w:r>
          </w:p>
        </w:tc>
      </w:tr>
      <w:tr w:rsidR="006309EE" w:rsidRPr="00B02CFE" w14:paraId="52F48BB5" w14:textId="77777777" w:rsidTr="00037D69">
        <w:tc>
          <w:tcPr>
            <w:tcW w:w="8897" w:type="dxa"/>
          </w:tcPr>
          <w:p w14:paraId="4465ED4C" w14:textId="77777777" w:rsidR="006309EE" w:rsidRPr="00B02CFE" w:rsidRDefault="006309EE" w:rsidP="00616380">
            <w:pPr>
              <w:autoSpaceDE w:val="0"/>
              <w:autoSpaceDN w:val="0"/>
              <w:adjustRightInd w:val="0"/>
              <w:rPr>
                <w:rFonts w:cs="Arial"/>
                <w:lang w:eastAsia="en-GB"/>
              </w:rPr>
            </w:pPr>
          </w:p>
        </w:tc>
        <w:tc>
          <w:tcPr>
            <w:tcW w:w="1276" w:type="dxa"/>
          </w:tcPr>
          <w:p w14:paraId="154D564D" w14:textId="77777777" w:rsidR="006309EE" w:rsidRPr="00B02CFE" w:rsidRDefault="006309EE" w:rsidP="00616380">
            <w:pPr>
              <w:autoSpaceDE w:val="0"/>
              <w:autoSpaceDN w:val="0"/>
              <w:adjustRightInd w:val="0"/>
              <w:jc w:val="center"/>
              <w:rPr>
                <w:rFonts w:cs="Arial"/>
                <w:lang w:eastAsia="en-GB"/>
              </w:rPr>
            </w:pPr>
          </w:p>
        </w:tc>
      </w:tr>
      <w:tr w:rsidR="00492E6D" w:rsidRPr="00B02CFE" w14:paraId="64DE78D8" w14:textId="77777777" w:rsidTr="00037D69">
        <w:tc>
          <w:tcPr>
            <w:tcW w:w="8897" w:type="dxa"/>
          </w:tcPr>
          <w:p w14:paraId="0AA08064" w14:textId="77777777" w:rsidR="00492E6D" w:rsidRPr="00B02CFE" w:rsidRDefault="00492E6D" w:rsidP="00492E6D">
            <w:pPr>
              <w:autoSpaceDE w:val="0"/>
              <w:autoSpaceDN w:val="0"/>
              <w:adjustRightInd w:val="0"/>
              <w:rPr>
                <w:rFonts w:cs="Arial"/>
                <w:lang w:eastAsia="en-GB"/>
              </w:rPr>
            </w:pPr>
            <w:r w:rsidRPr="00B02CFE">
              <w:rPr>
                <w:rFonts w:cs="Arial"/>
                <w:lang w:eastAsia="en-GB"/>
              </w:rPr>
              <w:t xml:space="preserve">Within one year    (Notional Amount of </w:t>
            </w:r>
            <w:r w:rsidR="00B02CFE" w:rsidRPr="00B02CFE">
              <w:rPr>
                <w:rFonts w:cs="Arial"/>
                <w:lang w:eastAsia="en-GB"/>
              </w:rPr>
              <w:t>20</w:t>
            </w:r>
            <w:r w:rsidRPr="00B02CFE">
              <w:rPr>
                <w:rFonts w:cs="Arial"/>
                <w:lang w:eastAsia="en-GB"/>
              </w:rPr>
              <w:t>,</w:t>
            </w:r>
            <w:r w:rsidR="00B02CFE" w:rsidRPr="00B02CFE">
              <w:rPr>
                <w:rFonts w:cs="Arial"/>
                <w:lang w:eastAsia="en-GB"/>
              </w:rPr>
              <w:t>040</w:t>
            </w:r>
            <w:r w:rsidRPr="00B02CFE">
              <w:rPr>
                <w:rFonts w:cs="Arial"/>
                <w:lang w:eastAsia="en-GB"/>
              </w:rPr>
              <w:t xml:space="preserve">,000) </w:t>
            </w:r>
          </w:p>
        </w:tc>
        <w:tc>
          <w:tcPr>
            <w:tcW w:w="1276" w:type="dxa"/>
          </w:tcPr>
          <w:p w14:paraId="4A6A2371" w14:textId="77777777" w:rsidR="00492E6D" w:rsidRPr="00B02CFE" w:rsidRDefault="00492E6D" w:rsidP="00492E6D">
            <w:pPr>
              <w:jc w:val="right"/>
              <w:rPr>
                <w:rFonts w:cs="Arial"/>
                <w:color w:val="000000"/>
              </w:rPr>
            </w:pPr>
            <w:r w:rsidRPr="00B02CFE">
              <w:rPr>
                <w:rFonts w:cs="Arial"/>
                <w:color w:val="000000"/>
              </w:rPr>
              <w:t>(</w:t>
            </w:r>
            <w:r w:rsidR="00B02CFE" w:rsidRPr="00B02CFE">
              <w:rPr>
                <w:rFonts w:cs="Arial"/>
                <w:color w:val="000000"/>
              </w:rPr>
              <w:t>310</w:t>
            </w:r>
            <w:r w:rsidRPr="00B02CFE">
              <w:rPr>
                <w:rFonts w:cs="Arial"/>
                <w:color w:val="000000"/>
              </w:rPr>
              <w:t>)</w:t>
            </w:r>
          </w:p>
        </w:tc>
      </w:tr>
      <w:tr w:rsidR="00492E6D" w:rsidRPr="00B02CFE" w14:paraId="055667FF" w14:textId="77777777" w:rsidTr="00037D69">
        <w:tc>
          <w:tcPr>
            <w:tcW w:w="8897" w:type="dxa"/>
          </w:tcPr>
          <w:p w14:paraId="45CEEBA8" w14:textId="77777777" w:rsidR="00492E6D" w:rsidRPr="00B02CFE" w:rsidRDefault="00492E6D" w:rsidP="00492E6D">
            <w:pPr>
              <w:autoSpaceDE w:val="0"/>
              <w:autoSpaceDN w:val="0"/>
              <w:adjustRightInd w:val="0"/>
              <w:rPr>
                <w:rFonts w:cs="Arial"/>
                <w:lang w:eastAsia="en-GB"/>
              </w:rPr>
            </w:pPr>
            <w:r w:rsidRPr="00B02CFE">
              <w:rPr>
                <w:rFonts w:cs="Arial"/>
                <w:lang w:eastAsia="en-GB"/>
              </w:rPr>
              <w:t xml:space="preserve">1 to 2 years          (Notional Amount of </w:t>
            </w:r>
            <w:r w:rsidR="00B02CFE" w:rsidRPr="00B02CFE">
              <w:rPr>
                <w:rFonts w:cs="Arial"/>
                <w:lang w:eastAsia="en-GB"/>
              </w:rPr>
              <w:t>10</w:t>
            </w:r>
            <w:r w:rsidRPr="00B02CFE">
              <w:rPr>
                <w:rFonts w:cs="Arial"/>
                <w:lang w:eastAsia="en-GB"/>
              </w:rPr>
              <w:t>,</w:t>
            </w:r>
            <w:r w:rsidR="00B02CFE" w:rsidRPr="00B02CFE">
              <w:rPr>
                <w:rFonts w:cs="Arial"/>
                <w:lang w:eastAsia="en-GB"/>
              </w:rPr>
              <w:t>020</w:t>
            </w:r>
            <w:r w:rsidRPr="00B02CFE">
              <w:rPr>
                <w:rFonts w:cs="Arial"/>
                <w:lang w:eastAsia="en-GB"/>
              </w:rPr>
              <w:t>,000)</w:t>
            </w:r>
          </w:p>
        </w:tc>
        <w:tc>
          <w:tcPr>
            <w:tcW w:w="1276" w:type="dxa"/>
          </w:tcPr>
          <w:p w14:paraId="2E33692B" w14:textId="77777777" w:rsidR="00492E6D" w:rsidRPr="00B02CFE" w:rsidRDefault="00492E6D" w:rsidP="00492E6D">
            <w:pPr>
              <w:autoSpaceDE w:val="0"/>
              <w:autoSpaceDN w:val="0"/>
              <w:adjustRightInd w:val="0"/>
              <w:jc w:val="right"/>
              <w:rPr>
                <w:rFonts w:cs="Arial"/>
                <w:lang w:eastAsia="en-GB"/>
              </w:rPr>
            </w:pPr>
            <w:r w:rsidRPr="00B02CFE">
              <w:rPr>
                <w:rFonts w:cs="Arial"/>
                <w:lang w:eastAsia="en-GB"/>
              </w:rPr>
              <w:t>(</w:t>
            </w:r>
            <w:r w:rsidR="00B02CFE" w:rsidRPr="00B02CFE">
              <w:rPr>
                <w:rFonts w:cs="Arial"/>
                <w:lang w:eastAsia="en-GB"/>
              </w:rPr>
              <w:t>239</w:t>
            </w:r>
            <w:r w:rsidRPr="00B02CFE">
              <w:rPr>
                <w:rFonts w:cs="Arial"/>
                <w:lang w:eastAsia="en-GB"/>
              </w:rPr>
              <w:t>)</w:t>
            </w:r>
          </w:p>
        </w:tc>
      </w:tr>
      <w:tr w:rsidR="00492E6D" w:rsidRPr="00B02CFE" w14:paraId="3D4C36FE" w14:textId="77777777" w:rsidTr="00037D69">
        <w:tc>
          <w:tcPr>
            <w:tcW w:w="8897" w:type="dxa"/>
          </w:tcPr>
          <w:p w14:paraId="5EE05F27" w14:textId="77777777" w:rsidR="00492E6D" w:rsidRPr="00B02CFE" w:rsidRDefault="00492E6D" w:rsidP="00492E6D">
            <w:pPr>
              <w:autoSpaceDE w:val="0"/>
              <w:autoSpaceDN w:val="0"/>
              <w:adjustRightInd w:val="0"/>
              <w:rPr>
                <w:rFonts w:cs="Arial"/>
                <w:lang w:eastAsia="en-GB"/>
              </w:rPr>
            </w:pPr>
            <w:r w:rsidRPr="00B02CFE">
              <w:rPr>
                <w:rFonts w:cs="Arial"/>
                <w:lang w:eastAsia="en-GB"/>
              </w:rPr>
              <w:t xml:space="preserve">2 to 3 years          (Notional Amount of </w:t>
            </w:r>
            <w:r w:rsidR="00B02CFE" w:rsidRPr="00B02CFE">
              <w:rPr>
                <w:rFonts w:cs="Arial"/>
                <w:lang w:eastAsia="en-GB"/>
              </w:rPr>
              <w:t>5</w:t>
            </w:r>
            <w:r w:rsidRPr="00B02CFE">
              <w:rPr>
                <w:rFonts w:cs="Arial"/>
                <w:lang w:eastAsia="en-GB"/>
              </w:rPr>
              <w:t>,</w:t>
            </w:r>
            <w:r w:rsidR="00B02CFE" w:rsidRPr="00B02CFE">
              <w:rPr>
                <w:rFonts w:cs="Arial"/>
                <w:lang w:eastAsia="en-GB"/>
              </w:rPr>
              <w:t>04</w:t>
            </w:r>
            <w:r w:rsidRPr="00B02CFE">
              <w:rPr>
                <w:rFonts w:cs="Arial"/>
                <w:lang w:eastAsia="en-GB"/>
              </w:rPr>
              <w:t>0,000)</w:t>
            </w:r>
          </w:p>
        </w:tc>
        <w:tc>
          <w:tcPr>
            <w:tcW w:w="1276" w:type="dxa"/>
          </w:tcPr>
          <w:p w14:paraId="60AF39E0" w14:textId="77777777" w:rsidR="00492E6D" w:rsidRPr="00B02CFE" w:rsidRDefault="00B02CFE" w:rsidP="00492E6D">
            <w:pPr>
              <w:autoSpaceDE w:val="0"/>
              <w:autoSpaceDN w:val="0"/>
              <w:adjustRightInd w:val="0"/>
              <w:jc w:val="right"/>
              <w:rPr>
                <w:rFonts w:cs="Arial"/>
                <w:lang w:eastAsia="en-GB"/>
              </w:rPr>
            </w:pPr>
            <w:r w:rsidRPr="00B02CFE">
              <w:rPr>
                <w:rFonts w:cs="Arial"/>
                <w:lang w:eastAsia="en-GB"/>
              </w:rPr>
              <w:t>44</w:t>
            </w:r>
          </w:p>
        </w:tc>
      </w:tr>
      <w:tr w:rsidR="00492E6D" w:rsidRPr="00C328EF" w14:paraId="0DC91252" w14:textId="77777777" w:rsidTr="00037D69">
        <w:tc>
          <w:tcPr>
            <w:tcW w:w="8897" w:type="dxa"/>
          </w:tcPr>
          <w:p w14:paraId="2FE68857" w14:textId="77777777" w:rsidR="00492E6D" w:rsidRPr="00C328EF" w:rsidRDefault="00492E6D" w:rsidP="00492E6D">
            <w:pPr>
              <w:autoSpaceDE w:val="0"/>
              <w:autoSpaceDN w:val="0"/>
              <w:adjustRightInd w:val="0"/>
              <w:rPr>
                <w:rFonts w:cs="Arial"/>
                <w:highlight w:val="yellow"/>
                <w:lang w:eastAsia="en-GB"/>
              </w:rPr>
            </w:pPr>
          </w:p>
        </w:tc>
        <w:tc>
          <w:tcPr>
            <w:tcW w:w="1276" w:type="dxa"/>
          </w:tcPr>
          <w:p w14:paraId="3A0931D2" w14:textId="77777777" w:rsidR="00492E6D" w:rsidRPr="00B02CFE" w:rsidRDefault="00492E6D" w:rsidP="00492E6D">
            <w:pPr>
              <w:autoSpaceDE w:val="0"/>
              <w:autoSpaceDN w:val="0"/>
              <w:adjustRightInd w:val="0"/>
              <w:ind w:right="57"/>
              <w:jc w:val="right"/>
              <w:rPr>
                <w:rFonts w:cs="Arial"/>
                <w:lang w:eastAsia="en-GB"/>
              </w:rPr>
            </w:pPr>
            <w:r w:rsidRPr="00B02CFE">
              <w:rPr>
                <w:rFonts w:cs="Arial"/>
                <w:lang w:eastAsia="en-GB"/>
              </w:rPr>
              <w:t>──────</w:t>
            </w:r>
          </w:p>
        </w:tc>
      </w:tr>
      <w:tr w:rsidR="00492E6D" w:rsidRPr="00C328EF" w14:paraId="3BA60CB9" w14:textId="77777777" w:rsidTr="00037D69">
        <w:tc>
          <w:tcPr>
            <w:tcW w:w="8897" w:type="dxa"/>
          </w:tcPr>
          <w:p w14:paraId="75D07CC6" w14:textId="77777777" w:rsidR="00492E6D" w:rsidRPr="00C328EF" w:rsidRDefault="00492E6D" w:rsidP="00492E6D">
            <w:pPr>
              <w:autoSpaceDE w:val="0"/>
              <w:autoSpaceDN w:val="0"/>
              <w:adjustRightInd w:val="0"/>
              <w:rPr>
                <w:rFonts w:cs="Arial"/>
                <w:highlight w:val="yellow"/>
                <w:lang w:eastAsia="en-GB"/>
              </w:rPr>
            </w:pPr>
          </w:p>
        </w:tc>
        <w:tc>
          <w:tcPr>
            <w:tcW w:w="1276" w:type="dxa"/>
          </w:tcPr>
          <w:p w14:paraId="5A4F9F7B" w14:textId="77777777" w:rsidR="00492E6D" w:rsidRPr="00B02CFE" w:rsidRDefault="00037D69" w:rsidP="00037D69">
            <w:pPr>
              <w:jc w:val="right"/>
              <w:rPr>
                <w:rFonts w:cs="Arial"/>
                <w:lang w:eastAsia="en-GB"/>
              </w:rPr>
            </w:pPr>
            <w:r w:rsidRPr="00037D69">
              <w:rPr>
                <w:rFonts w:cs="Arial"/>
                <w:color w:val="000000"/>
              </w:rPr>
              <w:t xml:space="preserve">   </w:t>
            </w:r>
            <w:r w:rsidR="00492E6D" w:rsidRPr="00037D69">
              <w:rPr>
                <w:rFonts w:cs="Arial"/>
                <w:color w:val="000000"/>
              </w:rPr>
              <w:t>(</w:t>
            </w:r>
            <w:r w:rsidR="00B02CFE" w:rsidRPr="00037D69">
              <w:rPr>
                <w:rFonts w:cs="Arial"/>
                <w:color w:val="000000"/>
              </w:rPr>
              <w:t>5</w:t>
            </w:r>
            <w:r w:rsidR="00492E6D" w:rsidRPr="00037D69">
              <w:rPr>
                <w:rFonts w:cs="Arial"/>
                <w:color w:val="000000"/>
              </w:rPr>
              <w:t>05)</w:t>
            </w:r>
          </w:p>
        </w:tc>
      </w:tr>
      <w:tr w:rsidR="00492E6D" w:rsidRPr="00AE607B" w14:paraId="35A3288A" w14:textId="77777777" w:rsidTr="00037D69">
        <w:tc>
          <w:tcPr>
            <w:tcW w:w="8897" w:type="dxa"/>
          </w:tcPr>
          <w:p w14:paraId="6C42E348" w14:textId="77777777" w:rsidR="00492E6D" w:rsidRPr="00AE607B" w:rsidRDefault="00492E6D" w:rsidP="00492E6D">
            <w:pPr>
              <w:autoSpaceDE w:val="0"/>
              <w:autoSpaceDN w:val="0"/>
              <w:adjustRightInd w:val="0"/>
              <w:rPr>
                <w:rFonts w:cs="Arial"/>
                <w:lang w:eastAsia="en-GB"/>
              </w:rPr>
            </w:pPr>
          </w:p>
        </w:tc>
        <w:tc>
          <w:tcPr>
            <w:tcW w:w="1276" w:type="dxa"/>
          </w:tcPr>
          <w:p w14:paraId="5D162555" w14:textId="77777777" w:rsidR="00492E6D" w:rsidRPr="00AE607B" w:rsidRDefault="00492E6D" w:rsidP="00492E6D">
            <w:pPr>
              <w:autoSpaceDE w:val="0"/>
              <w:autoSpaceDN w:val="0"/>
              <w:adjustRightInd w:val="0"/>
              <w:ind w:right="57"/>
              <w:jc w:val="right"/>
              <w:rPr>
                <w:rFonts w:cs="Arial"/>
                <w:lang w:eastAsia="en-GB"/>
              </w:rPr>
            </w:pPr>
            <w:r w:rsidRPr="00AE607B">
              <w:rPr>
                <w:rFonts w:cs="Arial"/>
              </w:rPr>
              <w:t>══════</w:t>
            </w:r>
          </w:p>
        </w:tc>
      </w:tr>
    </w:tbl>
    <w:p w14:paraId="4F56F6DF" w14:textId="77777777" w:rsidR="00A24CF9" w:rsidRPr="00B02CFE" w:rsidRDefault="00A24CF9" w:rsidP="00A24CF9">
      <w:pPr>
        <w:ind w:left="360" w:hanging="360"/>
        <w:jc w:val="both"/>
        <w:rPr>
          <w:rFonts w:cs="Arial"/>
          <w:b/>
        </w:rPr>
      </w:pPr>
      <w:r w:rsidRPr="00AE607B">
        <w:rPr>
          <w:rFonts w:cs="Arial"/>
          <w:b/>
        </w:rPr>
        <w:t>2</w:t>
      </w:r>
      <w:r w:rsidR="00F72DA3">
        <w:rPr>
          <w:rFonts w:cs="Arial"/>
          <w:b/>
        </w:rPr>
        <w:t>8</w:t>
      </w:r>
      <w:r w:rsidRPr="00AE607B">
        <w:rPr>
          <w:rFonts w:cs="Arial"/>
          <w:b/>
        </w:rPr>
        <w:t xml:space="preserve">.    Movements in financing </w:t>
      </w:r>
      <w:r w:rsidR="00692257" w:rsidRPr="00AE607B">
        <w:rPr>
          <w:rFonts w:cs="Arial"/>
          <w:b/>
        </w:rPr>
        <w:t>(assets)</w:t>
      </w:r>
      <w:r w:rsidR="000C5196" w:rsidRPr="00AE607B">
        <w:rPr>
          <w:rFonts w:cs="Arial"/>
          <w:b/>
        </w:rPr>
        <w:t>/liabilities</w:t>
      </w:r>
      <w:r w:rsidR="00692257" w:rsidRPr="00AE607B">
        <w:rPr>
          <w:rFonts w:cs="Arial"/>
          <w:b/>
        </w:rPr>
        <w:t xml:space="preserve"> </w:t>
      </w:r>
      <w:r w:rsidRPr="00AE607B">
        <w:rPr>
          <w:rFonts w:cs="Arial"/>
          <w:b/>
        </w:rPr>
        <w:t>arising from financing activities</w:t>
      </w:r>
    </w:p>
    <w:tbl>
      <w:tblPr>
        <w:tblW w:w="10065" w:type="dxa"/>
        <w:tblInd w:w="108" w:type="dxa"/>
        <w:tblLayout w:type="fixed"/>
        <w:tblLook w:val="01E0" w:firstRow="1" w:lastRow="1" w:firstColumn="1" w:lastColumn="1" w:noHBand="0" w:noVBand="0"/>
      </w:tblPr>
      <w:tblGrid>
        <w:gridCol w:w="1502"/>
        <w:gridCol w:w="1276"/>
        <w:gridCol w:w="1050"/>
        <w:gridCol w:w="226"/>
        <w:gridCol w:w="1049"/>
        <w:gridCol w:w="226"/>
        <w:gridCol w:w="1050"/>
        <w:gridCol w:w="226"/>
        <w:gridCol w:w="1050"/>
        <w:gridCol w:w="1276"/>
        <w:gridCol w:w="1134"/>
      </w:tblGrid>
      <w:tr w:rsidR="00A24CF9" w:rsidRPr="00C328EF" w14:paraId="508373D1" w14:textId="77777777" w:rsidTr="000025CA">
        <w:trPr>
          <w:gridAfter w:val="3"/>
          <w:wAfter w:w="3460" w:type="dxa"/>
        </w:trPr>
        <w:tc>
          <w:tcPr>
            <w:tcW w:w="1502" w:type="dxa"/>
          </w:tcPr>
          <w:p w14:paraId="5649A074" w14:textId="77777777" w:rsidR="00A24CF9" w:rsidRPr="00C328EF" w:rsidRDefault="00A24CF9" w:rsidP="000025CA">
            <w:pPr>
              <w:ind w:left="-397"/>
              <w:jc w:val="right"/>
              <w:rPr>
                <w:rFonts w:cs="Arial"/>
                <w:b/>
                <w:highlight w:val="yellow"/>
              </w:rPr>
            </w:pPr>
          </w:p>
        </w:tc>
        <w:tc>
          <w:tcPr>
            <w:tcW w:w="1276" w:type="dxa"/>
          </w:tcPr>
          <w:p w14:paraId="619D5B01" w14:textId="77777777" w:rsidR="00A24CF9" w:rsidRPr="00C328EF" w:rsidRDefault="00A24CF9" w:rsidP="000025CA">
            <w:pPr>
              <w:ind w:left="-397"/>
              <w:jc w:val="right"/>
              <w:rPr>
                <w:rFonts w:cs="Arial"/>
                <w:b/>
                <w:highlight w:val="yellow"/>
              </w:rPr>
            </w:pPr>
          </w:p>
        </w:tc>
        <w:tc>
          <w:tcPr>
            <w:tcW w:w="1276" w:type="dxa"/>
            <w:gridSpan w:val="2"/>
          </w:tcPr>
          <w:p w14:paraId="6CB91F89" w14:textId="77777777" w:rsidR="00A24CF9" w:rsidRPr="00C328EF" w:rsidRDefault="00A24CF9" w:rsidP="000025CA">
            <w:pPr>
              <w:ind w:left="-397"/>
              <w:jc w:val="right"/>
              <w:rPr>
                <w:rFonts w:cs="Arial"/>
                <w:b/>
                <w:highlight w:val="yellow"/>
              </w:rPr>
            </w:pPr>
          </w:p>
        </w:tc>
        <w:tc>
          <w:tcPr>
            <w:tcW w:w="1275" w:type="dxa"/>
            <w:gridSpan w:val="2"/>
          </w:tcPr>
          <w:p w14:paraId="14FBB35F" w14:textId="77777777" w:rsidR="00A24CF9" w:rsidRPr="00C328EF" w:rsidRDefault="00A24CF9" w:rsidP="000025CA">
            <w:pPr>
              <w:ind w:left="-397"/>
              <w:jc w:val="right"/>
              <w:rPr>
                <w:rFonts w:cs="Arial"/>
                <w:b/>
                <w:highlight w:val="yellow"/>
              </w:rPr>
            </w:pPr>
          </w:p>
        </w:tc>
        <w:tc>
          <w:tcPr>
            <w:tcW w:w="1276" w:type="dxa"/>
            <w:gridSpan w:val="2"/>
          </w:tcPr>
          <w:p w14:paraId="171D0CDF" w14:textId="77777777" w:rsidR="00A24CF9" w:rsidRPr="00C328EF" w:rsidRDefault="00A24CF9" w:rsidP="000025CA">
            <w:pPr>
              <w:ind w:left="-397"/>
              <w:jc w:val="right"/>
              <w:rPr>
                <w:rFonts w:cs="Arial"/>
                <w:b/>
                <w:highlight w:val="yellow"/>
              </w:rPr>
            </w:pPr>
          </w:p>
        </w:tc>
      </w:tr>
      <w:tr w:rsidR="00A24CF9" w:rsidRPr="00C328EF" w14:paraId="610CE2F0" w14:textId="77777777" w:rsidTr="00672228">
        <w:tc>
          <w:tcPr>
            <w:tcW w:w="3828" w:type="dxa"/>
            <w:gridSpan w:val="3"/>
          </w:tcPr>
          <w:p w14:paraId="5DFF0A97" w14:textId="77777777" w:rsidR="00A24CF9" w:rsidRPr="00C328EF" w:rsidRDefault="00A24CF9" w:rsidP="000025CA">
            <w:pPr>
              <w:rPr>
                <w:rFonts w:cs="Arial"/>
                <w:b/>
                <w:highlight w:val="yellow"/>
              </w:rPr>
            </w:pPr>
          </w:p>
        </w:tc>
        <w:tc>
          <w:tcPr>
            <w:tcW w:w="1275" w:type="dxa"/>
            <w:gridSpan w:val="2"/>
            <w:vAlign w:val="bottom"/>
          </w:tcPr>
          <w:p w14:paraId="1C4631C0" w14:textId="77777777" w:rsidR="00A24CF9" w:rsidRPr="00B02CFE" w:rsidRDefault="00A24CF9" w:rsidP="000025CA">
            <w:pPr>
              <w:ind w:left="-397"/>
              <w:jc w:val="right"/>
              <w:rPr>
                <w:rFonts w:cs="Arial"/>
                <w:b/>
              </w:rPr>
            </w:pPr>
            <w:r w:rsidRPr="00B02CFE">
              <w:rPr>
                <w:rFonts w:cs="Arial"/>
                <w:b/>
              </w:rPr>
              <w:t>Current</w:t>
            </w:r>
          </w:p>
          <w:p w14:paraId="4BEF65FF" w14:textId="77777777" w:rsidR="00A24CF9" w:rsidRPr="00B02CFE" w:rsidRDefault="001A5F26" w:rsidP="000025CA">
            <w:pPr>
              <w:ind w:left="-397"/>
              <w:jc w:val="right"/>
              <w:rPr>
                <w:rFonts w:cs="Arial"/>
                <w:b/>
              </w:rPr>
            </w:pPr>
            <w:r w:rsidRPr="00B02CFE">
              <w:rPr>
                <w:rFonts w:cs="Arial"/>
                <w:b/>
              </w:rPr>
              <w:t xml:space="preserve"> L</w:t>
            </w:r>
            <w:r w:rsidR="00A24CF9" w:rsidRPr="00B02CFE">
              <w:rPr>
                <w:rFonts w:cs="Arial"/>
                <w:b/>
              </w:rPr>
              <w:t>oans &amp;</w:t>
            </w:r>
          </w:p>
          <w:p w14:paraId="3A28B9E9" w14:textId="77777777" w:rsidR="00A24CF9" w:rsidRPr="00B02CFE" w:rsidRDefault="001A5F26" w:rsidP="000025CA">
            <w:pPr>
              <w:ind w:left="-397"/>
              <w:jc w:val="right"/>
              <w:rPr>
                <w:rFonts w:cs="Arial"/>
                <w:b/>
              </w:rPr>
            </w:pPr>
            <w:r w:rsidRPr="00B02CFE">
              <w:rPr>
                <w:rFonts w:cs="Arial"/>
                <w:b/>
              </w:rPr>
              <w:t>B</w:t>
            </w:r>
            <w:r w:rsidR="00A24CF9" w:rsidRPr="00B02CFE">
              <w:rPr>
                <w:rFonts w:cs="Arial"/>
                <w:b/>
              </w:rPr>
              <w:t>orrowings</w:t>
            </w:r>
          </w:p>
        </w:tc>
        <w:tc>
          <w:tcPr>
            <w:tcW w:w="1276" w:type="dxa"/>
            <w:gridSpan w:val="2"/>
            <w:vAlign w:val="bottom"/>
          </w:tcPr>
          <w:p w14:paraId="4770E40E" w14:textId="77777777" w:rsidR="00A24CF9" w:rsidRPr="00B02CFE" w:rsidRDefault="00A24CF9" w:rsidP="000025CA">
            <w:pPr>
              <w:ind w:left="-397"/>
              <w:jc w:val="right"/>
              <w:rPr>
                <w:rFonts w:cs="Arial"/>
                <w:b/>
              </w:rPr>
            </w:pPr>
            <w:r w:rsidRPr="00B02CFE">
              <w:rPr>
                <w:rFonts w:cs="Arial"/>
                <w:b/>
              </w:rPr>
              <w:t>Non-current</w:t>
            </w:r>
          </w:p>
          <w:p w14:paraId="50E9C0B5" w14:textId="77777777" w:rsidR="00A24CF9" w:rsidRPr="00B02CFE" w:rsidRDefault="00A24CF9" w:rsidP="000025CA">
            <w:pPr>
              <w:ind w:left="-397"/>
              <w:jc w:val="right"/>
              <w:rPr>
                <w:rFonts w:cs="Arial"/>
                <w:b/>
              </w:rPr>
            </w:pPr>
            <w:r w:rsidRPr="00B02CFE">
              <w:rPr>
                <w:rFonts w:cs="Arial"/>
                <w:b/>
              </w:rPr>
              <w:t xml:space="preserve"> </w:t>
            </w:r>
            <w:r w:rsidR="001A5F26" w:rsidRPr="00B02CFE">
              <w:rPr>
                <w:rFonts w:cs="Arial"/>
                <w:b/>
              </w:rPr>
              <w:t>L</w:t>
            </w:r>
            <w:r w:rsidRPr="00B02CFE">
              <w:rPr>
                <w:rFonts w:cs="Arial"/>
                <w:b/>
              </w:rPr>
              <w:t>oans &amp;</w:t>
            </w:r>
          </w:p>
          <w:p w14:paraId="3292AE81" w14:textId="77777777" w:rsidR="00A24CF9" w:rsidRPr="00B02CFE" w:rsidRDefault="001A5F26" w:rsidP="000025CA">
            <w:pPr>
              <w:ind w:left="-397"/>
              <w:jc w:val="right"/>
              <w:rPr>
                <w:rFonts w:cs="Arial"/>
                <w:b/>
              </w:rPr>
            </w:pPr>
            <w:r w:rsidRPr="00B02CFE">
              <w:rPr>
                <w:rFonts w:cs="Arial"/>
                <w:b/>
              </w:rPr>
              <w:t>B</w:t>
            </w:r>
            <w:r w:rsidR="00A24CF9" w:rsidRPr="00B02CFE">
              <w:rPr>
                <w:rFonts w:cs="Arial"/>
                <w:b/>
              </w:rPr>
              <w:t>orrowings</w:t>
            </w:r>
          </w:p>
        </w:tc>
        <w:tc>
          <w:tcPr>
            <w:tcW w:w="1276" w:type="dxa"/>
            <w:gridSpan w:val="2"/>
            <w:vAlign w:val="bottom"/>
          </w:tcPr>
          <w:p w14:paraId="403D6108" w14:textId="77777777" w:rsidR="00A24CF9" w:rsidRPr="00B02CFE" w:rsidRDefault="00A24CF9" w:rsidP="000025CA">
            <w:pPr>
              <w:ind w:left="-397"/>
              <w:jc w:val="right"/>
              <w:rPr>
                <w:rFonts w:cs="Arial"/>
                <w:b/>
              </w:rPr>
            </w:pPr>
            <w:r w:rsidRPr="00B02CFE">
              <w:rPr>
                <w:rFonts w:cs="Arial"/>
                <w:b/>
              </w:rPr>
              <w:t>Derivative</w:t>
            </w:r>
          </w:p>
          <w:p w14:paraId="0DC04567" w14:textId="77777777" w:rsidR="00A24CF9" w:rsidRPr="00B02CFE" w:rsidRDefault="001A5F26" w:rsidP="000025CA">
            <w:pPr>
              <w:ind w:left="-397"/>
              <w:jc w:val="right"/>
              <w:rPr>
                <w:rFonts w:cs="Arial"/>
                <w:b/>
              </w:rPr>
            </w:pPr>
            <w:r w:rsidRPr="00B02CFE">
              <w:rPr>
                <w:rFonts w:cs="Arial"/>
                <w:b/>
              </w:rPr>
              <w:t>F</w:t>
            </w:r>
            <w:r w:rsidR="00A24CF9" w:rsidRPr="00B02CFE">
              <w:rPr>
                <w:rFonts w:cs="Arial"/>
                <w:b/>
              </w:rPr>
              <w:t>inancial</w:t>
            </w:r>
          </w:p>
          <w:p w14:paraId="24333D90" w14:textId="77777777" w:rsidR="00A24CF9" w:rsidRPr="00B02CFE" w:rsidRDefault="001A5F26" w:rsidP="000025CA">
            <w:pPr>
              <w:ind w:left="-397"/>
              <w:jc w:val="right"/>
              <w:rPr>
                <w:rFonts w:cs="Arial"/>
                <w:b/>
              </w:rPr>
            </w:pPr>
            <w:r w:rsidRPr="00B02CFE">
              <w:rPr>
                <w:rFonts w:cs="Arial"/>
                <w:b/>
              </w:rPr>
              <w:t>L</w:t>
            </w:r>
            <w:r w:rsidR="00A24CF9" w:rsidRPr="00B02CFE">
              <w:rPr>
                <w:rFonts w:cs="Arial"/>
                <w:b/>
              </w:rPr>
              <w:t>iabilities</w:t>
            </w:r>
          </w:p>
        </w:tc>
        <w:tc>
          <w:tcPr>
            <w:tcW w:w="1276" w:type="dxa"/>
            <w:vAlign w:val="bottom"/>
          </w:tcPr>
          <w:p w14:paraId="5CCD792E" w14:textId="77777777" w:rsidR="00A24CF9" w:rsidRPr="00B02CFE" w:rsidRDefault="00A24CF9" w:rsidP="000025CA">
            <w:pPr>
              <w:ind w:left="-397"/>
              <w:jc w:val="right"/>
              <w:rPr>
                <w:rFonts w:cs="Arial"/>
                <w:b/>
              </w:rPr>
            </w:pPr>
            <w:r w:rsidRPr="00B02CFE">
              <w:rPr>
                <w:rFonts w:cs="Arial"/>
                <w:b/>
              </w:rPr>
              <w:t>Derivative</w:t>
            </w:r>
          </w:p>
          <w:p w14:paraId="51AEB892" w14:textId="77777777" w:rsidR="00A24CF9" w:rsidRPr="00B02CFE" w:rsidRDefault="001A5F26" w:rsidP="000025CA">
            <w:pPr>
              <w:ind w:left="-397"/>
              <w:jc w:val="right"/>
              <w:rPr>
                <w:rFonts w:cs="Arial"/>
                <w:b/>
              </w:rPr>
            </w:pPr>
            <w:r w:rsidRPr="00B02CFE">
              <w:rPr>
                <w:rFonts w:cs="Arial"/>
                <w:b/>
              </w:rPr>
              <w:t>F</w:t>
            </w:r>
            <w:r w:rsidR="00A24CF9" w:rsidRPr="00B02CFE">
              <w:rPr>
                <w:rFonts w:cs="Arial"/>
                <w:b/>
              </w:rPr>
              <w:t>inancial</w:t>
            </w:r>
          </w:p>
          <w:p w14:paraId="36EB913B" w14:textId="77777777" w:rsidR="00A24CF9" w:rsidRPr="00B02CFE" w:rsidRDefault="001A5F26" w:rsidP="000025CA">
            <w:pPr>
              <w:ind w:left="-397"/>
              <w:jc w:val="right"/>
              <w:rPr>
                <w:rFonts w:cs="Arial"/>
                <w:b/>
              </w:rPr>
            </w:pPr>
            <w:r w:rsidRPr="00B02CFE">
              <w:rPr>
                <w:rFonts w:cs="Arial"/>
                <w:b/>
              </w:rPr>
              <w:t>A</w:t>
            </w:r>
            <w:r w:rsidR="00A24CF9" w:rsidRPr="00B02CFE">
              <w:rPr>
                <w:rFonts w:cs="Arial"/>
                <w:b/>
              </w:rPr>
              <w:t>ssets</w:t>
            </w:r>
          </w:p>
        </w:tc>
        <w:tc>
          <w:tcPr>
            <w:tcW w:w="1134" w:type="dxa"/>
            <w:vAlign w:val="bottom"/>
          </w:tcPr>
          <w:p w14:paraId="062F5642" w14:textId="77777777" w:rsidR="00A24CF9" w:rsidRPr="00B02CFE" w:rsidRDefault="00A24CF9" w:rsidP="000025CA">
            <w:pPr>
              <w:ind w:left="-397"/>
              <w:jc w:val="right"/>
              <w:rPr>
                <w:rFonts w:cs="Arial"/>
                <w:b/>
              </w:rPr>
            </w:pPr>
            <w:r w:rsidRPr="00B02CFE">
              <w:rPr>
                <w:rFonts w:cs="Arial"/>
                <w:b/>
              </w:rPr>
              <w:t>Total</w:t>
            </w:r>
          </w:p>
        </w:tc>
      </w:tr>
      <w:tr w:rsidR="00A24CF9" w:rsidRPr="00C328EF" w14:paraId="492B5BD7" w14:textId="77777777" w:rsidTr="00672228">
        <w:tc>
          <w:tcPr>
            <w:tcW w:w="3828" w:type="dxa"/>
            <w:gridSpan w:val="3"/>
          </w:tcPr>
          <w:p w14:paraId="466AFD89" w14:textId="77777777" w:rsidR="00A24CF9" w:rsidRPr="00C328EF" w:rsidRDefault="00A24CF9" w:rsidP="000025CA">
            <w:pPr>
              <w:rPr>
                <w:rFonts w:cs="Arial"/>
                <w:b/>
                <w:highlight w:val="yellow"/>
              </w:rPr>
            </w:pPr>
          </w:p>
        </w:tc>
        <w:tc>
          <w:tcPr>
            <w:tcW w:w="1275" w:type="dxa"/>
            <w:gridSpan w:val="2"/>
          </w:tcPr>
          <w:p w14:paraId="118D3D46" w14:textId="77777777" w:rsidR="00A24CF9" w:rsidRPr="00B02CFE" w:rsidRDefault="00A24CF9" w:rsidP="000025CA">
            <w:pPr>
              <w:ind w:left="-397"/>
              <w:jc w:val="right"/>
              <w:rPr>
                <w:rFonts w:cs="Arial"/>
                <w:b/>
              </w:rPr>
            </w:pPr>
            <w:r w:rsidRPr="00B02CFE">
              <w:rPr>
                <w:rFonts w:cs="Arial"/>
                <w:b/>
              </w:rPr>
              <w:t>£’000</w:t>
            </w:r>
          </w:p>
        </w:tc>
        <w:tc>
          <w:tcPr>
            <w:tcW w:w="1276" w:type="dxa"/>
            <w:gridSpan w:val="2"/>
          </w:tcPr>
          <w:p w14:paraId="72746B5C" w14:textId="77777777" w:rsidR="00A24CF9" w:rsidRPr="00B02CFE" w:rsidRDefault="00A24CF9" w:rsidP="000025CA">
            <w:pPr>
              <w:ind w:left="-397"/>
              <w:jc w:val="right"/>
              <w:rPr>
                <w:rFonts w:cs="Arial"/>
                <w:b/>
              </w:rPr>
            </w:pPr>
            <w:r w:rsidRPr="00B02CFE">
              <w:rPr>
                <w:rFonts w:cs="Arial"/>
                <w:b/>
              </w:rPr>
              <w:t>£’000</w:t>
            </w:r>
          </w:p>
        </w:tc>
        <w:tc>
          <w:tcPr>
            <w:tcW w:w="1276" w:type="dxa"/>
            <w:gridSpan w:val="2"/>
          </w:tcPr>
          <w:p w14:paraId="7747ACD1" w14:textId="77777777" w:rsidR="00A24CF9" w:rsidRPr="00B02CFE" w:rsidRDefault="00A24CF9" w:rsidP="000025CA">
            <w:pPr>
              <w:ind w:left="-397"/>
              <w:jc w:val="right"/>
              <w:rPr>
                <w:rFonts w:cs="Arial"/>
                <w:b/>
              </w:rPr>
            </w:pPr>
            <w:r w:rsidRPr="00B02CFE">
              <w:rPr>
                <w:rFonts w:cs="Arial"/>
                <w:b/>
              </w:rPr>
              <w:t>£’000</w:t>
            </w:r>
          </w:p>
        </w:tc>
        <w:tc>
          <w:tcPr>
            <w:tcW w:w="1276" w:type="dxa"/>
          </w:tcPr>
          <w:p w14:paraId="13BDCCA2" w14:textId="77777777" w:rsidR="00A24CF9" w:rsidRPr="00B02CFE" w:rsidRDefault="00A24CF9" w:rsidP="000025CA">
            <w:pPr>
              <w:ind w:left="-397"/>
              <w:jc w:val="right"/>
              <w:rPr>
                <w:rFonts w:cs="Arial"/>
                <w:b/>
              </w:rPr>
            </w:pPr>
            <w:r w:rsidRPr="00B02CFE">
              <w:rPr>
                <w:rFonts w:cs="Arial"/>
                <w:b/>
              </w:rPr>
              <w:t>£’000</w:t>
            </w:r>
          </w:p>
        </w:tc>
        <w:tc>
          <w:tcPr>
            <w:tcW w:w="1134" w:type="dxa"/>
          </w:tcPr>
          <w:p w14:paraId="73601C52" w14:textId="77777777" w:rsidR="00A24CF9" w:rsidRPr="00B02CFE" w:rsidRDefault="00A24CF9" w:rsidP="000025CA">
            <w:pPr>
              <w:ind w:left="-397"/>
              <w:jc w:val="right"/>
              <w:rPr>
                <w:rFonts w:cs="Arial"/>
                <w:b/>
              </w:rPr>
            </w:pPr>
            <w:r w:rsidRPr="00B02CFE">
              <w:rPr>
                <w:rFonts w:cs="Arial"/>
                <w:b/>
              </w:rPr>
              <w:t>£’000</w:t>
            </w:r>
          </w:p>
        </w:tc>
      </w:tr>
      <w:tr w:rsidR="00565033" w:rsidRPr="00C328EF" w14:paraId="12B4FF64" w14:textId="77777777" w:rsidTr="00672228">
        <w:tc>
          <w:tcPr>
            <w:tcW w:w="3828" w:type="dxa"/>
            <w:gridSpan w:val="3"/>
          </w:tcPr>
          <w:p w14:paraId="1F6F303B" w14:textId="77777777" w:rsidR="00565033" w:rsidRPr="00C328EF" w:rsidRDefault="00565033" w:rsidP="00565033">
            <w:pPr>
              <w:rPr>
                <w:rFonts w:cs="Arial"/>
                <w:b/>
                <w:highlight w:val="yellow"/>
              </w:rPr>
            </w:pPr>
          </w:p>
        </w:tc>
        <w:tc>
          <w:tcPr>
            <w:tcW w:w="1275" w:type="dxa"/>
            <w:gridSpan w:val="2"/>
          </w:tcPr>
          <w:p w14:paraId="079A1B35" w14:textId="77777777" w:rsidR="00565033" w:rsidRPr="00C328EF" w:rsidRDefault="00565033" w:rsidP="00565033">
            <w:pPr>
              <w:jc w:val="right"/>
              <w:rPr>
                <w:rFonts w:cs="Arial"/>
                <w:highlight w:val="yellow"/>
              </w:rPr>
            </w:pPr>
          </w:p>
        </w:tc>
        <w:tc>
          <w:tcPr>
            <w:tcW w:w="1276" w:type="dxa"/>
            <w:gridSpan w:val="2"/>
          </w:tcPr>
          <w:p w14:paraId="3E127694" w14:textId="77777777" w:rsidR="00565033" w:rsidRPr="00C328EF" w:rsidRDefault="00565033" w:rsidP="00565033">
            <w:pPr>
              <w:jc w:val="right"/>
              <w:rPr>
                <w:rFonts w:cs="Arial"/>
                <w:highlight w:val="yellow"/>
              </w:rPr>
            </w:pPr>
          </w:p>
        </w:tc>
        <w:tc>
          <w:tcPr>
            <w:tcW w:w="1276" w:type="dxa"/>
            <w:gridSpan w:val="2"/>
          </w:tcPr>
          <w:p w14:paraId="655BD9B0" w14:textId="77777777" w:rsidR="00565033" w:rsidRPr="00C328EF" w:rsidRDefault="00565033" w:rsidP="00565033">
            <w:pPr>
              <w:jc w:val="right"/>
              <w:rPr>
                <w:rFonts w:cs="Arial"/>
                <w:highlight w:val="yellow"/>
              </w:rPr>
            </w:pPr>
          </w:p>
        </w:tc>
        <w:tc>
          <w:tcPr>
            <w:tcW w:w="1276" w:type="dxa"/>
          </w:tcPr>
          <w:p w14:paraId="0FBB318C" w14:textId="77777777" w:rsidR="00565033" w:rsidRPr="00C328EF" w:rsidRDefault="00565033" w:rsidP="00565033">
            <w:pPr>
              <w:jc w:val="right"/>
              <w:rPr>
                <w:rFonts w:cs="Arial"/>
                <w:highlight w:val="yellow"/>
              </w:rPr>
            </w:pPr>
          </w:p>
        </w:tc>
        <w:tc>
          <w:tcPr>
            <w:tcW w:w="1134" w:type="dxa"/>
          </w:tcPr>
          <w:p w14:paraId="1B687DF6" w14:textId="77777777" w:rsidR="00565033" w:rsidRPr="00C328EF" w:rsidRDefault="00565033" w:rsidP="00565033">
            <w:pPr>
              <w:jc w:val="right"/>
              <w:rPr>
                <w:rFonts w:cs="Arial"/>
                <w:highlight w:val="yellow"/>
              </w:rPr>
            </w:pPr>
          </w:p>
        </w:tc>
      </w:tr>
      <w:tr w:rsidR="00B02CFE" w:rsidRPr="00C328EF" w14:paraId="726A506E" w14:textId="77777777" w:rsidTr="00672228">
        <w:tc>
          <w:tcPr>
            <w:tcW w:w="3828" w:type="dxa"/>
            <w:gridSpan w:val="3"/>
          </w:tcPr>
          <w:p w14:paraId="44B65B92" w14:textId="77777777" w:rsidR="00B02CFE" w:rsidRPr="00B02CFE" w:rsidRDefault="00B02CFE" w:rsidP="00B02CFE">
            <w:pPr>
              <w:rPr>
                <w:rFonts w:cs="Arial"/>
              </w:rPr>
            </w:pPr>
            <w:r w:rsidRPr="00B02CFE">
              <w:rPr>
                <w:rFonts w:cs="Arial"/>
              </w:rPr>
              <w:t>At 1 January 2023</w:t>
            </w:r>
          </w:p>
        </w:tc>
        <w:tc>
          <w:tcPr>
            <w:tcW w:w="1275" w:type="dxa"/>
            <w:gridSpan w:val="2"/>
          </w:tcPr>
          <w:p w14:paraId="22E3CB61" w14:textId="77777777" w:rsidR="00B02CFE" w:rsidRPr="00B02CFE" w:rsidRDefault="00B02CFE" w:rsidP="00B02CFE">
            <w:pPr>
              <w:jc w:val="right"/>
              <w:rPr>
                <w:rFonts w:cs="Arial"/>
              </w:rPr>
            </w:pPr>
            <w:r w:rsidRPr="00B02CFE">
              <w:rPr>
                <w:rFonts w:cs="Arial"/>
              </w:rPr>
              <w:t>13,379</w:t>
            </w:r>
          </w:p>
        </w:tc>
        <w:tc>
          <w:tcPr>
            <w:tcW w:w="1276" w:type="dxa"/>
            <w:gridSpan w:val="2"/>
          </w:tcPr>
          <w:p w14:paraId="17FE0BD4" w14:textId="77777777" w:rsidR="00B02CFE" w:rsidRPr="00B02CFE" w:rsidRDefault="00B02CFE" w:rsidP="00B02CFE">
            <w:pPr>
              <w:jc w:val="right"/>
              <w:rPr>
                <w:rFonts w:cs="Arial"/>
              </w:rPr>
            </w:pPr>
            <w:r w:rsidRPr="00B02CFE">
              <w:rPr>
                <w:rFonts w:cs="Arial"/>
              </w:rPr>
              <w:t>62,498</w:t>
            </w:r>
          </w:p>
        </w:tc>
        <w:tc>
          <w:tcPr>
            <w:tcW w:w="1276" w:type="dxa"/>
            <w:gridSpan w:val="2"/>
          </w:tcPr>
          <w:p w14:paraId="0818715A" w14:textId="77777777" w:rsidR="00B02CFE" w:rsidRPr="00B02CFE" w:rsidRDefault="00B02CFE" w:rsidP="00B02CFE">
            <w:pPr>
              <w:jc w:val="right"/>
              <w:rPr>
                <w:rFonts w:cs="Arial"/>
              </w:rPr>
            </w:pPr>
            <w:r w:rsidRPr="00B02CFE">
              <w:rPr>
                <w:rFonts w:cs="Arial"/>
              </w:rPr>
              <w:t>-</w:t>
            </w:r>
          </w:p>
        </w:tc>
        <w:tc>
          <w:tcPr>
            <w:tcW w:w="1276" w:type="dxa"/>
          </w:tcPr>
          <w:p w14:paraId="2CC1390D" w14:textId="77777777" w:rsidR="00B02CFE" w:rsidRPr="00B02CFE" w:rsidRDefault="00B02CFE" w:rsidP="00B02CFE">
            <w:pPr>
              <w:jc w:val="right"/>
              <w:rPr>
                <w:rFonts w:cs="Arial"/>
              </w:rPr>
            </w:pPr>
            <w:r w:rsidRPr="00B02CFE">
              <w:rPr>
                <w:rFonts w:cs="Arial"/>
              </w:rPr>
              <w:t>(2,336)</w:t>
            </w:r>
          </w:p>
        </w:tc>
        <w:tc>
          <w:tcPr>
            <w:tcW w:w="1134" w:type="dxa"/>
          </w:tcPr>
          <w:p w14:paraId="0BB679C6" w14:textId="77777777" w:rsidR="00B02CFE" w:rsidRPr="00B02CFE" w:rsidRDefault="00B02CFE" w:rsidP="00B02CFE">
            <w:pPr>
              <w:jc w:val="right"/>
              <w:rPr>
                <w:rFonts w:cs="Arial"/>
              </w:rPr>
            </w:pPr>
            <w:r w:rsidRPr="00B02CFE">
              <w:rPr>
                <w:rFonts w:cs="Arial"/>
              </w:rPr>
              <w:t>73,541</w:t>
            </w:r>
          </w:p>
        </w:tc>
      </w:tr>
      <w:tr w:rsidR="00B02CFE" w:rsidRPr="00C328EF" w14:paraId="2D7D7F4A" w14:textId="77777777" w:rsidTr="00672228">
        <w:tc>
          <w:tcPr>
            <w:tcW w:w="3828" w:type="dxa"/>
            <w:gridSpan w:val="3"/>
          </w:tcPr>
          <w:p w14:paraId="739C924E" w14:textId="77777777" w:rsidR="00B02CFE" w:rsidRPr="00B02CFE" w:rsidRDefault="00B02CFE" w:rsidP="00B02CFE">
            <w:pPr>
              <w:rPr>
                <w:rFonts w:cs="Arial"/>
                <w:u w:val="single"/>
              </w:rPr>
            </w:pPr>
            <w:r w:rsidRPr="00B02CFE">
              <w:rPr>
                <w:rFonts w:cs="Arial"/>
                <w:u w:val="single"/>
              </w:rPr>
              <w:t>Cash flows</w:t>
            </w:r>
          </w:p>
        </w:tc>
        <w:tc>
          <w:tcPr>
            <w:tcW w:w="1275" w:type="dxa"/>
            <w:gridSpan w:val="2"/>
          </w:tcPr>
          <w:p w14:paraId="58A5AE66" w14:textId="77777777" w:rsidR="00B02CFE" w:rsidRPr="00B02CFE" w:rsidRDefault="00B02CFE" w:rsidP="00B02CFE">
            <w:pPr>
              <w:jc w:val="right"/>
              <w:rPr>
                <w:rFonts w:cs="Arial"/>
              </w:rPr>
            </w:pPr>
          </w:p>
        </w:tc>
        <w:tc>
          <w:tcPr>
            <w:tcW w:w="1276" w:type="dxa"/>
            <w:gridSpan w:val="2"/>
          </w:tcPr>
          <w:p w14:paraId="672066D4" w14:textId="77777777" w:rsidR="00B02CFE" w:rsidRPr="00B02CFE" w:rsidRDefault="00B02CFE" w:rsidP="00B02CFE">
            <w:pPr>
              <w:jc w:val="right"/>
              <w:rPr>
                <w:rFonts w:cs="Arial"/>
              </w:rPr>
            </w:pPr>
          </w:p>
        </w:tc>
        <w:tc>
          <w:tcPr>
            <w:tcW w:w="1276" w:type="dxa"/>
            <w:gridSpan w:val="2"/>
          </w:tcPr>
          <w:p w14:paraId="6115C2CF" w14:textId="77777777" w:rsidR="00B02CFE" w:rsidRPr="00B02CFE" w:rsidRDefault="00B02CFE" w:rsidP="00B02CFE">
            <w:pPr>
              <w:jc w:val="right"/>
              <w:rPr>
                <w:rFonts w:cs="Arial"/>
              </w:rPr>
            </w:pPr>
          </w:p>
        </w:tc>
        <w:tc>
          <w:tcPr>
            <w:tcW w:w="1276" w:type="dxa"/>
          </w:tcPr>
          <w:p w14:paraId="1ADF5957" w14:textId="77777777" w:rsidR="00B02CFE" w:rsidRPr="00B02CFE" w:rsidRDefault="00B02CFE" w:rsidP="00B02CFE">
            <w:pPr>
              <w:jc w:val="right"/>
              <w:rPr>
                <w:rFonts w:cs="Arial"/>
              </w:rPr>
            </w:pPr>
          </w:p>
        </w:tc>
        <w:tc>
          <w:tcPr>
            <w:tcW w:w="1134" w:type="dxa"/>
          </w:tcPr>
          <w:p w14:paraId="057325CB" w14:textId="77777777" w:rsidR="00B02CFE" w:rsidRPr="00B02CFE" w:rsidRDefault="00B02CFE" w:rsidP="00B02CFE">
            <w:pPr>
              <w:jc w:val="right"/>
              <w:rPr>
                <w:rFonts w:cs="Arial"/>
              </w:rPr>
            </w:pPr>
          </w:p>
        </w:tc>
      </w:tr>
      <w:tr w:rsidR="00B02CFE" w:rsidRPr="00C328EF" w14:paraId="3CAE5A5A" w14:textId="77777777" w:rsidTr="00672228">
        <w:tc>
          <w:tcPr>
            <w:tcW w:w="3828" w:type="dxa"/>
            <w:gridSpan w:val="3"/>
          </w:tcPr>
          <w:p w14:paraId="4289099B" w14:textId="77777777" w:rsidR="00B02CFE" w:rsidRPr="00B02CFE" w:rsidRDefault="00B02CFE" w:rsidP="00B02CFE">
            <w:pPr>
              <w:rPr>
                <w:rFonts w:cs="Arial"/>
              </w:rPr>
            </w:pPr>
            <w:r w:rsidRPr="00B02CFE">
              <w:rPr>
                <w:rFonts w:cs="Arial"/>
              </w:rPr>
              <w:t>Repayment of lease liabilities</w:t>
            </w:r>
          </w:p>
        </w:tc>
        <w:tc>
          <w:tcPr>
            <w:tcW w:w="1275" w:type="dxa"/>
            <w:gridSpan w:val="2"/>
          </w:tcPr>
          <w:p w14:paraId="1E426357" w14:textId="77777777" w:rsidR="00B02CFE" w:rsidRPr="00B02CFE" w:rsidRDefault="00B02CFE" w:rsidP="00B02CFE">
            <w:pPr>
              <w:jc w:val="right"/>
              <w:rPr>
                <w:rFonts w:cs="Arial"/>
              </w:rPr>
            </w:pPr>
            <w:r w:rsidRPr="00B02CFE">
              <w:rPr>
                <w:rFonts w:cs="Arial"/>
              </w:rPr>
              <w:t>(14,256)</w:t>
            </w:r>
          </w:p>
        </w:tc>
        <w:tc>
          <w:tcPr>
            <w:tcW w:w="1276" w:type="dxa"/>
            <w:gridSpan w:val="2"/>
          </w:tcPr>
          <w:p w14:paraId="73E9C6E3" w14:textId="77777777" w:rsidR="00B02CFE" w:rsidRPr="00B02CFE" w:rsidRDefault="00B02CFE" w:rsidP="00B02CFE">
            <w:pPr>
              <w:jc w:val="right"/>
              <w:rPr>
                <w:rFonts w:cs="Arial"/>
              </w:rPr>
            </w:pPr>
            <w:r w:rsidRPr="00B02CFE">
              <w:rPr>
                <w:rFonts w:cs="Arial"/>
              </w:rPr>
              <w:t>-</w:t>
            </w:r>
          </w:p>
        </w:tc>
        <w:tc>
          <w:tcPr>
            <w:tcW w:w="1276" w:type="dxa"/>
            <w:gridSpan w:val="2"/>
          </w:tcPr>
          <w:p w14:paraId="6A7FDAD6" w14:textId="77777777" w:rsidR="00B02CFE" w:rsidRPr="00B02CFE" w:rsidRDefault="00B02CFE" w:rsidP="00B02CFE">
            <w:pPr>
              <w:jc w:val="right"/>
              <w:rPr>
                <w:rFonts w:cs="Arial"/>
              </w:rPr>
            </w:pPr>
            <w:r w:rsidRPr="00B02CFE">
              <w:rPr>
                <w:rFonts w:cs="Arial"/>
              </w:rPr>
              <w:t>-</w:t>
            </w:r>
          </w:p>
        </w:tc>
        <w:tc>
          <w:tcPr>
            <w:tcW w:w="1276" w:type="dxa"/>
          </w:tcPr>
          <w:p w14:paraId="45FB44FE" w14:textId="77777777" w:rsidR="00B02CFE" w:rsidRPr="00B02CFE" w:rsidRDefault="00B02CFE" w:rsidP="00B02CFE">
            <w:pPr>
              <w:jc w:val="right"/>
              <w:rPr>
                <w:rFonts w:cs="Arial"/>
              </w:rPr>
            </w:pPr>
            <w:r w:rsidRPr="00B02CFE">
              <w:rPr>
                <w:rFonts w:cs="Arial"/>
              </w:rPr>
              <w:t>-</w:t>
            </w:r>
          </w:p>
        </w:tc>
        <w:tc>
          <w:tcPr>
            <w:tcW w:w="1134" w:type="dxa"/>
          </w:tcPr>
          <w:p w14:paraId="5392AAC6" w14:textId="77777777" w:rsidR="00B02CFE" w:rsidRPr="00B02CFE" w:rsidRDefault="00B02CFE" w:rsidP="00B02CFE">
            <w:pPr>
              <w:jc w:val="right"/>
              <w:rPr>
                <w:rFonts w:cs="Arial"/>
              </w:rPr>
            </w:pPr>
            <w:r w:rsidRPr="00B02CFE">
              <w:rPr>
                <w:rFonts w:cs="Arial"/>
              </w:rPr>
              <w:t>(14,256)</w:t>
            </w:r>
          </w:p>
        </w:tc>
      </w:tr>
      <w:tr w:rsidR="00B02CFE" w:rsidRPr="00C328EF" w14:paraId="43116092" w14:textId="77777777" w:rsidTr="00672228">
        <w:tc>
          <w:tcPr>
            <w:tcW w:w="3828" w:type="dxa"/>
            <w:gridSpan w:val="3"/>
          </w:tcPr>
          <w:p w14:paraId="07CD022B" w14:textId="77777777" w:rsidR="00B02CFE" w:rsidRPr="00B02CFE" w:rsidRDefault="00B02CFE" w:rsidP="00B02CFE">
            <w:pPr>
              <w:rPr>
                <w:rFonts w:cs="Arial"/>
              </w:rPr>
            </w:pPr>
            <w:r w:rsidRPr="00B02CFE">
              <w:rPr>
                <w:rFonts w:cs="Arial"/>
              </w:rPr>
              <w:t>Net receipts on derivative instruments</w:t>
            </w:r>
          </w:p>
        </w:tc>
        <w:tc>
          <w:tcPr>
            <w:tcW w:w="1275" w:type="dxa"/>
            <w:gridSpan w:val="2"/>
          </w:tcPr>
          <w:p w14:paraId="5ED8EC6F" w14:textId="77777777" w:rsidR="00B02CFE" w:rsidRPr="00B02CFE" w:rsidRDefault="00B02CFE" w:rsidP="00B02CFE">
            <w:pPr>
              <w:jc w:val="right"/>
              <w:rPr>
                <w:rFonts w:cs="Arial"/>
              </w:rPr>
            </w:pPr>
            <w:r w:rsidRPr="00B02CFE">
              <w:rPr>
                <w:rFonts w:cs="Arial"/>
              </w:rPr>
              <w:t>-</w:t>
            </w:r>
          </w:p>
        </w:tc>
        <w:tc>
          <w:tcPr>
            <w:tcW w:w="1276" w:type="dxa"/>
            <w:gridSpan w:val="2"/>
          </w:tcPr>
          <w:p w14:paraId="42F33CBC" w14:textId="77777777" w:rsidR="00B02CFE" w:rsidRPr="00B02CFE" w:rsidRDefault="00B02CFE" w:rsidP="00B02CFE">
            <w:pPr>
              <w:jc w:val="right"/>
              <w:rPr>
                <w:rFonts w:cs="Arial"/>
              </w:rPr>
            </w:pPr>
            <w:r w:rsidRPr="00B02CFE">
              <w:rPr>
                <w:rFonts w:cs="Arial"/>
              </w:rPr>
              <w:t>-</w:t>
            </w:r>
          </w:p>
        </w:tc>
        <w:tc>
          <w:tcPr>
            <w:tcW w:w="1276" w:type="dxa"/>
            <w:gridSpan w:val="2"/>
          </w:tcPr>
          <w:p w14:paraId="086DCD0B" w14:textId="77777777" w:rsidR="00B02CFE" w:rsidRPr="00B02CFE" w:rsidRDefault="00B02CFE" w:rsidP="00B02CFE">
            <w:pPr>
              <w:jc w:val="right"/>
              <w:rPr>
                <w:rFonts w:cs="Arial"/>
              </w:rPr>
            </w:pPr>
            <w:r w:rsidRPr="00B02CFE">
              <w:rPr>
                <w:rFonts w:cs="Arial"/>
              </w:rPr>
              <w:t>1,184</w:t>
            </w:r>
          </w:p>
        </w:tc>
        <w:tc>
          <w:tcPr>
            <w:tcW w:w="1276" w:type="dxa"/>
          </w:tcPr>
          <w:p w14:paraId="775FE32E" w14:textId="77777777" w:rsidR="00B02CFE" w:rsidRPr="00B02CFE" w:rsidRDefault="00B02CFE" w:rsidP="00B02CFE">
            <w:pPr>
              <w:jc w:val="right"/>
              <w:rPr>
                <w:rFonts w:cs="Arial"/>
              </w:rPr>
            </w:pPr>
            <w:r w:rsidRPr="00B02CFE">
              <w:rPr>
                <w:rFonts w:cs="Arial"/>
              </w:rPr>
              <w:t>-</w:t>
            </w:r>
          </w:p>
        </w:tc>
        <w:tc>
          <w:tcPr>
            <w:tcW w:w="1134" w:type="dxa"/>
          </w:tcPr>
          <w:p w14:paraId="349B40CA" w14:textId="77777777" w:rsidR="00B02CFE" w:rsidRPr="00B02CFE" w:rsidRDefault="00B02CFE" w:rsidP="00B02CFE">
            <w:pPr>
              <w:jc w:val="right"/>
              <w:rPr>
                <w:rFonts w:cs="Arial"/>
              </w:rPr>
            </w:pPr>
            <w:r w:rsidRPr="00B02CFE">
              <w:rPr>
                <w:rFonts w:cs="Arial"/>
              </w:rPr>
              <w:t>1,184</w:t>
            </w:r>
          </w:p>
        </w:tc>
      </w:tr>
      <w:tr w:rsidR="00B02CFE" w:rsidRPr="00C328EF" w14:paraId="3B59BCC6" w14:textId="77777777" w:rsidTr="00672228">
        <w:tc>
          <w:tcPr>
            <w:tcW w:w="3828" w:type="dxa"/>
            <w:gridSpan w:val="3"/>
          </w:tcPr>
          <w:p w14:paraId="0CB29D0E" w14:textId="77777777" w:rsidR="00B02CFE" w:rsidRPr="00B02CFE" w:rsidRDefault="00B02CFE" w:rsidP="00B02CFE">
            <w:pPr>
              <w:rPr>
                <w:rFonts w:cs="Arial"/>
                <w:u w:val="single"/>
              </w:rPr>
            </w:pPr>
            <w:r w:rsidRPr="00B02CFE">
              <w:rPr>
                <w:rFonts w:cs="Arial"/>
                <w:u w:val="single"/>
              </w:rPr>
              <w:t>Non-cash flows</w:t>
            </w:r>
          </w:p>
        </w:tc>
        <w:tc>
          <w:tcPr>
            <w:tcW w:w="1275" w:type="dxa"/>
            <w:gridSpan w:val="2"/>
          </w:tcPr>
          <w:p w14:paraId="3B3FD7A9" w14:textId="77777777" w:rsidR="00B02CFE" w:rsidRPr="00B02CFE" w:rsidRDefault="00B02CFE" w:rsidP="00B02CFE">
            <w:pPr>
              <w:jc w:val="right"/>
              <w:rPr>
                <w:rFonts w:cs="Arial"/>
              </w:rPr>
            </w:pPr>
          </w:p>
        </w:tc>
        <w:tc>
          <w:tcPr>
            <w:tcW w:w="1276" w:type="dxa"/>
            <w:gridSpan w:val="2"/>
          </w:tcPr>
          <w:p w14:paraId="1B41435E" w14:textId="77777777" w:rsidR="00B02CFE" w:rsidRPr="00B02CFE" w:rsidRDefault="00B02CFE" w:rsidP="00B02CFE">
            <w:pPr>
              <w:jc w:val="right"/>
              <w:rPr>
                <w:rFonts w:cs="Arial"/>
              </w:rPr>
            </w:pPr>
          </w:p>
        </w:tc>
        <w:tc>
          <w:tcPr>
            <w:tcW w:w="1276" w:type="dxa"/>
            <w:gridSpan w:val="2"/>
          </w:tcPr>
          <w:p w14:paraId="31C21FE0" w14:textId="77777777" w:rsidR="00B02CFE" w:rsidRPr="00B02CFE" w:rsidRDefault="00B02CFE" w:rsidP="00B02CFE">
            <w:pPr>
              <w:jc w:val="right"/>
              <w:rPr>
                <w:rFonts w:cs="Arial"/>
              </w:rPr>
            </w:pPr>
          </w:p>
        </w:tc>
        <w:tc>
          <w:tcPr>
            <w:tcW w:w="1276" w:type="dxa"/>
          </w:tcPr>
          <w:p w14:paraId="7F4DAD16" w14:textId="77777777" w:rsidR="00B02CFE" w:rsidRPr="00B02CFE" w:rsidRDefault="00B02CFE" w:rsidP="00B02CFE">
            <w:pPr>
              <w:jc w:val="right"/>
              <w:rPr>
                <w:rFonts w:cs="Arial"/>
              </w:rPr>
            </w:pPr>
          </w:p>
        </w:tc>
        <w:tc>
          <w:tcPr>
            <w:tcW w:w="1134" w:type="dxa"/>
          </w:tcPr>
          <w:p w14:paraId="61F62797" w14:textId="77777777" w:rsidR="00B02CFE" w:rsidRPr="00B02CFE" w:rsidRDefault="00B02CFE" w:rsidP="00B02CFE">
            <w:pPr>
              <w:jc w:val="right"/>
              <w:rPr>
                <w:rFonts w:cs="Arial"/>
              </w:rPr>
            </w:pPr>
          </w:p>
        </w:tc>
      </w:tr>
      <w:tr w:rsidR="00B02CFE" w:rsidRPr="00C328EF" w14:paraId="12E996D8" w14:textId="77777777" w:rsidTr="00672228">
        <w:tc>
          <w:tcPr>
            <w:tcW w:w="3828" w:type="dxa"/>
            <w:gridSpan w:val="3"/>
          </w:tcPr>
          <w:p w14:paraId="7CABC780" w14:textId="77777777" w:rsidR="00B02CFE" w:rsidRPr="00B02CFE" w:rsidRDefault="00B02CFE" w:rsidP="00B02CFE">
            <w:pPr>
              <w:rPr>
                <w:rFonts w:cs="Arial"/>
              </w:rPr>
            </w:pPr>
            <w:r w:rsidRPr="00B02CFE">
              <w:rPr>
                <w:rFonts w:cs="Arial"/>
              </w:rPr>
              <w:t>Leases</w:t>
            </w:r>
          </w:p>
        </w:tc>
        <w:tc>
          <w:tcPr>
            <w:tcW w:w="1275" w:type="dxa"/>
            <w:gridSpan w:val="2"/>
          </w:tcPr>
          <w:p w14:paraId="651175F4" w14:textId="77777777" w:rsidR="00B02CFE" w:rsidRPr="00B02CFE" w:rsidRDefault="00B02CFE" w:rsidP="00B02CFE">
            <w:pPr>
              <w:jc w:val="right"/>
              <w:rPr>
                <w:rFonts w:cs="Arial"/>
              </w:rPr>
            </w:pPr>
            <w:r w:rsidRPr="00B02CFE">
              <w:rPr>
                <w:rFonts w:cs="Arial"/>
              </w:rPr>
              <w:t>911</w:t>
            </w:r>
          </w:p>
        </w:tc>
        <w:tc>
          <w:tcPr>
            <w:tcW w:w="1276" w:type="dxa"/>
            <w:gridSpan w:val="2"/>
          </w:tcPr>
          <w:p w14:paraId="69E7069A" w14:textId="77777777" w:rsidR="00B02CFE" w:rsidRPr="00B02CFE" w:rsidRDefault="00B02CFE" w:rsidP="00B02CFE">
            <w:pPr>
              <w:jc w:val="right"/>
              <w:rPr>
                <w:rFonts w:cs="Arial"/>
              </w:rPr>
            </w:pPr>
            <w:r w:rsidRPr="00B02CFE">
              <w:rPr>
                <w:rFonts w:cs="Arial"/>
              </w:rPr>
              <w:t>-</w:t>
            </w:r>
          </w:p>
        </w:tc>
        <w:tc>
          <w:tcPr>
            <w:tcW w:w="1276" w:type="dxa"/>
            <w:gridSpan w:val="2"/>
          </w:tcPr>
          <w:p w14:paraId="5EF5308A" w14:textId="77777777" w:rsidR="00B02CFE" w:rsidRPr="00B02CFE" w:rsidRDefault="00B02CFE" w:rsidP="00B02CFE">
            <w:pPr>
              <w:jc w:val="right"/>
              <w:rPr>
                <w:rFonts w:cs="Arial"/>
              </w:rPr>
            </w:pPr>
            <w:r w:rsidRPr="00B02CFE">
              <w:rPr>
                <w:rFonts w:cs="Arial"/>
              </w:rPr>
              <w:t>-</w:t>
            </w:r>
          </w:p>
        </w:tc>
        <w:tc>
          <w:tcPr>
            <w:tcW w:w="1276" w:type="dxa"/>
          </w:tcPr>
          <w:p w14:paraId="7F53FBDD" w14:textId="77777777" w:rsidR="00B02CFE" w:rsidRPr="00B02CFE" w:rsidRDefault="00B02CFE" w:rsidP="00B02CFE">
            <w:pPr>
              <w:jc w:val="right"/>
              <w:rPr>
                <w:rFonts w:cs="Arial"/>
              </w:rPr>
            </w:pPr>
            <w:r w:rsidRPr="00B02CFE">
              <w:rPr>
                <w:rFonts w:cs="Arial"/>
              </w:rPr>
              <w:t>-</w:t>
            </w:r>
          </w:p>
        </w:tc>
        <w:tc>
          <w:tcPr>
            <w:tcW w:w="1134" w:type="dxa"/>
          </w:tcPr>
          <w:p w14:paraId="53F25667" w14:textId="77777777" w:rsidR="00B02CFE" w:rsidRPr="00B02CFE" w:rsidRDefault="00B02CFE" w:rsidP="00B02CFE">
            <w:pPr>
              <w:jc w:val="right"/>
              <w:rPr>
                <w:rFonts w:cs="Arial"/>
              </w:rPr>
            </w:pPr>
            <w:r w:rsidRPr="00B02CFE">
              <w:rPr>
                <w:rFonts w:cs="Arial"/>
              </w:rPr>
              <w:t>911</w:t>
            </w:r>
          </w:p>
        </w:tc>
      </w:tr>
      <w:tr w:rsidR="00B02CFE" w:rsidRPr="00C328EF" w14:paraId="279223D4" w14:textId="77777777" w:rsidTr="00672228">
        <w:tc>
          <w:tcPr>
            <w:tcW w:w="3828" w:type="dxa"/>
            <w:gridSpan w:val="3"/>
          </w:tcPr>
          <w:p w14:paraId="264CA5C0" w14:textId="77777777" w:rsidR="00B02CFE" w:rsidRPr="00B02CFE" w:rsidRDefault="00B02CFE" w:rsidP="00B02CFE">
            <w:pPr>
              <w:rPr>
                <w:rFonts w:cs="Arial"/>
              </w:rPr>
            </w:pPr>
            <w:r w:rsidRPr="00B02CFE">
              <w:rPr>
                <w:rFonts w:cs="Arial"/>
              </w:rPr>
              <w:t xml:space="preserve">New leases in </w:t>
            </w:r>
            <w:r w:rsidR="00D67CB6">
              <w:rPr>
                <w:rFonts w:cs="Arial"/>
              </w:rPr>
              <w:t>the period</w:t>
            </w:r>
          </w:p>
        </w:tc>
        <w:tc>
          <w:tcPr>
            <w:tcW w:w="1275" w:type="dxa"/>
            <w:gridSpan w:val="2"/>
          </w:tcPr>
          <w:p w14:paraId="657F82F3" w14:textId="77777777" w:rsidR="00B02CFE" w:rsidRPr="00B02CFE" w:rsidRDefault="00B02CFE" w:rsidP="00B02CFE">
            <w:pPr>
              <w:jc w:val="right"/>
              <w:rPr>
                <w:rFonts w:cs="Arial"/>
              </w:rPr>
            </w:pPr>
            <w:r w:rsidRPr="00B02CFE">
              <w:rPr>
                <w:rFonts w:cs="Arial"/>
              </w:rPr>
              <w:t>246</w:t>
            </w:r>
          </w:p>
        </w:tc>
        <w:tc>
          <w:tcPr>
            <w:tcW w:w="1276" w:type="dxa"/>
            <w:gridSpan w:val="2"/>
          </w:tcPr>
          <w:p w14:paraId="67CF9A10" w14:textId="77777777" w:rsidR="00B02CFE" w:rsidRPr="00B02CFE" w:rsidRDefault="00B02CFE" w:rsidP="00B02CFE">
            <w:pPr>
              <w:jc w:val="right"/>
              <w:rPr>
                <w:rFonts w:cs="Arial"/>
              </w:rPr>
            </w:pPr>
            <w:r w:rsidRPr="00B02CFE">
              <w:rPr>
                <w:rFonts w:cs="Arial"/>
              </w:rPr>
              <w:t>-</w:t>
            </w:r>
          </w:p>
        </w:tc>
        <w:tc>
          <w:tcPr>
            <w:tcW w:w="1276" w:type="dxa"/>
            <w:gridSpan w:val="2"/>
          </w:tcPr>
          <w:p w14:paraId="22564655" w14:textId="77777777" w:rsidR="00B02CFE" w:rsidRPr="00B02CFE" w:rsidRDefault="00B02CFE" w:rsidP="00B02CFE">
            <w:pPr>
              <w:jc w:val="right"/>
              <w:rPr>
                <w:rFonts w:cs="Arial"/>
              </w:rPr>
            </w:pPr>
            <w:r w:rsidRPr="00B02CFE">
              <w:rPr>
                <w:rFonts w:cs="Arial"/>
              </w:rPr>
              <w:t>-</w:t>
            </w:r>
          </w:p>
        </w:tc>
        <w:tc>
          <w:tcPr>
            <w:tcW w:w="1276" w:type="dxa"/>
          </w:tcPr>
          <w:p w14:paraId="62D501A5" w14:textId="77777777" w:rsidR="00B02CFE" w:rsidRPr="00B02CFE" w:rsidRDefault="00B02CFE" w:rsidP="00B02CFE">
            <w:pPr>
              <w:jc w:val="right"/>
              <w:rPr>
                <w:rFonts w:cs="Arial"/>
              </w:rPr>
            </w:pPr>
            <w:r w:rsidRPr="00B02CFE">
              <w:rPr>
                <w:rFonts w:cs="Arial"/>
              </w:rPr>
              <w:t>-</w:t>
            </w:r>
          </w:p>
        </w:tc>
        <w:tc>
          <w:tcPr>
            <w:tcW w:w="1134" w:type="dxa"/>
          </w:tcPr>
          <w:p w14:paraId="20ACFDD2" w14:textId="77777777" w:rsidR="00B02CFE" w:rsidRPr="00B02CFE" w:rsidRDefault="00B02CFE" w:rsidP="00B02CFE">
            <w:pPr>
              <w:jc w:val="right"/>
              <w:rPr>
                <w:rFonts w:cs="Arial"/>
              </w:rPr>
            </w:pPr>
            <w:r w:rsidRPr="00B02CFE">
              <w:rPr>
                <w:rFonts w:cs="Arial"/>
              </w:rPr>
              <w:t>246</w:t>
            </w:r>
          </w:p>
        </w:tc>
      </w:tr>
      <w:tr w:rsidR="00B02CFE" w:rsidRPr="00C328EF" w14:paraId="62A32307" w14:textId="77777777" w:rsidTr="00672228">
        <w:tc>
          <w:tcPr>
            <w:tcW w:w="3828" w:type="dxa"/>
            <w:gridSpan w:val="3"/>
          </w:tcPr>
          <w:p w14:paraId="2C753AE2" w14:textId="77777777" w:rsidR="00B02CFE" w:rsidRPr="00B02CFE" w:rsidRDefault="00B02CFE" w:rsidP="00B02CFE">
            <w:pPr>
              <w:rPr>
                <w:rFonts w:cs="Arial"/>
              </w:rPr>
            </w:pPr>
            <w:r w:rsidRPr="00B02CFE">
              <w:rPr>
                <w:rFonts w:cs="Arial"/>
              </w:rPr>
              <w:t xml:space="preserve">Change in fair value during the </w:t>
            </w:r>
            <w:r w:rsidR="00D67CB6">
              <w:rPr>
                <w:rFonts w:cs="Arial"/>
              </w:rPr>
              <w:t>period</w:t>
            </w:r>
          </w:p>
        </w:tc>
        <w:tc>
          <w:tcPr>
            <w:tcW w:w="1275" w:type="dxa"/>
            <w:gridSpan w:val="2"/>
          </w:tcPr>
          <w:p w14:paraId="2860B2CA" w14:textId="77777777" w:rsidR="00B02CFE" w:rsidRPr="00B02CFE" w:rsidRDefault="00B02CFE" w:rsidP="00B02CFE">
            <w:pPr>
              <w:jc w:val="right"/>
              <w:rPr>
                <w:rFonts w:cs="Arial"/>
              </w:rPr>
            </w:pPr>
            <w:r w:rsidRPr="00B02CFE">
              <w:rPr>
                <w:rFonts w:cs="Arial"/>
              </w:rPr>
              <w:t>-</w:t>
            </w:r>
          </w:p>
        </w:tc>
        <w:tc>
          <w:tcPr>
            <w:tcW w:w="1276" w:type="dxa"/>
            <w:gridSpan w:val="2"/>
          </w:tcPr>
          <w:p w14:paraId="20B7BC30" w14:textId="77777777" w:rsidR="00B02CFE" w:rsidRPr="00B02CFE" w:rsidRDefault="00B02CFE" w:rsidP="00B02CFE">
            <w:pPr>
              <w:jc w:val="right"/>
              <w:rPr>
                <w:rFonts w:cs="Arial"/>
              </w:rPr>
            </w:pPr>
            <w:r w:rsidRPr="00B02CFE">
              <w:rPr>
                <w:rFonts w:cs="Arial"/>
              </w:rPr>
              <w:t>-</w:t>
            </w:r>
          </w:p>
        </w:tc>
        <w:tc>
          <w:tcPr>
            <w:tcW w:w="1276" w:type="dxa"/>
            <w:gridSpan w:val="2"/>
          </w:tcPr>
          <w:p w14:paraId="43BB37E2" w14:textId="77777777" w:rsidR="00B02CFE" w:rsidRPr="00B02CFE" w:rsidRDefault="00B02CFE" w:rsidP="00B02CFE">
            <w:pPr>
              <w:jc w:val="right"/>
              <w:rPr>
                <w:rFonts w:cs="Arial"/>
              </w:rPr>
            </w:pPr>
            <w:r w:rsidRPr="00B02CFE">
              <w:rPr>
                <w:rFonts w:cs="Arial"/>
              </w:rPr>
              <w:t>2,857</w:t>
            </w:r>
          </w:p>
        </w:tc>
        <w:tc>
          <w:tcPr>
            <w:tcW w:w="1276" w:type="dxa"/>
          </w:tcPr>
          <w:p w14:paraId="005BA6A8" w14:textId="77777777" w:rsidR="00B02CFE" w:rsidRPr="00B02CFE" w:rsidRDefault="00B02CFE" w:rsidP="00B02CFE">
            <w:pPr>
              <w:jc w:val="right"/>
              <w:rPr>
                <w:rFonts w:cs="Arial"/>
              </w:rPr>
            </w:pPr>
            <w:r w:rsidRPr="00B02CFE">
              <w:rPr>
                <w:rFonts w:cs="Arial"/>
              </w:rPr>
              <w:t>-</w:t>
            </w:r>
          </w:p>
        </w:tc>
        <w:tc>
          <w:tcPr>
            <w:tcW w:w="1134" w:type="dxa"/>
          </w:tcPr>
          <w:p w14:paraId="57152E6E" w14:textId="77777777" w:rsidR="00B02CFE" w:rsidRPr="00B02CFE" w:rsidRDefault="00B02CFE" w:rsidP="00B02CFE">
            <w:pPr>
              <w:jc w:val="right"/>
              <w:rPr>
                <w:rFonts w:cs="Arial"/>
              </w:rPr>
            </w:pPr>
            <w:r w:rsidRPr="00B02CFE">
              <w:rPr>
                <w:rFonts w:cs="Arial"/>
              </w:rPr>
              <w:t>2,857</w:t>
            </w:r>
          </w:p>
        </w:tc>
      </w:tr>
      <w:tr w:rsidR="00B02CFE" w:rsidRPr="00C328EF" w14:paraId="7070E879" w14:textId="77777777" w:rsidTr="00672228">
        <w:tc>
          <w:tcPr>
            <w:tcW w:w="3828" w:type="dxa"/>
            <w:gridSpan w:val="3"/>
          </w:tcPr>
          <w:p w14:paraId="2783AF71" w14:textId="77777777" w:rsidR="00B02CFE" w:rsidRPr="00B02CFE" w:rsidRDefault="00B02CFE" w:rsidP="00B02CFE">
            <w:pPr>
              <w:rPr>
                <w:rFonts w:cs="Arial"/>
              </w:rPr>
            </w:pPr>
            <w:r w:rsidRPr="00B02CFE">
              <w:rPr>
                <w:rFonts w:cs="Arial"/>
              </w:rPr>
              <w:t xml:space="preserve">Split in aging profile </w:t>
            </w:r>
          </w:p>
        </w:tc>
        <w:tc>
          <w:tcPr>
            <w:tcW w:w="1275" w:type="dxa"/>
            <w:gridSpan w:val="2"/>
          </w:tcPr>
          <w:p w14:paraId="01EE4B1C" w14:textId="77777777" w:rsidR="00B02CFE" w:rsidRPr="00B02CFE" w:rsidRDefault="00B02CFE" w:rsidP="00B02CFE">
            <w:pPr>
              <w:jc w:val="right"/>
              <w:rPr>
                <w:rFonts w:cs="Arial"/>
                <w:spacing w:val="-2"/>
              </w:rPr>
            </w:pPr>
            <w:r w:rsidRPr="00B02CFE">
              <w:rPr>
                <w:rFonts w:cs="Arial"/>
                <w:spacing w:val="-2"/>
              </w:rPr>
              <w:t>12,482</w:t>
            </w:r>
          </w:p>
        </w:tc>
        <w:tc>
          <w:tcPr>
            <w:tcW w:w="1276" w:type="dxa"/>
            <w:gridSpan w:val="2"/>
          </w:tcPr>
          <w:p w14:paraId="2DC42878" w14:textId="77777777" w:rsidR="00B02CFE" w:rsidRPr="00B02CFE" w:rsidRDefault="00B02CFE" w:rsidP="00B02CFE">
            <w:pPr>
              <w:jc w:val="right"/>
              <w:rPr>
                <w:rFonts w:cs="Arial"/>
                <w:spacing w:val="-2"/>
              </w:rPr>
            </w:pPr>
            <w:r w:rsidRPr="00B02CFE">
              <w:rPr>
                <w:rFonts w:cs="Arial"/>
                <w:spacing w:val="-2"/>
              </w:rPr>
              <w:t>(12,482)</w:t>
            </w:r>
          </w:p>
        </w:tc>
        <w:tc>
          <w:tcPr>
            <w:tcW w:w="1276" w:type="dxa"/>
            <w:gridSpan w:val="2"/>
          </w:tcPr>
          <w:p w14:paraId="59515F62" w14:textId="77777777" w:rsidR="00B02CFE" w:rsidRPr="00B02CFE" w:rsidRDefault="00B02CFE" w:rsidP="00B02CFE">
            <w:pPr>
              <w:jc w:val="right"/>
              <w:rPr>
                <w:rFonts w:cs="Arial"/>
                <w:spacing w:val="-2"/>
              </w:rPr>
            </w:pPr>
            <w:r w:rsidRPr="00B02CFE">
              <w:rPr>
                <w:rFonts w:cs="Arial"/>
                <w:spacing w:val="-2"/>
              </w:rPr>
              <w:t>(2,336)</w:t>
            </w:r>
          </w:p>
        </w:tc>
        <w:tc>
          <w:tcPr>
            <w:tcW w:w="1276" w:type="dxa"/>
          </w:tcPr>
          <w:p w14:paraId="21C510A4" w14:textId="77777777" w:rsidR="00B02CFE" w:rsidRPr="00B02CFE" w:rsidRDefault="00B02CFE" w:rsidP="00B02CFE">
            <w:pPr>
              <w:jc w:val="right"/>
              <w:rPr>
                <w:rFonts w:cs="Arial"/>
                <w:spacing w:val="-2"/>
              </w:rPr>
            </w:pPr>
            <w:r w:rsidRPr="00B02CFE">
              <w:rPr>
                <w:rFonts w:cs="Arial"/>
                <w:spacing w:val="-2"/>
              </w:rPr>
              <w:t>2,336</w:t>
            </w:r>
          </w:p>
        </w:tc>
        <w:tc>
          <w:tcPr>
            <w:tcW w:w="1134" w:type="dxa"/>
          </w:tcPr>
          <w:p w14:paraId="201C157C" w14:textId="77777777" w:rsidR="00B02CFE" w:rsidRPr="00B02CFE" w:rsidRDefault="00B02CFE" w:rsidP="00B02CFE">
            <w:pPr>
              <w:jc w:val="right"/>
              <w:rPr>
                <w:rFonts w:cs="Arial"/>
                <w:spacing w:val="-2"/>
              </w:rPr>
            </w:pPr>
            <w:r w:rsidRPr="00B02CFE">
              <w:rPr>
                <w:rFonts w:cs="Arial"/>
                <w:spacing w:val="-2"/>
              </w:rPr>
              <w:t>-</w:t>
            </w:r>
          </w:p>
        </w:tc>
      </w:tr>
      <w:tr w:rsidR="00B02CFE" w:rsidRPr="00C328EF" w14:paraId="096845FB" w14:textId="77777777" w:rsidTr="00672228">
        <w:tc>
          <w:tcPr>
            <w:tcW w:w="3828" w:type="dxa"/>
            <w:gridSpan w:val="3"/>
          </w:tcPr>
          <w:p w14:paraId="36934D2A" w14:textId="77777777" w:rsidR="00B02CFE" w:rsidRPr="00B02CFE" w:rsidRDefault="00B02CFE" w:rsidP="00B02CFE">
            <w:pPr>
              <w:rPr>
                <w:rFonts w:cs="Arial"/>
              </w:rPr>
            </w:pPr>
          </w:p>
        </w:tc>
        <w:tc>
          <w:tcPr>
            <w:tcW w:w="1275" w:type="dxa"/>
            <w:gridSpan w:val="2"/>
          </w:tcPr>
          <w:p w14:paraId="4C040A9D" w14:textId="77777777" w:rsidR="00B02CFE" w:rsidRPr="00B02CFE" w:rsidRDefault="00B02CFE" w:rsidP="00B02CFE">
            <w:pPr>
              <w:jc w:val="right"/>
              <w:rPr>
                <w:rFonts w:cs="Arial"/>
                <w:spacing w:val="-2"/>
              </w:rPr>
            </w:pPr>
            <w:r w:rsidRPr="00B02CFE">
              <w:rPr>
                <w:rFonts w:cs="Arial"/>
                <w:spacing w:val="-2"/>
              </w:rPr>
              <w:t>───────</w:t>
            </w:r>
          </w:p>
        </w:tc>
        <w:tc>
          <w:tcPr>
            <w:tcW w:w="1276" w:type="dxa"/>
            <w:gridSpan w:val="2"/>
          </w:tcPr>
          <w:p w14:paraId="52181861" w14:textId="77777777" w:rsidR="00B02CFE" w:rsidRPr="00B02CFE" w:rsidRDefault="00B02CFE" w:rsidP="00B02CFE">
            <w:pPr>
              <w:jc w:val="right"/>
              <w:rPr>
                <w:rFonts w:cs="Arial"/>
              </w:rPr>
            </w:pPr>
            <w:r w:rsidRPr="00B02CFE">
              <w:rPr>
                <w:rFonts w:cs="Arial"/>
                <w:spacing w:val="-2"/>
              </w:rPr>
              <w:t>───────</w:t>
            </w:r>
          </w:p>
        </w:tc>
        <w:tc>
          <w:tcPr>
            <w:tcW w:w="1276" w:type="dxa"/>
            <w:gridSpan w:val="2"/>
          </w:tcPr>
          <w:p w14:paraId="016C17EF" w14:textId="77777777" w:rsidR="00B02CFE" w:rsidRPr="00B02CFE" w:rsidRDefault="00B02CFE" w:rsidP="00B02CFE">
            <w:pPr>
              <w:jc w:val="right"/>
              <w:rPr>
                <w:rFonts w:cs="Arial"/>
              </w:rPr>
            </w:pPr>
            <w:r w:rsidRPr="00B02CFE">
              <w:rPr>
                <w:rFonts w:cs="Arial"/>
                <w:spacing w:val="-2"/>
              </w:rPr>
              <w:t>───────</w:t>
            </w:r>
          </w:p>
        </w:tc>
        <w:tc>
          <w:tcPr>
            <w:tcW w:w="1276" w:type="dxa"/>
          </w:tcPr>
          <w:p w14:paraId="2ADEE55F" w14:textId="77777777" w:rsidR="00B02CFE" w:rsidRPr="00B02CFE" w:rsidRDefault="00B02CFE" w:rsidP="00B02CFE">
            <w:pPr>
              <w:jc w:val="right"/>
              <w:rPr>
                <w:rFonts w:cs="Arial"/>
              </w:rPr>
            </w:pPr>
            <w:r w:rsidRPr="00B02CFE">
              <w:rPr>
                <w:rFonts w:cs="Arial"/>
                <w:spacing w:val="-2"/>
              </w:rPr>
              <w:t>───────</w:t>
            </w:r>
          </w:p>
        </w:tc>
        <w:tc>
          <w:tcPr>
            <w:tcW w:w="1134" w:type="dxa"/>
          </w:tcPr>
          <w:p w14:paraId="4412342C" w14:textId="77777777" w:rsidR="00B02CFE" w:rsidRPr="00B02CFE" w:rsidRDefault="00B02CFE" w:rsidP="00B02CFE">
            <w:pPr>
              <w:jc w:val="right"/>
              <w:rPr>
                <w:rFonts w:cs="Arial"/>
              </w:rPr>
            </w:pPr>
            <w:r w:rsidRPr="00B02CFE">
              <w:rPr>
                <w:rFonts w:cs="Arial"/>
                <w:spacing w:val="-2"/>
              </w:rPr>
              <w:t>──────</w:t>
            </w:r>
          </w:p>
        </w:tc>
      </w:tr>
      <w:tr w:rsidR="00B02CFE" w:rsidRPr="00C328EF" w14:paraId="6D030817" w14:textId="77777777" w:rsidTr="00672228">
        <w:tc>
          <w:tcPr>
            <w:tcW w:w="3828" w:type="dxa"/>
            <w:gridSpan w:val="3"/>
          </w:tcPr>
          <w:p w14:paraId="00515CA5" w14:textId="77777777" w:rsidR="00B02CFE" w:rsidRPr="00B02CFE" w:rsidRDefault="00B02CFE" w:rsidP="00B02CFE">
            <w:pPr>
              <w:rPr>
                <w:rFonts w:cs="Arial"/>
              </w:rPr>
            </w:pPr>
            <w:r w:rsidRPr="00B02CFE">
              <w:rPr>
                <w:rFonts w:cs="Arial"/>
              </w:rPr>
              <w:t>At 3</w:t>
            </w:r>
            <w:r w:rsidR="00D67CB6">
              <w:rPr>
                <w:rFonts w:cs="Arial"/>
              </w:rPr>
              <w:t>0</w:t>
            </w:r>
            <w:r w:rsidRPr="00B02CFE">
              <w:rPr>
                <w:rFonts w:cs="Arial"/>
              </w:rPr>
              <w:t xml:space="preserve"> December 2023</w:t>
            </w:r>
          </w:p>
        </w:tc>
        <w:tc>
          <w:tcPr>
            <w:tcW w:w="1275" w:type="dxa"/>
            <w:gridSpan w:val="2"/>
          </w:tcPr>
          <w:p w14:paraId="4C5BCABB" w14:textId="77777777" w:rsidR="00B02CFE" w:rsidRPr="00B02CFE" w:rsidRDefault="00B02CFE" w:rsidP="00B02CFE">
            <w:pPr>
              <w:jc w:val="right"/>
              <w:rPr>
                <w:rFonts w:cs="Arial"/>
              </w:rPr>
            </w:pPr>
            <w:r w:rsidRPr="00B02CFE">
              <w:rPr>
                <w:rFonts w:cs="Arial"/>
              </w:rPr>
              <w:t>12,762</w:t>
            </w:r>
          </w:p>
        </w:tc>
        <w:tc>
          <w:tcPr>
            <w:tcW w:w="1276" w:type="dxa"/>
            <w:gridSpan w:val="2"/>
          </w:tcPr>
          <w:p w14:paraId="787D48E4" w14:textId="77777777" w:rsidR="00B02CFE" w:rsidRPr="00B02CFE" w:rsidRDefault="00B02CFE" w:rsidP="00B02CFE">
            <w:pPr>
              <w:jc w:val="right"/>
              <w:rPr>
                <w:rFonts w:cs="Arial"/>
              </w:rPr>
            </w:pPr>
            <w:r w:rsidRPr="00B02CFE">
              <w:rPr>
                <w:rFonts w:cs="Arial"/>
              </w:rPr>
              <w:t>50,016</w:t>
            </w:r>
          </w:p>
        </w:tc>
        <w:tc>
          <w:tcPr>
            <w:tcW w:w="1276" w:type="dxa"/>
            <w:gridSpan w:val="2"/>
          </w:tcPr>
          <w:p w14:paraId="79623CB3" w14:textId="77777777" w:rsidR="00B02CFE" w:rsidRPr="00B02CFE" w:rsidRDefault="00B02CFE" w:rsidP="00B02CFE">
            <w:pPr>
              <w:jc w:val="right"/>
              <w:rPr>
                <w:rFonts w:cs="Arial"/>
              </w:rPr>
            </w:pPr>
            <w:r w:rsidRPr="00B02CFE">
              <w:rPr>
                <w:rFonts w:cs="Arial"/>
              </w:rPr>
              <w:t>1,705</w:t>
            </w:r>
          </w:p>
        </w:tc>
        <w:tc>
          <w:tcPr>
            <w:tcW w:w="1276" w:type="dxa"/>
          </w:tcPr>
          <w:p w14:paraId="48BF9231" w14:textId="77777777" w:rsidR="00B02CFE" w:rsidRPr="00B02CFE" w:rsidRDefault="00B02CFE" w:rsidP="00B02CFE">
            <w:pPr>
              <w:jc w:val="right"/>
              <w:rPr>
                <w:rFonts w:cs="Arial"/>
              </w:rPr>
            </w:pPr>
            <w:r w:rsidRPr="00B02CFE">
              <w:rPr>
                <w:rFonts w:cs="Arial"/>
              </w:rPr>
              <w:t>-</w:t>
            </w:r>
          </w:p>
        </w:tc>
        <w:tc>
          <w:tcPr>
            <w:tcW w:w="1134" w:type="dxa"/>
          </w:tcPr>
          <w:p w14:paraId="785842AE" w14:textId="77777777" w:rsidR="00B02CFE" w:rsidRPr="00B02CFE" w:rsidRDefault="00B02CFE" w:rsidP="00B02CFE">
            <w:pPr>
              <w:jc w:val="right"/>
              <w:rPr>
                <w:rFonts w:cs="Arial"/>
              </w:rPr>
            </w:pPr>
            <w:r w:rsidRPr="00B02CFE">
              <w:rPr>
                <w:rFonts w:cs="Arial"/>
              </w:rPr>
              <w:t>64,483</w:t>
            </w:r>
          </w:p>
        </w:tc>
      </w:tr>
      <w:tr w:rsidR="00B02CFE" w:rsidRPr="00C328EF" w14:paraId="50A7B45B" w14:textId="77777777" w:rsidTr="00672228">
        <w:tc>
          <w:tcPr>
            <w:tcW w:w="3828" w:type="dxa"/>
            <w:gridSpan w:val="3"/>
          </w:tcPr>
          <w:p w14:paraId="285A565D" w14:textId="77777777" w:rsidR="00B02CFE" w:rsidRPr="00B02CFE" w:rsidRDefault="00B02CFE" w:rsidP="00B02CFE">
            <w:pPr>
              <w:rPr>
                <w:rFonts w:cs="Arial"/>
              </w:rPr>
            </w:pPr>
          </w:p>
        </w:tc>
        <w:tc>
          <w:tcPr>
            <w:tcW w:w="1275" w:type="dxa"/>
            <w:gridSpan w:val="2"/>
          </w:tcPr>
          <w:p w14:paraId="2CAFF8F1" w14:textId="77777777" w:rsidR="00B02CFE" w:rsidRPr="00B02CFE" w:rsidRDefault="00B02CFE" w:rsidP="00B02CFE">
            <w:pPr>
              <w:jc w:val="right"/>
              <w:rPr>
                <w:rFonts w:cs="Arial"/>
              </w:rPr>
            </w:pPr>
            <w:r w:rsidRPr="00B02CFE">
              <w:rPr>
                <w:rFonts w:cs="Arial"/>
                <w:spacing w:val="-2"/>
              </w:rPr>
              <w:t>───────</w:t>
            </w:r>
          </w:p>
        </w:tc>
        <w:tc>
          <w:tcPr>
            <w:tcW w:w="1276" w:type="dxa"/>
            <w:gridSpan w:val="2"/>
          </w:tcPr>
          <w:p w14:paraId="75EDF024" w14:textId="77777777" w:rsidR="00B02CFE" w:rsidRPr="00B02CFE" w:rsidRDefault="00B02CFE" w:rsidP="00B02CFE">
            <w:pPr>
              <w:jc w:val="right"/>
              <w:rPr>
                <w:rFonts w:cs="Arial"/>
              </w:rPr>
            </w:pPr>
            <w:r w:rsidRPr="00B02CFE">
              <w:rPr>
                <w:rFonts w:cs="Arial"/>
                <w:spacing w:val="-2"/>
              </w:rPr>
              <w:t>───────</w:t>
            </w:r>
          </w:p>
        </w:tc>
        <w:tc>
          <w:tcPr>
            <w:tcW w:w="1276" w:type="dxa"/>
            <w:gridSpan w:val="2"/>
          </w:tcPr>
          <w:p w14:paraId="442296EE" w14:textId="77777777" w:rsidR="00B02CFE" w:rsidRPr="00B02CFE" w:rsidRDefault="00B02CFE" w:rsidP="00B02CFE">
            <w:pPr>
              <w:jc w:val="right"/>
              <w:rPr>
                <w:rFonts w:cs="Arial"/>
              </w:rPr>
            </w:pPr>
            <w:r w:rsidRPr="00B02CFE">
              <w:rPr>
                <w:rFonts w:cs="Arial"/>
                <w:spacing w:val="-2"/>
              </w:rPr>
              <w:t>───────</w:t>
            </w:r>
          </w:p>
        </w:tc>
        <w:tc>
          <w:tcPr>
            <w:tcW w:w="1276" w:type="dxa"/>
          </w:tcPr>
          <w:p w14:paraId="7E04FA0E" w14:textId="77777777" w:rsidR="00B02CFE" w:rsidRPr="00B02CFE" w:rsidRDefault="00B02CFE" w:rsidP="00B02CFE">
            <w:pPr>
              <w:jc w:val="right"/>
              <w:rPr>
                <w:rFonts w:cs="Arial"/>
              </w:rPr>
            </w:pPr>
            <w:r w:rsidRPr="00B02CFE">
              <w:rPr>
                <w:rFonts w:cs="Arial"/>
                <w:spacing w:val="-2"/>
              </w:rPr>
              <w:t>───────</w:t>
            </w:r>
          </w:p>
        </w:tc>
        <w:tc>
          <w:tcPr>
            <w:tcW w:w="1134" w:type="dxa"/>
          </w:tcPr>
          <w:p w14:paraId="1FF9E3DF" w14:textId="77777777" w:rsidR="00B02CFE" w:rsidRPr="00B02CFE" w:rsidRDefault="00B02CFE" w:rsidP="00B02CFE">
            <w:pPr>
              <w:jc w:val="right"/>
              <w:rPr>
                <w:rFonts w:cs="Arial"/>
              </w:rPr>
            </w:pPr>
            <w:r w:rsidRPr="00B02CFE">
              <w:rPr>
                <w:rFonts w:cs="Arial"/>
                <w:spacing w:val="-2"/>
              </w:rPr>
              <w:t>──────</w:t>
            </w:r>
          </w:p>
        </w:tc>
      </w:tr>
      <w:tr w:rsidR="00B02CFE" w:rsidRPr="00C328EF" w14:paraId="3F8B500E" w14:textId="77777777" w:rsidTr="00672228">
        <w:tc>
          <w:tcPr>
            <w:tcW w:w="3828" w:type="dxa"/>
            <w:gridSpan w:val="3"/>
          </w:tcPr>
          <w:p w14:paraId="4CBEF8CD" w14:textId="77777777" w:rsidR="00B02CFE" w:rsidRPr="00B02CFE" w:rsidRDefault="00B02CFE" w:rsidP="00B02CFE">
            <w:pPr>
              <w:rPr>
                <w:rFonts w:cs="Arial"/>
              </w:rPr>
            </w:pPr>
            <w:r w:rsidRPr="00B02CFE">
              <w:rPr>
                <w:rFonts w:cs="Arial"/>
              </w:rPr>
              <w:t xml:space="preserve">At </w:t>
            </w:r>
            <w:r w:rsidR="00D67CB6" w:rsidRPr="00B02CFE">
              <w:rPr>
                <w:rFonts w:cs="Arial"/>
              </w:rPr>
              <w:t>3</w:t>
            </w:r>
            <w:r w:rsidR="007D4685">
              <w:rPr>
                <w:rFonts w:cs="Arial"/>
              </w:rPr>
              <w:t>0</w:t>
            </w:r>
            <w:r w:rsidR="00D67CB6" w:rsidRPr="00B02CFE">
              <w:rPr>
                <w:rFonts w:cs="Arial"/>
              </w:rPr>
              <w:t xml:space="preserve"> December 2023</w:t>
            </w:r>
          </w:p>
        </w:tc>
        <w:tc>
          <w:tcPr>
            <w:tcW w:w="1275" w:type="dxa"/>
            <w:gridSpan w:val="2"/>
          </w:tcPr>
          <w:p w14:paraId="555B9FF8" w14:textId="77777777" w:rsidR="00B02CFE" w:rsidRPr="00B02CFE" w:rsidRDefault="00B02CFE" w:rsidP="00B02CFE">
            <w:pPr>
              <w:jc w:val="right"/>
              <w:rPr>
                <w:rFonts w:cs="Arial"/>
              </w:rPr>
            </w:pPr>
            <w:r w:rsidRPr="00B02CFE">
              <w:rPr>
                <w:rFonts w:cs="Arial"/>
              </w:rPr>
              <w:t>12,762</w:t>
            </w:r>
          </w:p>
        </w:tc>
        <w:tc>
          <w:tcPr>
            <w:tcW w:w="1276" w:type="dxa"/>
            <w:gridSpan w:val="2"/>
          </w:tcPr>
          <w:p w14:paraId="3714E295" w14:textId="77777777" w:rsidR="00B02CFE" w:rsidRPr="00B02CFE" w:rsidRDefault="00B02CFE" w:rsidP="00B02CFE">
            <w:pPr>
              <w:jc w:val="right"/>
              <w:rPr>
                <w:rFonts w:cs="Arial"/>
              </w:rPr>
            </w:pPr>
            <w:r w:rsidRPr="00B02CFE">
              <w:rPr>
                <w:rFonts w:cs="Arial"/>
              </w:rPr>
              <w:t>50,016</w:t>
            </w:r>
          </w:p>
        </w:tc>
        <w:tc>
          <w:tcPr>
            <w:tcW w:w="1276" w:type="dxa"/>
            <w:gridSpan w:val="2"/>
          </w:tcPr>
          <w:p w14:paraId="374540C7" w14:textId="77777777" w:rsidR="00B02CFE" w:rsidRPr="00B02CFE" w:rsidRDefault="00B02CFE" w:rsidP="00B02CFE">
            <w:pPr>
              <w:jc w:val="right"/>
              <w:rPr>
                <w:rFonts w:cs="Arial"/>
              </w:rPr>
            </w:pPr>
            <w:r w:rsidRPr="00B02CFE">
              <w:rPr>
                <w:rFonts w:cs="Arial"/>
              </w:rPr>
              <w:t>1,705</w:t>
            </w:r>
          </w:p>
        </w:tc>
        <w:tc>
          <w:tcPr>
            <w:tcW w:w="1276" w:type="dxa"/>
          </w:tcPr>
          <w:p w14:paraId="76D2D32E" w14:textId="77777777" w:rsidR="00B02CFE" w:rsidRPr="00B02CFE" w:rsidRDefault="00B02CFE" w:rsidP="00B02CFE">
            <w:pPr>
              <w:jc w:val="right"/>
              <w:rPr>
                <w:rFonts w:cs="Arial"/>
              </w:rPr>
            </w:pPr>
            <w:r w:rsidRPr="00B02CFE">
              <w:rPr>
                <w:rFonts w:cs="Arial"/>
              </w:rPr>
              <w:t>-</w:t>
            </w:r>
          </w:p>
        </w:tc>
        <w:tc>
          <w:tcPr>
            <w:tcW w:w="1134" w:type="dxa"/>
          </w:tcPr>
          <w:p w14:paraId="10FC7118" w14:textId="77777777" w:rsidR="00B02CFE" w:rsidRPr="00B071A8" w:rsidRDefault="00B02CFE" w:rsidP="00B02CFE">
            <w:pPr>
              <w:jc w:val="right"/>
              <w:rPr>
                <w:rFonts w:cs="Arial"/>
              </w:rPr>
            </w:pPr>
            <w:r w:rsidRPr="00B071A8">
              <w:rPr>
                <w:rFonts w:cs="Arial"/>
              </w:rPr>
              <w:t>64,483</w:t>
            </w:r>
          </w:p>
        </w:tc>
      </w:tr>
      <w:tr w:rsidR="00D85FE9" w:rsidRPr="00C328EF" w14:paraId="666C83E3" w14:textId="77777777" w:rsidTr="00672228">
        <w:tc>
          <w:tcPr>
            <w:tcW w:w="3828" w:type="dxa"/>
            <w:gridSpan w:val="3"/>
          </w:tcPr>
          <w:p w14:paraId="5E8AF49D" w14:textId="77777777" w:rsidR="00D85FE9" w:rsidRPr="00B02CFE" w:rsidRDefault="00D85FE9" w:rsidP="00D85FE9">
            <w:pPr>
              <w:rPr>
                <w:rFonts w:cs="Arial"/>
                <w:u w:val="single"/>
              </w:rPr>
            </w:pPr>
            <w:r w:rsidRPr="00B02CFE">
              <w:rPr>
                <w:rFonts w:cs="Arial"/>
                <w:u w:val="single"/>
              </w:rPr>
              <w:t>Cash flows</w:t>
            </w:r>
          </w:p>
        </w:tc>
        <w:tc>
          <w:tcPr>
            <w:tcW w:w="1275" w:type="dxa"/>
            <w:gridSpan w:val="2"/>
          </w:tcPr>
          <w:p w14:paraId="13D70879" w14:textId="77777777" w:rsidR="00D85FE9" w:rsidRPr="00C328EF" w:rsidRDefault="00D85FE9" w:rsidP="00D85FE9">
            <w:pPr>
              <w:jc w:val="right"/>
              <w:rPr>
                <w:rFonts w:cs="Arial"/>
                <w:highlight w:val="yellow"/>
              </w:rPr>
            </w:pPr>
          </w:p>
        </w:tc>
        <w:tc>
          <w:tcPr>
            <w:tcW w:w="1276" w:type="dxa"/>
            <w:gridSpan w:val="2"/>
          </w:tcPr>
          <w:p w14:paraId="3B6CD0D7" w14:textId="77777777" w:rsidR="00D85FE9" w:rsidRPr="00C328EF" w:rsidRDefault="00D85FE9" w:rsidP="00D85FE9">
            <w:pPr>
              <w:jc w:val="right"/>
              <w:rPr>
                <w:rFonts w:cs="Arial"/>
                <w:highlight w:val="yellow"/>
              </w:rPr>
            </w:pPr>
          </w:p>
        </w:tc>
        <w:tc>
          <w:tcPr>
            <w:tcW w:w="1276" w:type="dxa"/>
            <w:gridSpan w:val="2"/>
          </w:tcPr>
          <w:p w14:paraId="58949B80" w14:textId="77777777" w:rsidR="00D85FE9" w:rsidRPr="00C328EF" w:rsidRDefault="00D85FE9" w:rsidP="00D85FE9">
            <w:pPr>
              <w:jc w:val="right"/>
              <w:rPr>
                <w:rFonts w:cs="Arial"/>
                <w:highlight w:val="yellow"/>
              </w:rPr>
            </w:pPr>
          </w:p>
        </w:tc>
        <w:tc>
          <w:tcPr>
            <w:tcW w:w="1276" w:type="dxa"/>
          </w:tcPr>
          <w:p w14:paraId="581E5DB5" w14:textId="77777777" w:rsidR="00D85FE9" w:rsidRPr="00C328EF" w:rsidRDefault="00D85FE9" w:rsidP="00D85FE9">
            <w:pPr>
              <w:jc w:val="right"/>
              <w:rPr>
                <w:rFonts w:cs="Arial"/>
                <w:highlight w:val="yellow"/>
              </w:rPr>
            </w:pPr>
          </w:p>
        </w:tc>
        <w:tc>
          <w:tcPr>
            <w:tcW w:w="1134" w:type="dxa"/>
          </w:tcPr>
          <w:p w14:paraId="1FFDCB49" w14:textId="77777777" w:rsidR="00D85FE9" w:rsidRPr="00B071A8" w:rsidRDefault="00D85FE9" w:rsidP="00D85FE9">
            <w:pPr>
              <w:jc w:val="right"/>
              <w:rPr>
                <w:rFonts w:cs="Arial"/>
              </w:rPr>
            </w:pPr>
          </w:p>
        </w:tc>
      </w:tr>
      <w:tr w:rsidR="00D6272C" w:rsidRPr="00C328EF" w14:paraId="41C56683" w14:textId="77777777" w:rsidTr="00672228">
        <w:tc>
          <w:tcPr>
            <w:tcW w:w="3828" w:type="dxa"/>
            <w:gridSpan w:val="3"/>
          </w:tcPr>
          <w:p w14:paraId="6C0C8988" w14:textId="77777777" w:rsidR="00D6272C" w:rsidRPr="00B02CFE" w:rsidRDefault="00D6272C" w:rsidP="00D6272C">
            <w:pPr>
              <w:rPr>
                <w:rFonts w:cs="Arial"/>
              </w:rPr>
            </w:pPr>
            <w:r w:rsidRPr="00B02CFE">
              <w:rPr>
                <w:rFonts w:cs="Arial"/>
              </w:rPr>
              <w:t>Repayment of lease</w:t>
            </w:r>
            <w:r w:rsidR="00235075" w:rsidRPr="00B02CFE">
              <w:rPr>
                <w:rFonts w:cs="Arial"/>
              </w:rPr>
              <w:t xml:space="preserve"> liabilitie</w:t>
            </w:r>
            <w:r w:rsidRPr="00B02CFE">
              <w:rPr>
                <w:rFonts w:cs="Arial"/>
              </w:rPr>
              <w:t>s</w:t>
            </w:r>
          </w:p>
        </w:tc>
        <w:tc>
          <w:tcPr>
            <w:tcW w:w="1275" w:type="dxa"/>
            <w:gridSpan w:val="2"/>
          </w:tcPr>
          <w:p w14:paraId="38052017" w14:textId="77777777" w:rsidR="00D6272C" w:rsidRPr="009C65B1" w:rsidRDefault="00235075" w:rsidP="00D6272C">
            <w:pPr>
              <w:jc w:val="right"/>
              <w:rPr>
                <w:rFonts w:cs="Arial"/>
              </w:rPr>
            </w:pPr>
            <w:r w:rsidRPr="009C65B1">
              <w:rPr>
                <w:rFonts w:cs="Arial"/>
              </w:rPr>
              <w:t>(</w:t>
            </w:r>
            <w:r w:rsidR="00D973FC" w:rsidRPr="009C65B1">
              <w:rPr>
                <w:rFonts w:cs="Arial"/>
              </w:rPr>
              <w:t>1</w:t>
            </w:r>
            <w:r w:rsidR="009C65B1" w:rsidRPr="009C65B1">
              <w:rPr>
                <w:rFonts w:cs="Arial"/>
              </w:rPr>
              <w:t>3</w:t>
            </w:r>
            <w:r w:rsidR="00D973FC" w:rsidRPr="009C65B1">
              <w:rPr>
                <w:rFonts w:cs="Arial"/>
              </w:rPr>
              <w:t>,</w:t>
            </w:r>
            <w:r w:rsidR="009C65B1" w:rsidRPr="009C65B1">
              <w:rPr>
                <w:rFonts w:cs="Arial"/>
              </w:rPr>
              <w:t>460</w:t>
            </w:r>
            <w:r w:rsidRPr="009C65B1">
              <w:rPr>
                <w:rFonts w:cs="Arial"/>
              </w:rPr>
              <w:t>)</w:t>
            </w:r>
          </w:p>
        </w:tc>
        <w:tc>
          <w:tcPr>
            <w:tcW w:w="1276" w:type="dxa"/>
            <w:gridSpan w:val="2"/>
          </w:tcPr>
          <w:p w14:paraId="37ACEB99" w14:textId="77777777" w:rsidR="00D6272C" w:rsidRPr="00B02CFE" w:rsidRDefault="00235075" w:rsidP="00D6272C">
            <w:pPr>
              <w:jc w:val="right"/>
              <w:rPr>
                <w:rFonts w:cs="Arial"/>
              </w:rPr>
            </w:pPr>
            <w:r w:rsidRPr="00B02CFE">
              <w:rPr>
                <w:rFonts w:cs="Arial"/>
              </w:rPr>
              <w:t>-</w:t>
            </w:r>
          </w:p>
        </w:tc>
        <w:tc>
          <w:tcPr>
            <w:tcW w:w="1276" w:type="dxa"/>
            <w:gridSpan w:val="2"/>
          </w:tcPr>
          <w:p w14:paraId="7FD70CDE" w14:textId="77777777" w:rsidR="00D6272C" w:rsidRPr="00B02CFE" w:rsidRDefault="00136256" w:rsidP="00D6272C">
            <w:pPr>
              <w:jc w:val="right"/>
              <w:rPr>
                <w:rFonts w:cs="Arial"/>
              </w:rPr>
            </w:pPr>
            <w:r w:rsidRPr="00B02CFE">
              <w:rPr>
                <w:rFonts w:cs="Arial"/>
              </w:rPr>
              <w:t>-</w:t>
            </w:r>
          </w:p>
        </w:tc>
        <w:tc>
          <w:tcPr>
            <w:tcW w:w="1276" w:type="dxa"/>
          </w:tcPr>
          <w:p w14:paraId="78159B01" w14:textId="77777777" w:rsidR="00D6272C" w:rsidRPr="00B02CFE" w:rsidRDefault="00136256" w:rsidP="00D6272C">
            <w:pPr>
              <w:jc w:val="right"/>
              <w:rPr>
                <w:rFonts w:cs="Arial"/>
              </w:rPr>
            </w:pPr>
            <w:r w:rsidRPr="00B02CFE">
              <w:rPr>
                <w:rFonts w:cs="Arial"/>
              </w:rPr>
              <w:t>-</w:t>
            </w:r>
          </w:p>
        </w:tc>
        <w:tc>
          <w:tcPr>
            <w:tcW w:w="1134" w:type="dxa"/>
          </w:tcPr>
          <w:p w14:paraId="6FE86707" w14:textId="77777777" w:rsidR="00D6272C" w:rsidRPr="00B071A8" w:rsidRDefault="00235075" w:rsidP="00D6272C">
            <w:pPr>
              <w:jc w:val="right"/>
              <w:rPr>
                <w:rFonts w:cs="Arial"/>
              </w:rPr>
            </w:pPr>
            <w:r w:rsidRPr="00B071A8">
              <w:rPr>
                <w:rFonts w:cs="Arial"/>
              </w:rPr>
              <w:t>(</w:t>
            </w:r>
            <w:r w:rsidR="00D973FC" w:rsidRPr="00B071A8">
              <w:rPr>
                <w:rFonts w:cs="Arial"/>
              </w:rPr>
              <w:t>1</w:t>
            </w:r>
            <w:r w:rsidR="009C65B1" w:rsidRPr="00B071A8">
              <w:rPr>
                <w:rFonts w:cs="Arial"/>
              </w:rPr>
              <w:t>3</w:t>
            </w:r>
            <w:r w:rsidR="00550741" w:rsidRPr="00B071A8">
              <w:rPr>
                <w:rFonts w:cs="Arial"/>
              </w:rPr>
              <w:t>,</w:t>
            </w:r>
            <w:r w:rsidR="009C65B1" w:rsidRPr="00B071A8">
              <w:rPr>
                <w:rFonts w:cs="Arial"/>
              </w:rPr>
              <w:t>4</w:t>
            </w:r>
            <w:r w:rsidR="001B3808" w:rsidRPr="00B071A8">
              <w:rPr>
                <w:rFonts w:cs="Arial"/>
              </w:rPr>
              <w:t>6</w:t>
            </w:r>
            <w:r w:rsidR="009C65B1" w:rsidRPr="00B071A8">
              <w:rPr>
                <w:rFonts w:cs="Arial"/>
              </w:rPr>
              <w:t>0</w:t>
            </w:r>
            <w:r w:rsidRPr="00B071A8">
              <w:rPr>
                <w:rFonts w:cs="Arial"/>
              </w:rPr>
              <w:t>)</w:t>
            </w:r>
          </w:p>
        </w:tc>
      </w:tr>
      <w:tr w:rsidR="00550741" w:rsidRPr="00C328EF" w14:paraId="3408CD36" w14:textId="77777777" w:rsidTr="00672228">
        <w:tc>
          <w:tcPr>
            <w:tcW w:w="3828" w:type="dxa"/>
            <w:gridSpan w:val="3"/>
          </w:tcPr>
          <w:p w14:paraId="4CFA89E1" w14:textId="77777777" w:rsidR="00550741" w:rsidRPr="00B02CFE" w:rsidRDefault="00550741" w:rsidP="00550741">
            <w:pPr>
              <w:rPr>
                <w:rFonts w:cs="Arial"/>
              </w:rPr>
            </w:pPr>
            <w:bookmarkStart w:id="45" w:name="_Hlk96002564"/>
            <w:r w:rsidRPr="00B02CFE">
              <w:rPr>
                <w:rFonts w:cs="Arial"/>
              </w:rPr>
              <w:t xml:space="preserve">Net </w:t>
            </w:r>
            <w:r w:rsidR="00B02CFE" w:rsidRPr="00B02CFE">
              <w:rPr>
                <w:rFonts w:cs="Arial"/>
              </w:rPr>
              <w:t>paymen</w:t>
            </w:r>
            <w:r w:rsidRPr="00B02CFE">
              <w:rPr>
                <w:rFonts w:cs="Arial"/>
              </w:rPr>
              <w:t>ts on derivative instruments</w:t>
            </w:r>
          </w:p>
        </w:tc>
        <w:tc>
          <w:tcPr>
            <w:tcW w:w="1275" w:type="dxa"/>
            <w:gridSpan w:val="2"/>
          </w:tcPr>
          <w:p w14:paraId="428851DB" w14:textId="77777777" w:rsidR="00550741" w:rsidRPr="009C65B1" w:rsidRDefault="00550741" w:rsidP="00550741">
            <w:pPr>
              <w:jc w:val="right"/>
              <w:rPr>
                <w:rFonts w:cs="Arial"/>
              </w:rPr>
            </w:pPr>
            <w:r w:rsidRPr="009C65B1">
              <w:rPr>
                <w:rFonts w:cs="Arial"/>
              </w:rPr>
              <w:t>-</w:t>
            </w:r>
          </w:p>
        </w:tc>
        <w:tc>
          <w:tcPr>
            <w:tcW w:w="1276" w:type="dxa"/>
            <w:gridSpan w:val="2"/>
          </w:tcPr>
          <w:p w14:paraId="02B92597" w14:textId="77777777" w:rsidR="00550741" w:rsidRPr="00B02CFE" w:rsidRDefault="00550741" w:rsidP="00550741">
            <w:pPr>
              <w:jc w:val="right"/>
              <w:rPr>
                <w:rFonts w:cs="Arial"/>
              </w:rPr>
            </w:pPr>
            <w:r w:rsidRPr="00B02CFE">
              <w:rPr>
                <w:rFonts w:cs="Arial"/>
              </w:rPr>
              <w:t>-</w:t>
            </w:r>
          </w:p>
        </w:tc>
        <w:tc>
          <w:tcPr>
            <w:tcW w:w="1276" w:type="dxa"/>
            <w:gridSpan w:val="2"/>
          </w:tcPr>
          <w:p w14:paraId="13E3BBF8" w14:textId="77777777" w:rsidR="00550741" w:rsidRPr="00B02CFE" w:rsidRDefault="00B02CFE" w:rsidP="00550741">
            <w:pPr>
              <w:jc w:val="right"/>
              <w:rPr>
                <w:rFonts w:cs="Arial"/>
              </w:rPr>
            </w:pPr>
            <w:r w:rsidRPr="00B02CFE">
              <w:rPr>
                <w:rFonts w:cs="Arial"/>
              </w:rPr>
              <w:t>(434)</w:t>
            </w:r>
          </w:p>
        </w:tc>
        <w:tc>
          <w:tcPr>
            <w:tcW w:w="1276" w:type="dxa"/>
          </w:tcPr>
          <w:p w14:paraId="22AECFB9" w14:textId="77777777" w:rsidR="00550741" w:rsidRPr="00B02CFE" w:rsidRDefault="00A90DDF" w:rsidP="00550741">
            <w:pPr>
              <w:jc w:val="right"/>
              <w:rPr>
                <w:rFonts w:cs="Arial"/>
              </w:rPr>
            </w:pPr>
            <w:r w:rsidRPr="00B02CFE">
              <w:rPr>
                <w:rFonts w:cs="Arial"/>
              </w:rPr>
              <w:t>-</w:t>
            </w:r>
          </w:p>
        </w:tc>
        <w:tc>
          <w:tcPr>
            <w:tcW w:w="1134" w:type="dxa"/>
          </w:tcPr>
          <w:p w14:paraId="2763A049" w14:textId="77777777" w:rsidR="00550741" w:rsidRPr="00B071A8" w:rsidRDefault="00B02CFE" w:rsidP="00550741">
            <w:pPr>
              <w:jc w:val="right"/>
              <w:rPr>
                <w:rFonts w:cs="Arial"/>
              </w:rPr>
            </w:pPr>
            <w:r w:rsidRPr="00B071A8">
              <w:rPr>
                <w:rFonts w:cs="Arial"/>
              </w:rPr>
              <w:t>(434)</w:t>
            </w:r>
          </w:p>
        </w:tc>
      </w:tr>
      <w:bookmarkEnd w:id="45"/>
      <w:tr w:rsidR="00550741" w:rsidRPr="00C328EF" w14:paraId="3A2C07DE" w14:textId="77777777" w:rsidTr="00672228">
        <w:tc>
          <w:tcPr>
            <w:tcW w:w="3828" w:type="dxa"/>
            <w:gridSpan w:val="3"/>
          </w:tcPr>
          <w:p w14:paraId="50B56F67" w14:textId="77777777" w:rsidR="00550741" w:rsidRPr="00B02CFE" w:rsidRDefault="00550741" w:rsidP="00550741">
            <w:pPr>
              <w:rPr>
                <w:rFonts w:cs="Arial"/>
                <w:u w:val="single"/>
              </w:rPr>
            </w:pPr>
            <w:r w:rsidRPr="00B02CFE">
              <w:rPr>
                <w:rFonts w:cs="Arial"/>
                <w:u w:val="single"/>
              </w:rPr>
              <w:t>Non-cash flows</w:t>
            </w:r>
          </w:p>
        </w:tc>
        <w:tc>
          <w:tcPr>
            <w:tcW w:w="1275" w:type="dxa"/>
            <w:gridSpan w:val="2"/>
          </w:tcPr>
          <w:p w14:paraId="5B7F93A4" w14:textId="77777777" w:rsidR="00550741" w:rsidRPr="009C65B1" w:rsidRDefault="00550741" w:rsidP="00550741">
            <w:pPr>
              <w:jc w:val="right"/>
              <w:rPr>
                <w:rFonts w:cs="Arial"/>
              </w:rPr>
            </w:pPr>
          </w:p>
        </w:tc>
        <w:tc>
          <w:tcPr>
            <w:tcW w:w="1276" w:type="dxa"/>
            <w:gridSpan w:val="2"/>
          </w:tcPr>
          <w:p w14:paraId="484FD085" w14:textId="77777777" w:rsidR="00550741" w:rsidRPr="00B02CFE" w:rsidRDefault="00550741" w:rsidP="00550741">
            <w:pPr>
              <w:jc w:val="right"/>
              <w:rPr>
                <w:rFonts w:cs="Arial"/>
              </w:rPr>
            </w:pPr>
          </w:p>
        </w:tc>
        <w:tc>
          <w:tcPr>
            <w:tcW w:w="1276" w:type="dxa"/>
            <w:gridSpan w:val="2"/>
          </w:tcPr>
          <w:p w14:paraId="38FF6545" w14:textId="77777777" w:rsidR="00550741" w:rsidRPr="00B02CFE" w:rsidRDefault="00550741" w:rsidP="00550741">
            <w:pPr>
              <w:jc w:val="right"/>
              <w:rPr>
                <w:rFonts w:cs="Arial"/>
              </w:rPr>
            </w:pPr>
          </w:p>
        </w:tc>
        <w:tc>
          <w:tcPr>
            <w:tcW w:w="1276" w:type="dxa"/>
          </w:tcPr>
          <w:p w14:paraId="38DCD192" w14:textId="77777777" w:rsidR="00550741" w:rsidRPr="00C328EF" w:rsidRDefault="00550741" w:rsidP="00550741">
            <w:pPr>
              <w:jc w:val="right"/>
              <w:rPr>
                <w:rFonts w:cs="Arial"/>
                <w:highlight w:val="yellow"/>
              </w:rPr>
            </w:pPr>
          </w:p>
        </w:tc>
        <w:tc>
          <w:tcPr>
            <w:tcW w:w="1134" w:type="dxa"/>
          </w:tcPr>
          <w:p w14:paraId="0A60AF26" w14:textId="77777777" w:rsidR="00550741" w:rsidRPr="00B071A8" w:rsidRDefault="00550741" w:rsidP="00550741">
            <w:pPr>
              <w:jc w:val="right"/>
              <w:rPr>
                <w:rFonts w:cs="Arial"/>
              </w:rPr>
            </w:pPr>
          </w:p>
        </w:tc>
      </w:tr>
      <w:tr w:rsidR="00550741" w:rsidRPr="00C328EF" w14:paraId="59E64351" w14:textId="77777777" w:rsidTr="00672228">
        <w:tc>
          <w:tcPr>
            <w:tcW w:w="3828" w:type="dxa"/>
            <w:gridSpan w:val="3"/>
          </w:tcPr>
          <w:p w14:paraId="463698EE" w14:textId="77777777" w:rsidR="00550741" w:rsidRPr="00B02CFE" w:rsidRDefault="00550741" w:rsidP="00550741">
            <w:pPr>
              <w:rPr>
                <w:rFonts w:cs="Arial"/>
              </w:rPr>
            </w:pPr>
            <w:r w:rsidRPr="00B02CFE">
              <w:rPr>
                <w:rFonts w:cs="Arial"/>
              </w:rPr>
              <w:t>Leases</w:t>
            </w:r>
          </w:p>
        </w:tc>
        <w:tc>
          <w:tcPr>
            <w:tcW w:w="1275" w:type="dxa"/>
            <w:gridSpan w:val="2"/>
          </w:tcPr>
          <w:p w14:paraId="3795AEAA" w14:textId="77777777" w:rsidR="00550741" w:rsidRPr="009C65B1" w:rsidRDefault="009C65B1" w:rsidP="00550741">
            <w:pPr>
              <w:jc w:val="right"/>
              <w:rPr>
                <w:rFonts w:cs="Arial"/>
              </w:rPr>
            </w:pPr>
            <w:r w:rsidRPr="009C65B1">
              <w:rPr>
                <w:rFonts w:cs="Arial"/>
              </w:rPr>
              <w:t>564</w:t>
            </w:r>
          </w:p>
        </w:tc>
        <w:tc>
          <w:tcPr>
            <w:tcW w:w="1276" w:type="dxa"/>
            <w:gridSpan w:val="2"/>
          </w:tcPr>
          <w:p w14:paraId="045A7F30" w14:textId="77777777" w:rsidR="00550741" w:rsidRPr="00B02CFE" w:rsidRDefault="00550741" w:rsidP="00550741">
            <w:pPr>
              <w:jc w:val="right"/>
              <w:rPr>
                <w:rFonts w:cs="Arial"/>
              </w:rPr>
            </w:pPr>
            <w:r w:rsidRPr="00B02CFE">
              <w:rPr>
                <w:rFonts w:cs="Arial"/>
              </w:rPr>
              <w:t>-</w:t>
            </w:r>
          </w:p>
        </w:tc>
        <w:tc>
          <w:tcPr>
            <w:tcW w:w="1276" w:type="dxa"/>
            <w:gridSpan w:val="2"/>
          </w:tcPr>
          <w:p w14:paraId="1ECDF63C" w14:textId="77777777" w:rsidR="00550741" w:rsidRPr="00B02CFE" w:rsidRDefault="00550741" w:rsidP="00550741">
            <w:pPr>
              <w:jc w:val="right"/>
              <w:rPr>
                <w:rFonts w:cs="Arial"/>
              </w:rPr>
            </w:pPr>
            <w:r w:rsidRPr="00B02CFE">
              <w:rPr>
                <w:rFonts w:cs="Arial"/>
              </w:rPr>
              <w:t>-</w:t>
            </w:r>
          </w:p>
        </w:tc>
        <w:tc>
          <w:tcPr>
            <w:tcW w:w="1276" w:type="dxa"/>
          </w:tcPr>
          <w:p w14:paraId="5E6C0C33" w14:textId="77777777" w:rsidR="00550741" w:rsidRPr="00B02CFE" w:rsidRDefault="00550741" w:rsidP="00550741">
            <w:pPr>
              <w:jc w:val="right"/>
              <w:rPr>
                <w:rFonts w:cs="Arial"/>
              </w:rPr>
            </w:pPr>
            <w:r w:rsidRPr="00B02CFE">
              <w:rPr>
                <w:rFonts w:cs="Arial"/>
              </w:rPr>
              <w:t>-</w:t>
            </w:r>
          </w:p>
        </w:tc>
        <w:tc>
          <w:tcPr>
            <w:tcW w:w="1134" w:type="dxa"/>
          </w:tcPr>
          <w:p w14:paraId="721CE767" w14:textId="77777777" w:rsidR="00550741" w:rsidRPr="00B071A8" w:rsidRDefault="009C65B1" w:rsidP="00550741">
            <w:pPr>
              <w:jc w:val="right"/>
              <w:rPr>
                <w:rFonts w:cs="Arial"/>
              </w:rPr>
            </w:pPr>
            <w:r w:rsidRPr="00B071A8">
              <w:rPr>
                <w:rFonts w:cs="Arial"/>
              </w:rPr>
              <w:t>564</w:t>
            </w:r>
          </w:p>
        </w:tc>
      </w:tr>
      <w:tr w:rsidR="005839C8" w:rsidRPr="00C328EF" w14:paraId="73834919" w14:textId="77777777" w:rsidTr="00672228">
        <w:tc>
          <w:tcPr>
            <w:tcW w:w="3828" w:type="dxa"/>
            <w:gridSpan w:val="3"/>
          </w:tcPr>
          <w:p w14:paraId="71B15FA7" w14:textId="77777777" w:rsidR="005839C8" w:rsidRPr="00B02CFE" w:rsidRDefault="005839C8" w:rsidP="005839C8">
            <w:pPr>
              <w:rPr>
                <w:rFonts w:cs="Arial"/>
              </w:rPr>
            </w:pPr>
            <w:r w:rsidRPr="00B02CFE">
              <w:rPr>
                <w:rFonts w:cs="Arial"/>
              </w:rPr>
              <w:t xml:space="preserve">New leases in </w:t>
            </w:r>
            <w:r w:rsidR="00D67CB6">
              <w:rPr>
                <w:rFonts w:cs="Arial"/>
              </w:rPr>
              <w:t>the period</w:t>
            </w:r>
          </w:p>
        </w:tc>
        <w:tc>
          <w:tcPr>
            <w:tcW w:w="1275" w:type="dxa"/>
            <w:gridSpan w:val="2"/>
          </w:tcPr>
          <w:p w14:paraId="3CAF72B8" w14:textId="77777777" w:rsidR="005839C8" w:rsidRPr="00B02CFE" w:rsidRDefault="00B02CFE" w:rsidP="005839C8">
            <w:pPr>
              <w:jc w:val="right"/>
              <w:rPr>
                <w:rFonts w:cs="Arial"/>
              </w:rPr>
            </w:pPr>
            <w:r w:rsidRPr="00B02CFE">
              <w:rPr>
                <w:rFonts w:cs="Arial"/>
              </w:rPr>
              <w:t>863</w:t>
            </w:r>
          </w:p>
        </w:tc>
        <w:tc>
          <w:tcPr>
            <w:tcW w:w="1276" w:type="dxa"/>
            <w:gridSpan w:val="2"/>
          </w:tcPr>
          <w:p w14:paraId="31D0C9CC" w14:textId="77777777" w:rsidR="005839C8" w:rsidRPr="00B02CFE" w:rsidRDefault="005839C8" w:rsidP="005839C8">
            <w:pPr>
              <w:jc w:val="right"/>
              <w:rPr>
                <w:rFonts w:cs="Arial"/>
              </w:rPr>
            </w:pPr>
            <w:r w:rsidRPr="00B02CFE">
              <w:rPr>
                <w:rFonts w:cs="Arial"/>
              </w:rPr>
              <w:t>-</w:t>
            </w:r>
          </w:p>
        </w:tc>
        <w:tc>
          <w:tcPr>
            <w:tcW w:w="1276" w:type="dxa"/>
            <w:gridSpan w:val="2"/>
          </w:tcPr>
          <w:p w14:paraId="31DA5F7E" w14:textId="77777777" w:rsidR="005839C8" w:rsidRPr="00B02CFE" w:rsidRDefault="005839C8" w:rsidP="005839C8">
            <w:pPr>
              <w:jc w:val="right"/>
              <w:rPr>
                <w:rFonts w:cs="Arial"/>
              </w:rPr>
            </w:pPr>
            <w:r w:rsidRPr="00B02CFE">
              <w:rPr>
                <w:rFonts w:cs="Arial"/>
              </w:rPr>
              <w:t>-</w:t>
            </w:r>
          </w:p>
        </w:tc>
        <w:tc>
          <w:tcPr>
            <w:tcW w:w="1276" w:type="dxa"/>
          </w:tcPr>
          <w:p w14:paraId="218E2A16" w14:textId="77777777" w:rsidR="005839C8" w:rsidRPr="00B02CFE" w:rsidRDefault="005839C8" w:rsidP="005839C8">
            <w:pPr>
              <w:jc w:val="right"/>
              <w:rPr>
                <w:rFonts w:cs="Arial"/>
              </w:rPr>
            </w:pPr>
            <w:r w:rsidRPr="00B02CFE">
              <w:rPr>
                <w:rFonts w:cs="Arial"/>
              </w:rPr>
              <w:t>-</w:t>
            </w:r>
          </w:p>
        </w:tc>
        <w:tc>
          <w:tcPr>
            <w:tcW w:w="1134" w:type="dxa"/>
          </w:tcPr>
          <w:p w14:paraId="65F14224" w14:textId="77777777" w:rsidR="005839C8" w:rsidRPr="00B071A8" w:rsidRDefault="00B02CFE" w:rsidP="005839C8">
            <w:pPr>
              <w:jc w:val="right"/>
              <w:rPr>
                <w:rFonts w:cs="Arial"/>
              </w:rPr>
            </w:pPr>
            <w:r w:rsidRPr="00B071A8">
              <w:rPr>
                <w:rFonts w:cs="Arial"/>
              </w:rPr>
              <w:t>863</w:t>
            </w:r>
          </w:p>
        </w:tc>
      </w:tr>
      <w:tr w:rsidR="00B02CFE" w:rsidRPr="00C328EF" w14:paraId="0F3BC753" w14:textId="77777777" w:rsidTr="00672228">
        <w:tc>
          <w:tcPr>
            <w:tcW w:w="3828" w:type="dxa"/>
            <w:gridSpan w:val="3"/>
          </w:tcPr>
          <w:p w14:paraId="0E98451D" w14:textId="77777777" w:rsidR="00B02CFE" w:rsidRPr="00B02CFE" w:rsidRDefault="00B02CFE" w:rsidP="00B02CFE">
            <w:pPr>
              <w:rPr>
                <w:rFonts w:cs="Arial"/>
              </w:rPr>
            </w:pPr>
            <w:r>
              <w:rPr>
                <w:rFonts w:cs="Arial"/>
              </w:rPr>
              <w:t>Hire purchase on purchase of subsidiary</w:t>
            </w:r>
          </w:p>
        </w:tc>
        <w:tc>
          <w:tcPr>
            <w:tcW w:w="1275" w:type="dxa"/>
            <w:gridSpan w:val="2"/>
          </w:tcPr>
          <w:p w14:paraId="02A014EC" w14:textId="77777777" w:rsidR="00B02CFE" w:rsidRPr="00C328EF" w:rsidRDefault="00B02CFE" w:rsidP="00B02CFE">
            <w:pPr>
              <w:jc w:val="right"/>
              <w:rPr>
                <w:rFonts w:cs="Arial"/>
                <w:highlight w:val="yellow"/>
              </w:rPr>
            </w:pPr>
            <w:r>
              <w:rPr>
                <w:rFonts w:cs="Arial"/>
              </w:rPr>
              <w:t>61</w:t>
            </w:r>
          </w:p>
        </w:tc>
        <w:tc>
          <w:tcPr>
            <w:tcW w:w="1276" w:type="dxa"/>
            <w:gridSpan w:val="2"/>
          </w:tcPr>
          <w:p w14:paraId="524F5BBA" w14:textId="77777777" w:rsidR="00B02CFE" w:rsidRPr="00B02CFE" w:rsidRDefault="00B02CFE" w:rsidP="00B02CFE">
            <w:pPr>
              <w:jc w:val="right"/>
              <w:rPr>
                <w:rFonts w:cs="Arial"/>
              </w:rPr>
            </w:pPr>
            <w:r w:rsidRPr="00B02CFE">
              <w:rPr>
                <w:rFonts w:cs="Arial"/>
              </w:rPr>
              <w:t>-</w:t>
            </w:r>
          </w:p>
        </w:tc>
        <w:tc>
          <w:tcPr>
            <w:tcW w:w="1276" w:type="dxa"/>
            <w:gridSpan w:val="2"/>
          </w:tcPr>
          <w:p w14:paraId="497EDF0A" w14:textId="77777777" w:rsidR="00B02CFE" w:rsidRPr="00B02CFE" w:rsidRDefault="00B02CFE" w:rsidP="00B02CFE">
            <w:pPr>
              <w:jc w:val="right"/>
              <w:rPr>
                <w:rFonts w:cs="Arial"/>
              </w:rPr>
            </w:pPr>
            <w:r w:rsidRPr="00B02CFE">
              <w:rPr>
                <w:rFonts w:cs="Arial"/>
              </w:rPr>
              <w:t>-</w:t>
            </w:r>
          </w:p>
        </w:tc>
        <w:tc>
          <w:tcPr>
            <w:tcW w:w="1276" w:type="dxa"/>
          </w:tcPr>
          <w:p w14:paraId="233F65C4" w14:textId="77777777" w:rsidR="00B02CFE" w:rsidRPr="00B02CFE" w:rsidRDefault="00B02CFE" w:rsidP="00B02CFE">
            <w:pPr>
              <w:jc w:val="right"/>
              <w:rPr>
                <w:rFonts w:cs="Arial"/>
              </w:rPr>
            </w:pPr>
            <w:r w:rsidRPr="00B02CFE">
              <w:rPr>
                <w:rFonts w:cs="Arial"/>
              </w:rPr>
              <w:t>-</w:t>
            </w:r>
          </w:p>
        </w:tc>
        <w:tc>
          <w:tcPr>
            <w:tcW w:w="1134" w:type="dxa"/>
          </w:tcPr>
          <w:p w14:paraId="522FCF97" w14:textId="77777777" w:rsidR="00B02CFE" w:rsidRPr="00B071A8" w:rsidRDefault="00B02CFE" w:rsidP="00B02CFE">
            <w:pPr>
              <w:jc w:val="right"/>
              <w:rPr>
                <w:rFonts w:cs="Arial"/>
              </w:rPr>
            </w:pPr>
            <w:r w:rsidRPr="00B071A8">
              <w:rPr>
                <w:rFonts w:cs="Arial"/>
              </w:rPr>
              <w:t>61</w:t>
            </w:r>
          </w:p>
        </w:tc>
      </w:tr>
      <w:tr w:rsidR="00B02CFE" w:rsidRPr="00C328EF" w14:paraId="26605EB6" w14:textId="77777777" w:rsidTr="00672228">
        <w:tc>
          <w:tcPr>
            <w:tcW w:w="3828" w:type="dxa"/>
            <w:gridSpan w:val="3"/>
          </w:tcPr>
          <w:p w14:paraId="035A6B1C" w14:textId="77777777" w:rsidR="00B02CFE" w:rsidRPr="00B02CFE" w:rsidRDefault="00B02CFE" w:rsidP="00B02CFE">
            <w:pPr>
              <w:rPr>
                <w:rFonts w:cs="Arial"/>
              </w:rPr>
            </w:pPr>
            <w:r w:rsidRPr="00B02CFE">
              <w:rPr>
                <w:rFonts w:cs="Arial"/>
              </w:rPr>
              <w:t xml:space="preserve">Change in fair value during the </w:t>
            </w:r>
            <w:r w:rsidR="00D67CB6">
              <w:rPr>
                <w:rFonts w:cs="Arial"/>
              </w:rPr>
              <w:t>period</w:t>
            </w:r>
          </w:p>
        </w:tc>
        <w:tc>
          <w:tcPr>
            <w:tcW w:w="1275" w:type="dxa"/>
            <w:gridSpan w:val="2"/>
          </w:tcPr>
          <w:p w14:paraId="3ECBCE3D" w14:textId="77777777" w:rsidR="00B02CFE" w:rsidRPr="009C65B1" w:rsidRDefault="00B02CFE" w:rsidP="00B02CFE">
            <w:pPr>
              <w:jc w:val="right"/>
              <w:rPr>
                <w:rFonts w:cs="Arial"/>
              </w:rPr>
            </w:pPr>
            <w:r w:rsidRPr="009C65B1">
              <w:rPr>
                <w:rFonts w:cs="Arial"/>
              </w:rPr>
              <w:t>-</w:t>
            </w:r>
          </w:p>
        </w:tc>
        <w:tc>
          <w:tcPr>
            <w:tcW w:w="1276" w:type="dxa"/>
            <w:gridSpan w:val="2"/>
          </w:tcPr>
          <w:p w14:paraId="2BB3D56D" w14:textId="77777777" w:rsidR="00B02CFE" w:rsidRPr="009C65B1" w:rsidRDefault="00B02CFE" w:rsidP="00B02CFE">
            <w:pPr>
              <w:jc w:val="right"/>
              <w:rPr>
                <w:rFonts w:cs="Arial"/>
              </w:rPr>
            </w:pPr>
            <w:r w:rsidRPr="009C65B1">
              <w:rPr>
                <w:rFonts w:cs="Arial"/>
              </w:rPr>
              <w:t>-</w:t>
            </w:r>
          </w:p>
        </w:tc>
        <w:tc>
          <w:tcPr>
            <w:tcW w:w="1276" w:type="dxa"/>
            <w:gridSpan w:val="2"/>
          </w:tcPr>
          <w:p w14:paraId="2D0F7337" w14:textId="77777777" w:rsidR="00B02CFE" w:rsidRPr="00B02CFE" w:rsidRDefault="00B02CFE" w:rsidP="00B02CFE">
            <w:pPr>
              <w:jc w:val="right"/>
              <w:rPr>
                <w:rFonts w:cs="Arial"/>
              </w:rPr>
            </w:pPr>
            <w:r w:rsidRPr="00B02CFE">
              <w:rPr>
                <w:rFonts w:cs="Arial"/>
              </w:rPr>
              <w:t>(766)</w:t>
            </w:r>
          </w:p>
        </w:tc>
        <w:tc>
          <w:tcPr>
            <w:tcW w:w="1276" w:type="dxa"/>
          </w:tcPr>
          <w:p w14:paraId="44C3DCCC" w14:textId="77777777" w:rsidR="00B02CFE" w:rsidRPr="00B02CFE" w:rsidRDefault="00B02CFE" w:rsidP="00B02CFE">
            <w:pPr>
              <w:jc w:val="right"/>
              <w:rPr>
                <w:rFonts w:cs="Arial"/>
              </w:rPr>
            </w:pPr>
            <w:r w:rsidRPr="00B02CFE">
              <w:rPr>
                <w:rFonts w:cs="Arial"/>
              </w:rPr>
              <w:t>-</w:t>
            </w:r>
          </w:p>
        </w:tc>
        <w:tc>
          <w:tcPr>
            <w:tcW w:w="1134" w:type="dxa"/>
          </w:tcPr>
          <w:p w14:paraId="28FA5374" w14:textId="77777777" w:rsidR="00B02CFE" w:rsidRPr="00B071A8" w:rsidRDefault="009C65B1" w:rsidP="00B02CFE">
            <w:pPr>
              <w:jc w:val="right"/>
              <w:rPr>
                <w:rFonts w:cs="Arial"/>
              </w:rPr>
            </w:pPr>
            <w:r w:rsidRPr="00B071A8">
              <w:rPr>
                <w:rFonts w:cs="Arial"/>
              </w:rPr>
              <w:t>(</w:t>
            </w:r>
            <w:r w:rsidR="00B02CFE" w:rsidRPr="00B071A8">
              <w:rPr>
                <w:rFonts w:cs="Arial"/>
              </w:rPr>
              <w:t>7</w:t>
            </w:r>
            <w:r w:rsidRPr="00B071A8">
              <w:rPr>
                <w:rFonts w:cs="Arial"/>
              </w:rPr>
              <w:t>66)</w:t>
            </w:r>
          </w:p>
        </w:tc>
      </w:tr>
      <w:tr w:rsidR="00B02CFE" w:rsidRPr="00C328EF" w14:paraId="3A8E278D" w14:textId="77777777" w:rsidTr="00672228">
        <w:tc>
          <w:tcPr>
            <w:tcW w:w="3828" w:type="dxa"/>
            <w:gridSpan w:val="3"/>
          </w:tcPr>
          <w:p w14:paraId="5A1E303A" w14:textId="77777777" w:rsidR="00B02CFE" w:rsidRPr="00B02CFE" w:rsidRDefault="00B02CFE" w:rsidP="00B02CFE">
            <w:pPr>
              <w:rPr>
                <w:rFonts w:cs="Arial"/>
              </w:rPr>
            </w:pPr>
            <w:r w:rsidRPr="00B02CFE">
              <w:rPr>
                <w:rFonts w:cs="Arial"/>
              </w:rPr>
              <w:t xml:space="preserve">Split in aging profile </w:t>
            </w:r>
          </w:p>
        </w:tc>
        <w:tc>
          <w:tcPr>
            <w:tcW w:w="1275" w:type="dxa"/>
            <w:gridSpan w:val="2"/>
          </w:tcPr>
          <w:p w14:paraId="532CFF2E" w14:textId="77777777" w:rsidR="00B02CFE" w:rsidRPr="009C65B1" w:rsidRDefault="00B02CFE" w:rsidP="00B02CFE">
            <w:pPr>
              <w:jc w:val="right"/>
              <w:rPr>
                <w:rFonts w:cs="Arial"/>
                <w:spacing w:val="-2"/>
              </w:rPr>
            </w:pPr>
            <w:r w:rsidRPr="009C65B1">
              <w:rPr>
                <w:rFonts w:cs="Arial"/>
                <w:spacing w:val="-2"/>
              </w:rPr>
              <w:t>12,</w:t>
            </w:r>
            <w:r w:rsidR="009C65B1" w:rsidRPr="009C65B1">
              <w:rPr>
                <w:rFonts w:cs="Arial"/>
                <w:spacing w:val="-2"/>
              </w:rPr>
              <w:t>165</w:t>
            </w:r>
          </w:p>
        </w:tc>
        <w:tc>
          <w:tcPr>
            <w:tcW w:w="1276" w:type="dxa"/>
            <w:gridSpan w:val="2"/>
          </w:tcPr>
          <w:p w14:paraId="004666F3" w14:textId="77777777" w:rsidR="00B02CFE" w:rsidRPr="009C65B1" w:rsidRDefault="00B02CFE" w:rsidP="00B02CFE">
            <w:pPr>
              <w:jc w:val="right"/>
              <w:rPr>
                <w:rFonts w:cs="Arial"/>
                <w:spacing w:val="-2"/>
              </w:rPr>
            </w:pPr>
            <w:r w:rsidRPr="009C65B1">
              <w:rPr>
                <w:rFonts w:cs="Arial"/>
                <w:spacing w:val="-2"/>
              </w:rPr>
              <w:t>(12,</w:t>
            </w:r>
            <w:r w:rsidR="009C65B1" w:rsidRPr="009C65B1">
              <w:rPr>
                <w:rFonts w:cs="Arial"/>
                <w:spacing w:val="-2"/>
              </w:rPr>
              <w:t>165</w:t>
            </w:r>
            <w:r w:rsidRPr="009C65B1">
              <w:rPr>
                <w:rFonts w:cs="Arial"/>
                <w:spacing w:val="-2"/>
              </w:rPr>
              <w:t>)</w:t>
            </w:r>
          </w:p>
        </w:tc>
        <w:tc>
          <w:tcPr>
            <w:tcW w:w="1276" w:type="dxa"/>
            <w:gridSpan w:val="2"/>
          </w:tcPr>
          <w:p w14:paraId="27E82696" w14:textId="77777777" w:rsidR="00B02CFE" w:rsidRPr="00B02CFE" w:rsidRDefault="00B02CFE" w:rsidP="00B02CFE">
            <w:pPr>
              <w:jc w:val="right"/>
              <w:rPr>
                <w:rFonts w:cs="Arial"/>
                <w:spacing w:val="-2"/>
              </w:rPr>
            </w:pPr>
            <w:r w:rsidRPr="00B02CFE">
              <w:rPr>
                <w:rFonts w:cs="Arial"/>
                <w:spacing w:val="-2"/>
              </w:rPr>
              <w:t>-</w:t>
            </w:r>
          </w:p>
        </w:tc>
        <w:tc>
          <w:tcPr>
            <w:tcW w:w="1276" w:type="dxa"/>
          </w:tcPr>
          <w:p w14:paraId="101D05B7" w14:textId="77777777" w:rsidR="00B02CFE" w:rsidRPr="00B02CFE" w:rsidRDefault="00B02CFE" w:rsidP="00B02CFE">
            <w:pPr>
              <w:jc w:val="right"/>
              <w:rPr>
                <w:rFonts w:cs="Arial"/>
                <w:spacing w:val="-2"/>
              </w:rPr>
            </w:pPr>
            <w:r w:rsidRPr="00B02CFE">
              <w:rPr>
                <w:rFonts w:cs="Arial"/>
                <w:spacing w:val="-2"/>
              </w:rPr>
              <w:t>-</w:t>
            </w:r>
          </w:p>
        </w:tc>
        <w:tc>
          <w:tcPr>
            <w:tcW w:w="1134" w:type="dxa"/>
          </w:tcPr>
          <w:p w14:paraId="4470E857" w14:textId="77777777" w:rsidR="00B02CFE" w:rsidRPr="00B071A8" w:rsidRDefault="00B02CFE" w:rsidP="00B02CFE">
            <w:pPr>
              <w:jc w:val="right"/>
              <w:rPr>
                <w:rFonts w:cs="Arial"/>
                <w:spacing w:val="-2"/>
              </w:rPr>
            </w:pPr>
            <w:r w:rsidRPr="00B071A8">
              <w:rPr>
                <w:rFonts w:cs="Arial"/>
                <w:spacing w:val="-2"/>
              </w:rPr>
              <w:t>-</w:t>
            </w:r>
          </w:p>
        </w:tc>
      </w:tr>
      <w:tr w:rsidR="00B02CFE" w:rsidRPr="00C328EF" w14:paraId="7A1C2E4E" w14:textId="77777777" w:rsidTr="00672228">
        <w:tc>
          <w:tcPr>
            <w:tcW w:w="3828" w:type="dxa"/>
            <w:gridSpan w:val="3"/>
          </w:tcPr>
          <w:p w14:paraId="7A900CCF" w14:textId="77777777" w:rsidR="00B02CFE" w:rsidRPr="00B02CFE" w:rsidRDefault="00B02CFE" w:rsidP="00B02CFE">
            <w:pPr>
              <w:rPr>
                <w:rFonts w:cs="Arial"/>
              </w:rPr>
            </w:pPr>
          </w:p>
        </w:tc>
        <w:tc>
          <w:tcPr>
            <w:tcW w:w="1275" w:type="dxa"/>
            <w:gridSpan w:val="2"/>
          </w:tcPr>
          <w:p w14:paraId="03485112" w14:textId="77777777" w:rsidR="00B02CFE" w:rsidRPr="009C65B1" w:rsidRDefault="00B02CFE" w:rsidP="00B02CFE">
            <w:pPr>
              <w:jc w:val="right"/>
              <w:rPr>
                <w:rFonts w:cs="Arial"/>
                <w:spacing w:val="-2"/>
              </w:rPr>
            </w:pPr>
            <w:r w:rsidRPr="009C65B1">
              <w:rPr>
                <w:rFonts w:cs="Arial"/>
                <w:spacing w:val="-2"/>
              </w:rPr>
              <w:t>───────</w:t>
            </w:r>
          </w:p>
        </w:tc>
        <w:tc>
          <w:tcPr>
            <w:tcW w:w="1276" w:type="dxa"/>
            <w:gridSpan w:val="2"/>
          </w:tcPr>
          <w:p w14:paraId="085ADA5D" w14:textId="77777777" w:rsidR="00B02CFE" w:rsidRPr="009C65B1" w:rsidRDefault="00B02CFE" w:rsidP="00B02CFE">
            <w:pPr>
              <w:jc w:val="right"/>
              <w:rPr>
                <w:rFonts w:cs="Arial"/>
              </w:rPr>
            </w:pPr>
            <w:r w:rsidRPr="009C65B1">
              <w:rPr>
                <w:rFonts w:cs="Arial"/>
                <w:spacing w:val="-2"/>
              </w:rPr>
              <w:t>───────</w:t>
            </w:r>
          </w:p>
        </w:tc>
        <w:tc>
          <w:tcPr>
            <w:tcW w:w="1276" w:type="dxa"/>
            <w:gridSpan w:val="2"/>
          </w:tcPr>
          <w:p w14:paraId="2077C575" w14:textId="77777777" w:rsidR="00B02CFE" w:rsidRPr="00B02CFE" w:rsidRDefault="00B02CFE" w:rsidP="00B02CFE">
            <w:pPr>
              <w:jc w:val="right"/>
              <w:rPr>
                <w:rFonts w:cs="Arial"/>
              </w:rPr>
            </w:pPr>
            <w:r w:rsidRPr="00B02CFE">
              <w:rPr>
                <w:rFonts w:cs="Arial"/>
                <w:spacing w:val="-2"/>
              </w:rPr>
              <w:t>───────</w:t>
            </w:r>
          </w:p>
        </w:tc>
        <w:tc>
          <w:tcPr>
            <w:tcW w:w="1276" w:type="dxa"/>
          </w:tcPr>
          <w:p w14:paraId="2DDECF4B" w14:textId="77777777" w:rsidR="00B02CFE" w:rsidRPr="00B02CFE" w:rsidRDefault="00B02CFE" w:rsidP="00B02CFE">
            <w:pPr>
              <w:jc w:val="right"/>
              <w:rPr>
                <w:rFonts w:cs="Arial"/>
              </w:rPr>
            </w:pPr>
            <w:r w:rsidRPr="00B02CFE">
              <w:rPr>
                <w:rFonts w:cs="Arial"/>
                <w:spacing w:val="-2"/>
              </w:rPr>
              <w:t>───────</w:t>
            </w:r>
          </w:p>
        </w:tc>
        <w:tc>
          <w:tcPr>
            <w:tcW w:w="1134" w:type="dxa"/>
          </w:tcPr>
          <w:p w14:paraId="57C34ADF" w14:textId="77777777" w:rsidR="00B02CFE" w:rsidRPr="00B071A8" w:rsidRDefault="00B02CFE" w:rsidP="00B02CFE">
            <w:pPr>
              <w:jc w:val="right"/>
              <w:rPr>
                <w:rFonts w:cs="Arial"/>
              </w:rPr>
            </w:pPr>
            <w:r w:rsidRPr="00B071A8">
              <w:rPr>
                <w:rFonts w:cs="Arial"/>
                <w:spacing w:val="-2"/>
              </w:rPr>
              <w:t>──────</w:t>
            </w:r>
          </w:p>
        </w:tc>
      </w:tr>
      <w:tr w:rsidR="00B02CFE" w:rsidRPr="00C328EF" w14:paraId="0F5EB94B" w14:textId="77777777" w:rsidTr="00672228">
        <w:tc>
          <w:tcPr>
            <w:tcW w:w="3828" w:type="dxa"/>
            <w:gridSpan w:val="3"/>
          </w:tcPr>
          <w:p w14:paraId="26294E0A" w14:textId="77777777" w:rsidR="00B02CFE" w:rsidRPr="00B02CFE" w:rsidRDefault="00B02CFE" w:rsidP="00B02CFE">
            <w:pPr>
              <w:rPr>
                <w:rFonts w:cs="Arial"/>
              </w:rPr>
            </w:pPr>
            <w:r w:rsidRPr="00B02CFE">
              <w:rPr>
                <w:rFonts w:cs="Arial"/>
              </w:rPr>
              <w:t xml:space="preserve">At </w:t>
            </w:r>
            <w:r w:rsidR="00D67CB6">
              <w:rPr>
                <w:rFonts w:cs="Arial"/>
              </w:rPr>
              <w:t>28</w:t>
            </w:r>
            <w:r w:rsidRPr="00B02CFE">
              <w:rPr>
                <w:rFonts w:cs="Arial"/>
              </w:rPr>
              <w:t xml:space="preserve"> December 2024</w:t>
            </w:r>
          </w:p>
        </w:tc>
        <w:tc>
          <w:tcPr>
            <w:tcW w:w="1275" w:type="dxa"/>
            <w:gridSpan w:val="2"/>
          </w:tcPr>
          <w:p w14:paraId="19A39819" w14:textId="77777777" w:rsidR="00B02CFE" w:rsidRPr="009C65B1" w:rsidRDefault="00B02CFE" w:rsidP="00B02CFE">
            <w:pPr>
              <w:jc w:val="right"/>
              <w:rPr>
                <w:rFonts w:cs="Arial"/>
              </w:rPr>
            </w:pPr>
            <w:r w:rsidRPr="009C65B1">
              <w:rPr>
                <w:rFonts w:cs="Arial"/>
              </w:rPr>
              <w:t>12,</w:t>
            </w:r>
            <w:r w:rsidR="009C65B1" w:rsidRPr="009C65B1">
              <w:rPr>
                <w:rFonts w:cs="Arial"/>
              </w:rPr>
              <w:t>955</w:t>
            </w:r>
          </w:p>
        </w:tc>
        <w:tc>
          <w:tcPr>
            <w:tcW w:w="1276" w:type="dxa"/>
            <w:gridSpan w:val="2"/>
          </w:tcPr>
          <w:p w14:paraId="340EAEFB" w14:textId="77777777" w:rsidR="00B02CFE" w:rsidRPr="009C65B1" w:rsidRDefault="009C65B1" w:rsidP="00B02CFE">
            <w:pPr>
              <w:jc w:val="right"/>
              <w:rPr>
                <w:rFonts w:cs="Arial"/>
              </w:rPr>
            </w:pPr>
            <w:r w:rsidRPr="009C65B1">
              <w:rPr>
                <w:rFonts w:cs="Arial"/>
              </w:rPr>
              <w:t>37</w:t>
            </w:r>
            <w:r w:rsidR="00B02CFE" w:rsidRPr="009C65B1">
              <w:rPr>
                <w:rFonts w:cs="Arial"/>
              </w:rPr>
              <w:t>,</w:t>
            </w:r>
            <w:r w:rsidRPr="009C65B1">
              <w:rPr>
                <w:rFonts w:cs="Arial"/>
              </w:rPr>
              <w:t>851</w:t>
            </w:r>
          </w:p>
        </w:tc>
        <w:tc>
          <w:tcPr>
            <w:tcW w:w="1276" w:type="dxa"/>
            <w:gridSpan w:val="2"/>
          </w:tcPr>
          <w:p w14:paraId="325B99FE" w14:textId="77777777" w:rsidR="00B02CFE" w:rsidRPr="00B02CFE" w:rsidRDefault="00B02CFE" w:rsidP="00B02CFE">
            <w:pPr>
              <w:jc w:val="right"/>
              <w:rPr>
                <w:rFonts w:cs="Arial"/>
              </w:rPr>
            </w:pPr>
            <w:r w:rsidRPr="00B02CFE">
              <w:rPr>
                <w:rFonts w:cs="Arial"/>
              </w:rPr>
              <w:t>505</w:t>
            </w:r>
          </w:p>
        </w:tc>
        <w:tc>
          <w:tcPr>
            <w:tcW w:w="1276" w:type="dxa"/>
          </w:tcPr>
          <w:p w14:paraId="7F2F71B2" w14:textId="77777777" w:rsidR="00B02CFE" w:rsidRPr="00B02CFE" w:rsidRDefault="00B02CFE" w:rsidP="00B02CFE">
            <w:pPr>
              <w:jc w:val="right"/>
              <w:rPr>
                <w:rFonts w:cs="Arial"/>
              </w:rPr>
            </w:pPr>
            <w:r w:rsidRPr="00B02CFE">
              <w:rPr>
                <w:rFonts w:cs="Arial"/>
              </w:rPr>
              <w:t>-</w:t>
            </w:r>
          </w:p>
        </w:tc>
        <w:tc>
          <w:tcPr>
            <w:tcW w:w="1134" w:type="dxa"/>
          </w:tcPr>
          <w:p w14:paraId="5A29C45B" w14:textId="77777777" w:rsidR="00B02CFE" w:rsidRPr="00B071A8" w:rsidRDefault="009C65B1" w:rsidP="00B02CFE">
            <w:pPr>
              <w:jc w:val="right"/>
              <w:rPr>
                <w:rFonts w:cs="Arial"/>
              </w:rPr>
            </w:pPr>
            <w:r w:rsidRPr="00B071A8">
              <w:rPr>
                <w:rFonts w:cs="Arial"/>
              </w:rPr>
              <w:t>51</w:t>
            </w:r>
            <w:r w:rsidR="00B02CFE" w:rsidRPr="00B071A8">
              <w:rPr>
                <w:rFonts w:cs="Arial"/>
              </w:rPr>
              <w:t>,</w:t>
            </w:r>
            <w:r w:rsidRPr="00B071A8">
              <w:rPr>
                <w:rFonts w:cs="Arial"/>
              </w:rPr>
              <w:t>311</w:t>
            </w:r>
          </w:p>
        </w:tc>
      </w:tr>
      <w:tr w:rsidR="00B02CFE" w:rsidRPr="00C328EF" w14:paraId="752751BC" w14:textId="77777777" w:rsidTr="00672228">
        <w:tc>
          <w:tcPr>
            <w:tcW w:w="3828" w:type="dxa"/>
            <w:gridSpan w:val="3"/>
          </w:tcPr>
          <w:p w14:paraId="3FF72ABE" w14:textId="77777777" w:rsidR="00B02CFE" w:rsidRPr="00C328EF" w:rsidRDefault="00B02CFE" w:rsidP="00B02CFE">
            <w:pPr>
              <w:rPr>
                <w:rFonts w:cs="Arial"/>
                <w:highlight w:val="yellow"/>
              </w:rPr>
            </w:pPr>
          </w:p>
        </w:tc>
        <w:tc>
          <w:tcPr>
            <w:tcW w:w="1275" w:type="dxa"/>
            <w:gridSpan w:val="2"/>
          </w:tcPr>
          <w:p w14:paraId="082F9338" w14:textId="77777777" w:rsidR="00B02CFE" w:rsidRPr="009C65B1" w:rsidRDefault="00B02CFE" w:rsidP="00B02CFE">
            <w:pPr>
              <w:jc w:val="right"/>
              <w:rPr>
                <w:rFonts w:cs="Arial"/>
              </w:rPr>
            </w:pPr>
            <w:r w:rsidRPr="009C65B1">
              <w:rPr>
                <w:rFonts w:cs="Arial"/>
                <w:spacing w:val="-2"/>
              </w:rPr>
              <w:t>───────</w:t>
            </w:r>
          </w:p>
        </w:tc>
        <w:tc>
          <w:tcPr>
            <w:tcW w:w="1276" w:type="dxa"/>
            <w:gridSpan w:val="2"/>
          </w:tcPr>
          <w:p w14:paraId="242F76CE" w14:textId="77777777" w:rsidR="00B02CFE" w:rsidRPr="009C65B1" w:rsidRDefault="00B02CFE" w:rsidP="00B02CFE">
            <w:pPr>
              <w:jc w:val="right"/>
              <w:rPr>
                <w:rFonts w:cs="Arial"/>
              </w:rPr>
            </w:pPr>
            <w:r w:rsidRPr="009C65B1">
              <w:rPr>
                <w:rFonts w:cs="Arial"/>
                <w:spacing w:val="-2"/>
              </w:rPr>
              <w:t>───────</w:t>
            </w:r>
          </w:p>
        </w:tc>
        <w:tc>
          <w:tcPr>
            <w:tcW w:w="1276" w:type="dxa"/>
            <w:gridSpan w:val="2"/>
          </w:tcPr>
          <w:p w14:paraId="4BED7DCC" w14:textId="77777777" w:rsidR="00B02CFE" w:rsidRPr="00B02CFE" w:rsidRDefault="00B02CFE" w:rsidP="00B02CFE">
            <w:pPr>
              <w:jc w:val="right"/>
              <w:rPr>
                <w:rFonts w:cs="Arial"/>
              </w:rPr>
            </w:pPr>
            <w:r w:rsidRPr="00B02CFE">
              <w:rPr>
                <w:rFonts w:cs="Arial"/>
                <w:spacing w:val="-2"/>
              </w:rPr>
              <w:t>───────</w:t>
            </w:r>
          </w:p>
        </w:tc>
        <w:tc>
          <w:tcPr>
            <w:tcW w:w="1276" w:type="dxa"/>
          </w:tcPr>
          <w:p w14:paraId="70FFE774" w14:textId="77777777" w:rsidR="00B02CFE" w:rsidRPr="00B02CFE" w:rsidRDefault="00B02CFE" w:rsidP="00B02CFE">
            <w:pPr>
              <w:jc w:val="right"/>
              <w:rPr>
                <w:rFonts w:cs="Arial"/>
              </w:rPr>
            </w:pPr>
            <w:r w:rsidRPr="00B02CFE">
              <w:rPr>
                <w:rFonts w:cs="Arial"/>
                <w:spacing w:val="-2"/>
              </w:rPr>
              <w:t>───────</w:t>
            </w:r>
          </w:p>
        </w:tc>
        <w:tc>
          <w:tcPr>
            <w:tcW w:w="1134" w:type="dxa"/>
          </w:tcPr>
          <w:p w14:paraId="245F4002" w14:textId="77777777" w:rsidR="00B02CFE" w:rsidRPr="00B071A8" w:rsidRDefault="00B02CFE" w:rsidP="00B02CFE">
            <w:pPr>
              <w:jc w:val="right"/>
              <w:rPr>
                <w:rFonts w:cs="Arial"/>
              </w:rPr>
            </w:pPr>
            <w:r w:rsidRPr="00B071A8">
              <w:rPr>
                <w:rFonts w:cs="Arial"/>
                <w:spacing w:val="-2"/>
              </w:rPr>
              <w:t>──────</w:t>
            </w:r>
          </w:p>
        </w:tc>
      </w:tr>
    </w:tbl>
    <w:p w14:paraId="00777E4E" w14:textId="77777777" w:rsidR="00572CF5" w:rsidRPr="00631312" w:rsidRDefault="00672228" w:rsidP="00572CF5">
      <w:pPr>
        <w:ind w:right="406"/>
        <w:jc w:val="center"/>
        <w:rPr>
          <w:rFonts w:cs="Arial"/>
          <w:b/>
        </w:rPr>
      </w:pPr>
      <w:r w:rsidRPr="00C328EF">
        <w:rPr>
          <w:rFonts w:cs="Arial"/>
          <w:b/>
          <w:highlight w:val="yellow"/>
        </w:rPr>
        <w:br w:type="page"/>
      </w:r>
      <w:r w:rsidR="00572CF5" w:rsidRPr="00631312">
        <w:rPr>
          <w:rFonts w:cs="Arial"/>
          <w:b/>
        </w:rPr>
        <w:lastRenderedPageBreak/>
        <w:t>TRANSPORT FOR EDINBURGH LIMITED</w:t>
      </w:r>
    </w:p>
    <w:p w14:paraId="0335241F" w14:textId="77777777" w:rsidR="00572CF5" w:rsidRPr="00631312" w:rsidRDefault="00572CF5" w:rsidP="00572CF5">
      <w:pPr>
        <w:ind w:right="406"/>
        <w:jc w:val="center"/>
        <w:rPr>
          <w:rFonts w:cs="Arial"/>
          <w:b/>
        </w:rPr>
      </w:pPr>
    </w:p>
    <w:p w14:paraId="28B76C11" w14:textId="77777777" w:rsidR="00572CF5" w:rsidRPr="00631312" w:rsidRDefault="00572CF5" w:rsidP="00572CF5">
      <w:pPr>
        <w:ind w:right="406"/>
        <w:jc w:val="center"/>
        <w:rPr>
          <w:rFonts w:cs="Arial"/>
          <w:b/>
        </w:rPr>
      </w:pPr>
      <w:r w:rsidRPr="00631312">
        <w:rPr>
          <w:rFonts w:cs="Arial"/>
          <w:b/>
        </w:rPr>
        <w:t>Notes to the Financial Statements (continued)</w:t>
      </w:r>
    </w:p>
    <w:p w14:paraId="1FB98CFF" w14:textId="77777777" w:rsidR="00572CF5" w:rsidRPr="00631312" w:rsidRDefault="00572CF5" w:rsidP="00572CF5">
      <w:pPr>
        <w:ind w:right="406"/>
        <w:jc w:val="center"/>
        <w:rPr>
          <w:rFonts w:cs="Arial"/>
          <w:b/>
        </w:rPr>
      </w:pPr>
    </w:p>
    <w:p w14:paraId="2C62E266" w14:textId="77777777" w:rsidR="00012057" w:rsidRPr="00631312" w:rsidRDefault="00D90B89" w:rsidP="00572CF5">
      <w:pPr>
        <w:ind w:right="406"/>
        <w:jc w:val="center"/>
        <w:rPr>
          <w:rFonts w:cs="Arial"/>
          <w:b/>
        </w:rPr>
      </w:pPr>
      <w:r w:rsidRPr="00820267">
        <w:rPr>
          <w:b/>
        </w:rPr>
        <w:t xml:space="preserve">For the </w:t>
      </w:r>
      <w:r>
        <w:rPr>
          <w:b/>
        </w:rPr>
        <w:t>period</w:t>
      </w:r>
      <w:r w:rsidRPr="00820267">
        <w:rPr>
          <w:b/>
        </w:rPr>
        <w:t xml:space="preserve"> ended </w:t>
      </w:r>
      <w:r>
        <w:rPr>
          <w:b/>
        </w:rPr>
        <w:t>28</w:t>
      </w:r>
      <w:r w:rsidRPr="00820267">
        <w:rPr>
          <w:b/>
        </w:rPr>
        <w:t xml:space="preserve"> December 2024</w:t>
      </w:r>
    </w:p>
    <w:p w14:paraId="68943762" w14:textId="77777777" w:rsidR="00D26315" w:rsidRPr="00AE607B" w:rsidRDefault="00D26315" w:rsidP="00620403">
      <w:pPr>
        <w:ind w:right="267"/>
        <w:jc w:val="both"/>
        <w:rPr>
          <w:rFonts w:cs="Arial"/>
        </w:rPr>
      </w:pPr>
    </w:p>
    <w:p w14:paraId="191DA85F" w14:textId="77777777" w:rsidR="00D26315" w:rsidRDefault="00F72DA3" w:rsidP="00D26315">
      <w:pPr>
        <w:ind w:right="267"/>
        <w:jc w:val="both"/>
        <w:rPr>
          <w:rFonts w:cs="Arial"/>
          <w:b/>
          <w:bCs/>
        </w:rPr>
      </w:pPr>
      <w:r>
        <w:rPr>
          <w:rFonts w:cs="Arial"/>
          <w:b/>
        </w:rPr>
        <w:t>29</w:t>
      </w:r>
      <w:r w:rsidR="00D26315" w:rsidRPr="00AE607B">
        <w:rPr>
          <w:rFonts w:cs="Arial"/>
        </w:rPr>
        <w:t>.</w:t>
      </w:r>
      <w:r w:rsidR="00D26315" w:rsidRPr="00AE607B">
        <w:rPr>
          <w:rFonts w:cs="Arial"/>
        </w:rPr>
        <w:tab/>
      </w:r>
      <w:r w:rsidR="00AD44B4" w:rsidRPr="00AE607B">
        <w:rPr>
          <w:rFonts w:cs="Arial"/>
          <w:b/>
          <w:bCs/>
        </w:rPr>
        <w:t>Dividends</w:t>
      </w:r>
      <w:r w:rsidR="004B5877" w:rsidRPr="00AE607B">
        <w:rPr>
          <w:rFonts w:cs="Arial"/>
          <w:b/>
          <w:bCs/>
        </w:rPr>
        <w:t xml:space="preserve"> </w:t>
      </w:r>
    </w:p>
    <w:tbl>
      <w:tblPr>
        <w:tblW w:w="10173" w:type="dxa"/>
        <w:tblLayout w:type="fixed"/>
        <w:tblLook w:val="0000" w:firstRow="0" w:lastRow="0" w:firstColumn="0" w:lastColumn="0" w:noHBand="0" w:noVBand="0"/>
      </w:tblPr>
      <w:tblGrid>
        <w:gridCol w:w="7621"/>
        <w:gridCol w:w="1276"/>
        <w:gridCol w:w="1276"/>
      </w:tblGrid>
      <w:tr w:rsidR="004546B3" w:rsidRPr="00631312" w14:paraId="0C4073A4" w14:textId="77777777" w:rsidTr="00037D69">
        <w:tc>
          <w:tcPr>
            <w:tcW w:w="7621" w:type="dxa"/>
          </w:tcPr>
          <w:p w14:paraId="21D106C0" w14:textId="77777777" w:rsidR="004546B3" w:rsidRPr="00AE607B" w:rsidRDefault="004546B3">
            <w:pPr>
              <w:autoSpaceDE w:val="0"/>
              <w:autoSpaceDN w:val="0"/>
              <w:adjustRightInd w:val="0"/>
              <w:rPr>
                <w:rFonts w:cs="Arial"/>
                <w:b/>
                <w:lang w:eastAsia="en-GB"/>
              </w:rPr>
            </w:pPr>
          </w:p>
        </w:tc>
        <w:tc>
          <w:tcPr>
            <w:tcW w:w="1276" w:type="dxa"/>
          </w:tcPr>
          <w:p w14:paraId="6AFCBD1A" w14:textId="77777777" w:rsidR="004546B3" w:rsidRPr="00AE607B" w:rsidRDefault="007D4685">
            <w:pPr>
              <w:autoSpaceDE w:val="0"/>
              <w:autoSpaceDN w:val="0"/>
              <w:adjustRightInd w:val="0"/>
              <w:jc w:val="center"/>
              <w:rPr>
                <w:rFonts w:cs="Arial"/>
                <w:b/>
                <w:lang w:eastAsia="en-GB"/>
              </w:rPr>
            </w:pPr>
            <w:r>
              <w:rPr>
                <w:rFonts w:cs="Arial"/>
                <w:b/>
                <w:lang w:eastAsia="en-GB"/>
              </w:rPr>
              <w:t>28/12/</w:t>
            </w:r>
            <w:r w:rsidR="004546B3" w:rsidRPr="00AE607B">
              <w:rPr>
                <w:rFonts w:cs="Arial"/>
                <w:b/>
                <w:lang w:eastAsia="en-GB"/>
              </w:rPr>
              <w:t>2024</w:t>
            </w:r>
          </w:p>
        </w:tc>
        <w:tc>
          <w:tcPr>
            <w:tcW w:w="1276" w:type="dxa"/>
          </w:tcPr>
          <w:p w14:paraId="7CEF87FA" w14:textId="77777777" w:rsidR="004546B3" w:rsidRPr="00631312" w:rsidRDefault="007D4685">
            <w:pPr>
              <w:autoSpaceDE w:val="0"/>
              <w:autoSpaceDN w:val="0"/>
              <w:adjustRightInd w:val="0"/>
              <w:jc w:val="center"/>
              <w:rPr>
                <w:rFonts w:cs="Arial"/>
                <w:b/>
                <w:lang w:eastAsia="en-GB"/>
              </w:rPr>
            </w:pPr>
            <w:r>
              <w:rPr>
                <w:rFonts w:cs="Arial"/>
                <w:b/>
                <w:lang w:eastAsia="en-GB"/>
              </w:rPr>
              <w:t>30/12/</w:t>
            </w:r>
            <w:r w:rsidR="004546B3" w:rsidRPr="00AE607B">
              <w:rPr>
                <w:rFonts w:cs="Arial"/>
                <w:b/>
                <w:lang w:eastAsia="en-GB"/>
              </w:rPr>
              <w:t>2023</w:t>
            </w:r>
          </w:p>
        </w:tc>
      </w:tr>
      <w:tr w:rsidR="004546B3" w:rsidRPr="00631312" w14:paraId="73B9A8F3" w14:textId="77777777" w:rsidTr="00037D69">
        <w:tc>
          <w:tcPr>
            <w:tcW w:w="7621" w:type="dxa"/>
          </w:tcPr>
          <w:p w14:paraId="1FA10AC2" w14:textId="77777777" w:rsidR="004546B3" w:rsidRPr="00631312" w:rsidRDefault="004546B3">
            <w:pPr>
              <w:autoSpaceDE w:val="0"/>
              <w:autoSpaceDN w:val="0"/>
              <w:adjustRightInd w:val="0"/>
              <w:rPr>
                <w:rFonts w:cs="Arial"/>
                <w:lang w:eastAsia="en-GB"/>
              </w:rPr>
            </w:pPr>
          </w:p>
        </w:tc>
        <w:tc>
          <w:tcPr>
            <w:tcW w:w="1276" w:type="dxa"/>
          </w:tcPr>
          <w:p w14:paraId="00268674" w14:textId="77777777" w:rsidR="004546B3" w:rsidRPr="00631312" w:rsidRDefault="004546B3">
            <w:pPr>
              <w:autoSpaceDE w:val="0"/>
              <w:autoSpaceDN w:val="0"/>
              <w:adjustRightInd w:val="0"/>
              <w:jc w:val="center"/>
              <w:rPr>
                <w:rFonts w:cs="Arial"/>
                <w:b/>
                <w:lang w:eastAsia="en-GB"/>
              </w:rPr>
            </w:pPr>
            <w:r w:rsidRPr="00631312">
              <w:rPr>
                <w:rFonts w:cs="Arial"/>
                <w:b/>
                <w:lang w:eastAsia="en-GB"/>
              </w:rPr>
              <w:t>£’000</w:t>
            </w:r>
          </w:p>
        </w:tc>
        <w:tc>
          <w:tcPr>
            <w:tcW w:w="1276" w:type="dxa"/>
          </w:tcPr>
          <w:p w14:paraId="6100B8AD" w14:textId="77777777" w:rsidR="004546B3" w:rsidRPr="00631312" w:rsidRDefault="004546B3">
            <w:pPr>
              <w:autoSpaceDE w:val="0"/>
              <w:autoSpaceDN w:val="0"/>
              <w:adjustRightInd w:val="0"/>
              <w:jc w:val="center"/>
              <w:rPr>
                <w:rFonts w:cs="Arial"/>
                <w:b/>
                <w:lang w:eastAsia="en-GB"/>
              </w:rPr>
            </w:pPr>
            <w:r w:rsidRPr="00631312">
              <w:rPr>
                <w:rFonts w:cs="Arial"/>
                <w:b/>
                <w:lang w:eastAsia="en-GB"/>
              </w:rPr>
              <w:t>£’000</w:t>
            </w:r>
          </w:p>
        </w:tc>
      </w:tr>
      <w:tr w:rsidR="004546B3" w:rsidRPr="00631312" w14:paraId="6B4D7EC2" w14:textId="77777777" w:rsidTr="00037D69">
        <w:tc>
          <w:tcPr>
            <w:tcW w:w="7621" w:type="dxa"/>
          </w:tcPr>
          <w:p w14:paraId="34937447" w14:textId="77777777" w:rsidR="004546B3" w:rsidRPr="00631312" w:rsidRDefault="004546B3">
            <w:pPr>
              <w:autoSpaceDE w:val="0"/>
              <w:autoSpaceDN w:val="0"/>
              <w:adjustRightInd w:val="0"/>
              <w:rPr>
                <w:rFonts w:cs="Arial"/>
                <w:lang w:eastAsia="en-GB"/>
              </w:rPr>
            </w:pPr>
            <w:r w:rsidRPr="00631312">
              <w:rPr>
                <w:i/>
              </w:rPr>
              <w:t>Ordinary share capital</w:t>
            </w:r>
          </w:p>
        </w:tc>
        <w:tc>
          <w:tcPr>
            <w:tcW w:w="1276" w:type="dxa"/>
          </w:tcPr>
          <w:p w14:paraId="17E0A754" w14:textId="77777777" w:rsidR="004546B3" w:rsidRPr="00631312" w:rsidRDefault="004546B3">
            <w:pPr>
              <w:autoSpaceDE w:val="0"/>
              <w:autoSpaceDN w:val="0"/>
              <w:adjustRightInd w:val="0"/>
              <w:jc w:val="right"/>
              <w:rPr>
                <w:rFonts w:cs="Arial"/>
                <w:lang w:eastAsia="en-GB"/>
              </w:rPr>
            </w:pPr>
          </w:p>
        </w:tc>
        <w:tc>
          <w:tcPr>
            <w:tcW w:w="1276" w:type="dxa"/>
          </w:tcPr>
          <w:p w14:paraId="20800BB2" w14:textId="77777777" w:rsidR="004546B3" w:rsidRPr="00631312" w:rsidRDefault="004546B3">
            <w:pPr>
              <w:autoSpaceDE w:val="0"/>
              <w:autoSpaceDN w:val="0"/>
              <w:adjustRightInd w:val="0"/>
              <w:jc w:val="right"/>
              <w:rPr>
                <w:rFonts w:cs="Arial"/>
                <w:lang w:eastAsia="en-GB"/>
              </w:rPr>
            </w:pPr>
          </w:p>
        </w:tc>
      </w:tr>
      <w:tr w:rsidR="004546B3" w:rsidRPr="00631312" w14:paraId="1F697CCF" w14:textId="77777777" w:rsidTr="00037D69">
        <w:tc>
          <w:tcPr>
            <w:tcW w:w="7621" w:type="dxa"/>
          </w:tcPr>
          <w:p w14:paraId="1704C32D" w14:textId="77777777" w:rsidR="004546B3" w:rsidRPr="00631312" w:rsidRDefault="00115B89">
            <w:pPr>
              <w:autoSpaceDE w:val="0"/>
              <w:autoSpaceDN w:val="0"/>
              <w:adjustRightInd w:val="0"/>
              <w:rPr>
                <w:rFonts w:cs="Arial"/>
                <w:lang w:eastAsia="en-GB"/>
              </w:rPr>
            </w:pPr>
            <w:r>
              <w:t>C</w:t>
            </w:r>
            <w:r w:rsidR="004546B3" w:rsidRPr="00631312">
              <w:t xml:space="preserve">ontrolling interest </w:t>
            </w:r>
            <w:r w:rsidR="004546B3" w:rsidRPr="00631312">
              <w:rPr>
                <w:rFonts w:cs="Arial"/>
              </w:rPr>
              <w:t>Dividend of</w:t>
            </w:r>
            <w:r w:rsidR="004546B3" w:rsidRPr="00631312">
              <w:t xml:space="preserve"> £</w:t>
            </w:r>
            <w:r>
              <w:t>0.47</w:t>
            </w:r>
            <w:r w:rsidR="004546B3" w:rsidRPr="00631312">
              <w:t xml:space="preserve"> per share declared</w:t>
            </w:r>
            <w:r w:rsidR="004546B3" w:rsidRPr="00631312">
              <w:rPr>
                <w:rFonts w:cs="Arial"/>
              </w:rPr>
              <w:t xml:space="preserve"> (202</w:t>
            </w:r>
            <w:r w:rsidR="004546B3">
              <w:rPr>
                <w:rFonts w:cs="Arial"/>
              </w:rPr>
              <w:t>3</w:t>
            </w:r>
            <w:r w:rsidR="004546B3" w:rsidRPr="00631312">
              <w:rPr>
                <w:rFonts w:cs="Arial"/>
              </w:rPr>
              <w:t>: £</w:t>
            </w:r>
            <w:r>
              <w:t>nil</w:t>
            </w:r>
            <w:r w:rsidR="004546B3" w:rsidRPr="00631312">
              <w:rPr>
                <w:rFonts w:cs="Arial"/>
              </w:rPr>
              <w:t>)</w:t>
            </w:r>
          </w:p>
        </w:tc>
        <w:tc>
          <w:tcPr>
            <w:tcW w:w="1276" w:type="dxa"/>
          </w:tcPr>
          <w:p w14:paraId="2CC06200" w14:textId="77777777" w:rsidR="004546B3" w:rsidRPr="00631312" w:rsidRDefault="00115B89">
            <w:pPr>
              <w:autoSpaceDE w:val="0"/>
              <w:autoSpaceDN w:val="0"/>
              <w:adjustRightInd w:val="0"/>
              <w:jc w:val="right"/>
              <w:rPr>
                <w:rFonts w:cs="Arial"/>
                <w:lang w:eastAsia="en-GB"/>
              </w:rPr>
            </w:pPr>
            <w:r>
              <w:rPr>
                <w:rFonts w:cs="Arial"/>
                <w:lang w:eastAsia="en-GB"/>
              </w:rPr>
              <w:t>2,912</w:t>
            </w:r>
          </w:p>
        </w:tc>
        <w:tc>
          <w:tcPr>
            <w:tcW w:w="1276" w:type="dxa"/>
          </w:tcPr>
          <w:p w14:paraId="6B7C6CDE" w14:textId="77777777" w:rsidR="004546B3" w:rsidRPr="00631312" w:rsidRDefault="00115B89">
            <w:pPr>
              <w:autoSpaceDE w:val="0"/>
              <w:autoSpaceDN w:val="0"/>
              <w:adjustRightInd w:val="0"/>
              <w:jc w:val="right"/>
              <w:rPr>
                <w:rFonts w:cs="Arial"/>
                <w:lang w:eastAsia="en-GB"/>
              </w:rPr>
            </w:pPr>
            <w:r>
              <w:rPr>
                <w:rFonts w:cs="Arial"/>
                <w:lang w:eastAsia="en-GB"/>
              </w:rPr>
              <w:t>-</w:t>
            </w:r>
          </w:p>
        </w:tc>
      </w:tr>
      <w:tr w:rsidR="004546B3" w:rsidRPr="00631312" w14:paraId="4DED18F3" w14:textId="77777777" w:rsidTr="00037D69">
        <w:tc>
          <w:tcPr>
            <w:tcW w:w="7621" w:type="dxa"/>
          </w:tcPr>
          <w:p w14:paraId="2CE5C3ED" w14:textId="77777777" w:rsidR="004546B3" w:rsidRPr="00631312" w:rsidRDefault="004546B3">
            <w:pPr>
              <w:autoSpaceDE w:val="0"/>
              <w:autoSpaceDN w:val="0"/>
              <w:adjustRightInd w:val="0"/>
              <w:rPr>
                <w:rFonts w:cs="Arial"/>
                <w:lang w:eastAsia="en-GB"/>
              </w:rPr>
            </w:pPr>
          </w:p>
        </w:tc>
        <w:tc>
          <w:tcPr>
            <w:tcW w:w="1276" w:type="dxa"/>
          </w:tcPr>
          <w:p w14:paraId="059A33D1" w14:textId="77777777" w:rsidR="004546B3" w:rsidRPr="00631312" w:rsidRDefault="004546B3">
            <w:pPr>
              <w:autoSpaceDE w:val="0"/>
              <w:autoSpaceDN w:val="0"/>
              <w:adjustRightInd w:val="0"/>
              <w:jc w:val="right"/>
              <w:rPr>
                <w:rFonts w:cs="Arial"/>
                <w:lang w:eastAsia="en-GB"/>
              </w:rPr>
            </w:pPr>
            <w:r w:rsidRPr="00631312">
              <w:rPr>
                <w:rFonts w:cs="Arial"/>
              </w:rPr>
              <w:t>══════</w:t>
            </w:r>
          </w:p>
        </w:tc>
        <w:tc>
          <w:tcPr>
            <w:tcW w:w="1276" w:type="dxa"/>
          </w:tcPr>
          <w:p w14:paraId="07C28ECE" w14:textId="77777777" w:rsidR="004546B3" w:rsidRPr="00631312" w:rsidRDefault="004546B3">
            <w:pPr>
              <w:autoSpaceDE w:val="0"/>
              <w:autoSpaceDN w:val="0"/>
              <w:adjustRightInd w:val="0"/>
              <w:jc w:val="right"/>
              <w:rPr>
                <w:rFonts w:cs="Arial"/>
                <w:lang w:eastAsia="en-GB"/>
              </w:rPr>
            </w:pPr>
            <w:r w:rsidRPr="00631312">
              <w:rPr>
                <w:rFonts w:cs="Arial"/>
              </w:rPr>
              <w:t>══════</w:t>
            </w:r>
          </w:p>
        </w:tc>
      </w:tr>
      <w:tr w:rsidR="00AD44B4" w:rsidRPr="00631312" w14:paraId="0D5DF172" w14:textId="77777777" w:rsidTr="00037D69">
        <w:tc>
          <w:tcPr>
            <w:tcW w:w="7621" w:type="dxa"/>
          </w:tcPr>
          <w:p w14:paraId="1BE31140" w14:textId="77777777" w:rsidR="00AD44B4" w:rsidRPr="00AE607B" w:rsidRDefault="00AD44B4" w:rsidP="00C6486E">
            <w:pPr>
              <w:autoSpaceDE w:val="0"/>
              <w:autoSpaceDN w:val="0"/>
              <w:adjustRightInd w:val="0"/>
              <w:rPr>
                <w:rFonts w:cs="Arial"/>
                <w:b/>
                <w:lang w:eastAsia="en-GB"/>
              </w:rPr>
            </w:pPr>
          </w:p>
        </w:tc>
        <w:tc>
          <w:tcPr>
            <w:tcW w:w="1276" w:type="dxa"/>
          </w:tcPr>
          <w:p w14:paraId="71197819" w14:textId="77777777" w:rsidR="00AD44B4" w:rsidRPr="00AE607B" w:rsidRDefault="007D4685" w:rsidP="00C6486E">
            <w:pPr>
              <w:autoSpaceDE w:val="0"/>
              <w:autoSpaceDN w:val="0"/>
              <w:adjustRightInd w:val="0"/>
              <w:jc w:val="center"/>
              <w:rPr>
                <w:rFonts w:cs="Arial"/>
                <w:b/>
                <w:lang w:eastAsia="en-GB"/>
              </w:rPr>
            </w:pPr>
            <w:r>
              <w:rPr>
                <w:rFonts w:cs="Arial"/>
                <w:b/>
                <w:lang w:eastAsia="en-GB"/>
              </w:rPr>
              <w:t>28/12/</w:t>
            </w:r>
            <w:r w:rsidR="00AD44B4" w:rsidRPr="00AE607B">
              <w:rPr>
                <w:rFonts w:cs="Arial"/>
                <w:b/>
                <w:lang w:eastAsia="en-GB"/>
              </w:rPr>
              <w:t>202</w:t>
            </w:r>
            <w:r w:rsidR="00631312" w:rsidRPr="00AE607B">
              <w:rPr>
                <w:rFonts w:cs="Arial"/>
                <w:b/>
                <w:lang w:eastAsia="en-GB"/>
              </w:rPr>
              <w:t>4</w:t>
            </w:r>
          </w:p>
        </w:tc>
        <w:tc>
          <w:tcPr>
            <w:tcW w:w="1276" w:type="dxa"/>
          </w:tcPr>
          <w:p w14:paraId="79214B98" w14:textId="77777777" w:rsidR="00AD44B4" w:rsidRPr="00631312" w:rsidRDefault="007D4685" w:rsidP="00C6486E">
            <w:pPr>
              <w:autoSpaceDE w:val="0"/>
              <w:autoSpaceDN w:val="0"/>
              <w:adjustRightInd w:val="0"/>
              <w:jc w:val="center"/>
              <w:rPr>
                <w:rFonts w:cs="Arial"/>
                <w:b/>
                <w:lang w:eastAsia="en-GB"/>
              </w:rPr>
            </w:pPr>
            <w:r>
              <w:rPr>
                <w:rFonts w:cs="Arial"/>
                <w:b/>
                <w:lang w:eastAsia="en-GB"/>
              </w:rPr>
              <w:t>30/12/</w:t>
            </w:r>
            <w:r w:rsidR="00AD44B4" w:rsidRPr="00AE607B">
              <w:rPr>
                <w:rFonts w:cs="Arial"/>
                <w:b/>
                <w:lang w:eastAsia="en-GB"/>
              </w:rPr>
              <w:t>202</w:t>
            </w:r>
            <w:r w:rsidR="00631312" w:rsidRPr="00AE607B">
              <w:rPr>
                <w:rFonts w:cs="Arial"/>
                <w:b/>
                <w:lang w:eastAsia="en-GB"/>
              </w:rPr>
              <w:t>3</w:t>
            </w:r>
          </w:p>
        </w:tc>
      </w:tr>
      <w:tr w:rsidR="00AD44B4" w:rsidRPr="00631312" w14:paraId="458DC1C1" w14:textId="77777777" w:rsidTr="00037D69">
        <w:tc>
          <w:tcPr>
            <w:tcW w:w="7621" w:type="dxa"/>
          </w:tcPr>
          <w:p w14:paraId="68045331" w14:textId="77777777" w:rsidR="00AD44B4" w:rsidRPr="00631312" w:rsidRDefault="00AD44B4" w:rsidP="00C6486E">
            <w:pPr>
              <w:autoSpaceDE w:val="0"/>
              <w:autoSpaceDN w:val="0"/>
              <w:adjustRightInd w:val="0"/>
              <w:rPr>
                <w:rFonts w:cs="Arial"/>
                <w:lang w:eastAsia="en-GB"/>
              </w:rPr>
            </w:pPr>
          </w:p>
        </w:tc>
        <w:tc>
          <w:tcPr>
            <w:tcW w:w="1276" w:type="dxa"/>
          </w:tcPr>
          <w:p w14:paraId="08F86229" w14:textId="77777777" w:rsidR="00AD44B4" w:rsidRPr="00631312" w:rsidRDefault="00AD44B4" w:rsidP="00C6486E">
            <w:pPr>
              <w:autoSpaceDE w:val="0"/>
              <w:autoSpaceDN w:val="0"/>
              <w:adjustRightInd w:val="0"/>
              <w:jc w:val="center"/>
              <w:rPr>
                <w:rFonts w:cs="Arial"/>
                <w:b/>
                <w:lang w:eastAsia="en-GB"/>
              </w:rPr>
            </w:pPr>
            <w:r w:rsidRPr="00631312">
              <w:rPr>
                <w:rFonts w:cs="Arial"/>
                <w:b/>
                <w:lang w:eastAsia="en-GB"/>
              </w:rPr>
              <w:t>£’000</w:t>
            </w:r>
          </w:p>
        </w:tc>
        <w:tc>
          <w:tcPr>
            <w:tcW w:w="1276" w:type="dxa"/>
          </w:tcPr>
          <w:p w14:paraId="3BDA6CD3" w14:textId="77777777" w:rsidR="00AD44B4" w:rsidRPr="00631312" w:rsidRDefault="00AD44B4" w:rsidP="00C6486E">
            <w:pPr>
              <w:autoSpaceDE w:val="0"/>
              <w:autoSpaceDN w:val="0"/>
              <w:adjustRightInd w:val="0"/>
              <w:jc w:val="center"/>
              <w:rPr>
                <w:rFonts w:cs="Arial"/>
                <w:b/>
                <w:lang w:eastAsia="en-GB"/>
              </w:rPr>
            </w:pPr>
            <w:r w:rsidRPr="00631312">
              <w:rPr>
                <w:rFonts w:cs="Arial"/>
                <w:b/>
                <w:lang w:eastAsia="en-GB"/>
              </w:rPr>
              <w:t>£’000</w:t>
            </w:r>
          </w:p>
        </w:tc>
      </w:tr>
      <w:tr w:rsidR="00AD44B4" w:rsidRPr="00631312" w14:paraId="209843F4" w14:textId="77777777" w:rsidTr="00037D69">
        <w:tc>
          <w:tcPr>
            <w:tcW w:w="7621" w:type="dxa"/>
          </w:tcPr>
          <w:p w14:paraId="6A4EE08D" w14:textId="77777777" w:rsidR="00AD44B4" w:rsidRPr="00631312" w:rsidRDefault="00AD44B4" w:rsidP="00C6486E">
            <w:pPr>
              <w:autoSpaceDE w:val="0"/>
              <w:autoSpaceDN w:val="0"/>
              <w:adjustRightInd w:val="0"/>
              <w:rPr>
                <w:rFonts w:cs="Arial"/>
                <w:lang w:eastAsia="en-GB"/>
              </w:rPr>
            </w:pPr>
            <w:r w:rsidRPr="00631312">
              <w:rPr>
                <w:i/>
              </w:rPr>
              <w:t>Ordinary share capital</w:t>
            </w:r>
          </w:p>
        </w:tc>
        <w:tc>
          <w:tcPr>
            <w:tcW w:w="1276" w:type="dxa"/>
          </w:tcPr>
          <w:p w14:paraId="6F098073" w14:textId="77777777" w:rsidR="00AD44B4" w:rsidRPr="00631312" w:rsidRDefault="00AD44B4" w:rsidP="00C6486E">
            <w:pPr>
              <w:autoSpaceDE w:val="0"/>
              <w:autoSpaceDN w:val="0"/>
              <w:adjustRightInd w:val="0"/>
              <w:jc w:val="right"/>
              <w:rPr>
                <w:rFonts w:cs="Arial"/>
                <w:lang w:eastAsia="en-GB"/>
              </w:rPr>
            </w:pPr>
          </w:p>
        </w:tc>
        <w:tc>
          <w:tcPr>
            <w:tcW w:w="1276" w:type="dxa"/>
          </w:tcPr>
          <w:p w14:paraId="5A91A5F3" w14:textId="77777777" w:rsidR="00AD44B4" w:rsidRPr="00631312" w:rsidRDefault="00AD44B4" w:rsidP="00C6486E">
            <w:pPr>
              <w:autoSpaceDE w:val="0"/>
              <w:autoSpaceDN w:val="0"/>
              <w:adjustRightInd w:val="0"/>
              <w:jc w:val="right"/>
              <w:rPr>
                <w:rFonts w:cs="Arial"/>
                <w:lang w:eastAsia="en-GB"/>
              </w:rPr>
            </w:pPr>
          </w:p>
        </w:tc>
      </w:tr>
      <w:tr w:rsidR="00AD44B4" w:rsidRPr="00631312" w14:paraId="1D1D5141" w14:textId="77777777" w:rsidTr="00037D69">
        <w:tc>
          <w:tcPr>
            <w:tcW w:w="7621" w:type="dxa"/>
          </w:tcPr>
          <w:p w14:paraId="0C73B7F8" w14:textId="77777777" w:rsidR="00AD44B4" w:rsidRPr="00631312" w:rsidRDefault="006C3251" w:rsidP="00C6486E">
            <w:pPr>
              <w:autoSpaceDE w:val="0"/>
              <w:autoSpaceDN w:val="0"/>
              <w:adjustRightInd w:val="0"/>
              <w:rPr>
                <w:rFonts w:cs="Arial"/>
                <w:lang w:eastAsia="en-GB"/>
              </w:rPr>
            </w:pPr>
            <w:r w:rsidRPr="00631312">
              <w:t xml:space="preserve">Non-controlling interest </w:t>
            </w:r>
            <w:r w:rsidRPr="00631312">
              <w:rPr>
                <w:rFonts w:cs="Arial"/>
              </w:rPr>
              <w:t>Dividend of</w:t>
            </w:r>
            <w:r w:rsidRPr="00631312">
              <w:t xml:space="preserve"> £</w:t>
            </w:r>
            <w:r w:rsidR="00631312" w:rsidRPr="00631312">
              <w:t>nil</w:t>
            </w:r>
            <w:r w:rsidRPr="00631312">
              <w:t xml:space="preserve"> per share declared</w:t>
            </w:r>
            <w:r w:rsidRPr="00631312">
              <w:rPr>
                <w:rFonts w:cs="Arial"/>
              </w:rPr>
              <w:t xml:space="preserve"> </w:t>
            </w:r>
            <w:r w:rsidR="00AD44B4" w:rsidRPr="00631312">
              <w:rPr>
                <w:rFonts w:cs="Arial"/>
              </w:rPr>
              <w:t>(202</w:t>
            </w:r>
            <w:r w:rsidR="00631312">
              <w:rPr>
                <w:rFonts w:cs="Arial"/>
              </w:rPr>
              <w:t>3</w:t>
            </w:r>
            <w:r w:rsidR="00AD44B4" w:rsidRPr="00631312">
              <w:rPr>
                <w:rFonts w:cs="Arial"/>
              </w:rPr>
              <w:t>: £</w:t>
            </w:r>
            <w:r w:rsidR="00631312" w:rsidRPr="00631312">
              <w:t>1.2019p</w:t>
            </w:r>
            <w:r w:rsidR="00AD44B4" w:rsidRPr="00631312">
              <w:rPr>
                <w:rFonts w:cs="Arial"/>
              </w:rPr>
              <w:t>)</w:t>
            </w:r>
          </w:p>
        </w:tc>
        <w:tc>
          <w:tcPr>
            <w:tcW w:w="1276" w:type="dxa"/>
          </w:tcPr>
          <w:p w14:paraId="4E654DC7" w14:textId="77777777" w:rsidR="00AD44B4" w:rsidRPr="00631312" w:rsidRDefault="00631312" w:rsidP="00C6486E">
            <w:pPr>
              <w:autoSpaceDE w:val="0"/>
              <w:autoSpaceDN w:val="0"/>
              <w:adjustRightInd w:val="0"/>
              <w:jc w:val="right"/>
              <w:rPr>
                <w:rFonts w:cs="Arial"/>
                <w:lang w:eastAsia="en-GB"/>
              </w:rPr>
            </w:pPr>
            <w:r w:rsidRPr="00631312">
              <w:rPr>
                <w:rFonts w:cs="Arial"/>
                <w:lang w:eastAsia="en-GB"/>
              </w:rPr>
              <w:t>-</w:t>
            </w:r>
          </w:p>
        </w:tc>
        <w:tc>
          <w:tcPr>
            <w:tcW w:w="1276" w:type="dxa"/>
          </w:tcPr>
          <w:p w14:paraId="1F65BD56" w14:textId="77777777" w:rsidR="00AD44B4" w:rsidRPr="00631312" w:rsidRDefault="00631312" w:rsidP="00C6486E">
            <w:pPr>
              <w:autoSpaceDE w:val="0"/>
              <w:autoSpaceDN w:val="0"/>
              <w:adjustRightInd w:val="0"/>
              <w:jc w:val="right"/>
              <w:rPr>
                <w:rFonts w:cs="Arial"/>
                <w:lang w:eastAsia="en-GB"/>
              </w:rPr>
            </w:pPr>
            <w:r w:rsidRPr="00631312">
              <w:rPr>
                <w:rFonts w:cs="Arial"/>
                <w:lang w:eastAsia="en-GB"/>
              </w:rPr>
              <w:t>288</w:t>
            </w:r>
          </w:p>
        </w:tc>
      </w:tr>
      <w:tr w:rsidR="00AD44B4" w:rsidRPr="00631312" w14:paraId="4BDD3843" w14:textId="77777777" w:rsidTr="00037D69">
        <w:tc>
          <w:tcPr>
            <w:tcW w:w="7621" w:type="dxa"/>
          </w:tcPr>
          <w:p w14:paraId="08C2E942" w14:textId="77777777" w:rsidR="00AD44B4" w:rsidRPr="00631312" w:rsidRDefault="00AD44B4" w:rsidP="00C6486E">
            <w:pPr>
              <w:autoSpaceDE w:val="0"/>
              <w:autoSpaceDN w:val="0"/>
              <w:adjustRightInd w:val="0"/>
              <w:rPr>
                <w:rFonts w:cs="Arial"/>
                <w:lang w:eastAsia="en-GB"/>
              </w:rPr>
            </w:pPr>
          </w:p>
        </w:tc>
        <w:tc>
          <w:tcPr>
            <w:tcW w:w="1276" w:type="dxa"/>
          </w:tcPr>
          <w:p w14:paraId="387B36C2" w14:textId="77777777" w:rsidR="00AD44B4" w:rsidRPr="00631312" w:rsidRDefault="00AD44B4" w:rsidP="00C6486E">
            <w:pPr>
              <w:autoSpaceDE w:val="0"/>
              <w:autoSpaceDN w:val="0"/>
              <w:adjustRightInd w:val="0"/>
              <w:jc w:val="right"/>
              <w:rPr>
                <w:rFonts w:cs="Arial"/>
                <w:lang w:eastAsia="en-GB"/>
              </w:rPr>
            </w:pPr>
            <w:r w:rsidRPr="00631312">
              <w:rPr>
                <w:rFonts w:cs="Arial"/>
              </w:rPr>
              <w:t>══════</w:t>
            </w:r>
          </w:p>
        </w:tc>
        <w:tc>
          <w:tcPr>
            <w:tcW w:w="1276" w:type="dxa"/>
          </w:tcPr>
          <w:p w14:paraId="69F089A4" w14:textId="77777777" w:rsidR="00AD44B4" w:rsidRPr="00631312" w:rsidRDefault="00AD44B4" w:rsidP="00C6486E">
            <w:pPr>
              <w:autoSpaceDE w:val="0"/>
              <w:autoSpaceDN w:val="0"/>
              <w:adjustRightInd w:val="0"/>
              <w:jc w:val="right"/>
              <w:rPr>
                <w:rFonts w:cs="Arial"/>
                <w:lang w:eastAsia="en-GB"/>
              </w:rPr>
            </w:pPr>
            <w:r w:rsidRPr="00631312">
              <w:rPr>
                <w:rFonts w:cs="Arial"/>
              </w:rPr>
              <w:t>══════</w:t>
            </w:r>
          </w:p>
        </w:tc>
      </w:tr>
    </w:tbl>
    <w:p w14:paraId="00C43A76" w14:textId="77777777" w:rsidR="00266967" w:rsidRPr="00631312" w:rsidRDefault="00266967" w:rsidP="00266967">
      <w:pPr>
        <w:rPr>
          <w:vanish/>
        </w:rPr>
      </w:pPr>
    </w:p>
    <w:tbl>
      <w:tblPr>
        <w:tblpPr w:leftFromText="180" w:rightFromText="180" w:vertAnchor="text" w:horzAnchor="margin" w:tblpY="1"/>
        <w:tblW w:w="10173" w:type="dxa"/>
        <w:shd w:val="clear" w:color="auto" w:fill="FFFF00"/>
        <w:tblLayout w:type="fixed"/>
        <w:tblLook w:val="01E0" w:firstRow="1" w:lastRow="1" w:firstColumn="1" w:lastColumn="1" w:noHBand="0" w:noVBand="0"/>
      </w:tblPr>
      <w:tblGrid>
        <w:gridCol w:w="7316"/>
        <w:gridCol w:w="1054"/>
        <w:gridCol w:w="1202"/>
        <w:gridCol w:w="601"/>
      </w:tblGrid>
      <w:tr w:rsidR="00036094" w:rsidRPr="00631312" w14:paraId="0AC5BDEA" w14:textId="77777777" w:rsidTr="00191444">
        <w:trPr>
          <w:gridAfter w:val="1"/>
          <w:wAfter w:w="601" w:type="dxa"/>
          <w:trHeight w:val="210"/>
        </w:trPr>
        <w:tc>
          <w:tcPr>
            <w:tcW w:w="7316" w:type="dxa"/>
          </w:tcPr>
          <w:p w14:paraId="0303655C" w14:textId="77777777" w:rsidR="00036094" w:rsidRPr="00631312" w:rsidRDefault="00036094" w:rsidP="00C80646"/>
        </w:tc>
        <w:tc>
          <w:tcPr>
            <w:tcW w:w="1054" w:type="dxa"/>
          </w:tcPr>
          <w:p w14:paraId="34543F82" w14:textId="77777777" w:rsidR="00036094" w:rsidRPr="00631312" w:rsidRDefault="00036094" w:rsidP="00C80646">
            <w:pPr>
              <w:ind w:right="176"/>
              <w:jc w:val="right"/>
            </w:pPr>
          </w:p>
        </w:tc>
        <w:tc>
          <w:tcPr>
            <w:tcW w:w="1202" w:type="dxa"/>
          </w:tcPr>
          <w:p w14:paraId="1F152F56" w14:textId="77777777" w:rsidR="00036094" w:rsidRPr="00631312" w:rsidRDefault="00036094" w:rsidP="00C80646">
            <w:pPr>
              <w:ind w:right="98"/>
              <w:jc w:val="right"/>
            </w:pPr>
          </w:p>
        </w:tc>
      </w:tr>
      <w:tr w:rsidR="00036094" w:rsidRPr="00631312" w14:paraId="08BC1FE1" w14:textId="77777777" w:rsidTr="00037D69">
        <w:trPr>
          <w:trHeight w:val="210"/>
        </w:trPr>
        <w:tc>
          <w:tcPr>
            <w:tcW w:w="10173" w:type="dxa"/>
            <w:gridSpan w:val="4"/>
          </w:tcPr>
          <w:p w14:paraId="5F1376A9" w14:textId="77777777" w:rsidR="00036094" w:rsidRPr="00631312" w:rsidRDefault="00036094" w:rsidP="00C80646">
            <w:pPr>
              <w:jc w:val="both"/>
            </w:pPr>
            <w:r w:rsidRPr="00631312">
              <w:t>The final dividend of £</w:t>
            </w:r>
            <w:r w:rsidR="006C3251" w:rsidRPr="00631312">
              <w:t>287</w:t>
            </w:r>
            <w:r w:rsidRPr="00631312">
              <w:t>,</w:t>
            </w:r>
            <w:r w:rsidR="006C3251" w:rsidRPr="00631312">
              <w:t>5</w:t>
            </w:r>
            <w:r w:rsidRPr="00631312">
              <w:t>00 payable by a subsidiary to non-controlling interests was approved on 1</w:t>
            </w:r>
            <w:r w:rsidR="006C3251" w:rsidRPr="00631312">
              <w:t>4</w:t>
            </w:r>
            <w:r w:rsidRPr="00631312">
              <w:t xml:space="preserve"> December 20</w:t>
            </w:r>
            <w:r w:rsidR="006C3251" w:rsidRPr="00631312">
              <w:t>23</w:t>
            </w:r>
            <w:r w:rsidRPr="00631312">
              <w:t xml:space="preserve"> and was paid on </w:t>
            </w:r>
            <w:r w:rsidRPr="00631312">
              <w:rPr>
                <w:rFonts w:cs="Arial"/>
              </w:rPr>
              <w:t>2</w:t>
            </w:r>
            <w:r w:rsidR="00086CF9" w:rsidRPr="00631312">
              <w:rPr>
                <w:rFonts w:cs="Arial"/>
              </w:rPr>
              <w:t>8</w:t>
            </w:r>
            <w:r w:rsidRPr="00631312">
              <w:rPr>
                <w:rFonts w:cs="Arial"/>
              </w:rPr>
              <w:t xml:space="preserve"> March 20</w:t>
            </w:r>
            <w:r w:rsidR="006C3251" w:rsidRPr="00631312">
              <w:rPr>
                <w:rFonts w:cs="Arial"/>
              </w:rPr>
              <w:t>24</w:t>
            </w:r>
            <w:r w:rsidR="005C0164" w:rsidRPr="00631312">
              <w:t>.</w:t>
            </w:r>
          </w:p>
        </w:tc>
      </w:tr>
    </w:tbl>
    <w:p w14:paraId="341FBAE1" w14:textId="77777777" w:rsidR="00D26315" w:rsidRPr="00C328EF" w:rsidRDefault="00D26315" w:rsidP="00D26315">
      <w:pPr>
        <w:ind w:right="267"/>
        <w:jc w:val="both"/>
        <w:rPr>
          <w:rFonts w:cs="Arial"/>
          <w:highlight w:val="yellow"/>
        </w:rPr>
      </w:pPr>
    </w:p>
    <w:p w14:paraId="40510FCC" w14:textId="77777777" w:rsidR="00335233" w:rsidRPr="00CC0D8F" w:rsidRDefault="00335233" w:rsidP="00B9187C">
      <w:pPr>
        <w:ind w:left="567"/>
        <w:jc w:val="both"/>
        <w:rPr>
          <w:rFonts w:cs="Arial"/>
        </w:rPr>
      </w:pPr>
    </w:p>
    <w:p w14:paraId="00D7D895" w14:textId="77777777" w:rsidR="00AD44B4" w:rsidRPr="00CC0D8F" w:rsidRDefault="00F72DA3" w:rsidP="00AD44B4">
      <w:pPr>
        <w:ind w:right="267"/>
        <w:jc w:val="both"/>
        <w:rPr>
          <w:rFonts w:cs="Arial"/>
        </w:rPr>
      </w:pPr>
      <w:r>
        <w:rPr>
          <w:rFonts w:cs="Arial"/>
          <w:b/>
        </w:rPr>
        <w:t>30</w:t>
      </w:r>
      <w:r w:rsidR="00AD44B4" w:rsidRPr="00CC0D8F">
        <w:rPr>
          <w:rFonts w:cs="Arial"/>
        </w:rPr>
        <w:t>.</w:t>
      </w:r>
      <w:r w:rsidR="00AD44B4" w:rsidRPr="00CC0D8F">
        <w:rPr>
          <w:rFonts w:cs="Arial"/>
        </w:rPr>
        <w:tab/>
      </w:r>
      <w:r w:rsidR="00AD44B4" w:rsidRPr="00CC0D8F">
        <w:rPr>
          <w:rFonts w:cs="Arial"/>
          <w:b/>
          <w:bCs/>
        </w:rPr>
        <w:t xml:space="preserve">Post balance sheet events </w:t>
      </w:r>
    </w:p>
    <w:p w14:paraId="739C8CF0" w14:textId="77777777" w:rsidR="00885764" w:rsidRPr="00CC0D8F" w:rsidRDefault="00885764" w:rsidP="006C3251">
      <w:pPr>
        <w:jc w:val="both"/>
        <w:rPr>
          <w:rFonts w:cs="Arial"/>
          <w:b/>
        </w:rPr>
      </w:pPr>
    </w:p>
    <w:p w14:paraId="57D7D7F6" w14:textId="77777777" w:rsidR="00AD44B4" w:rsidRPr="004B5A50" w:rsidRDefault="00AD44B4" w:rsidP="006C3251">
      <w:pPr>
        <w:jc w:val="both"/>
        <w:rPr>
          <w:rFonts w:cs="Arial"/>
          <w:b/>
        </w:rPr>
      </w:pPr>
      <w:r w:rsidRPr="004B5A50">
        <w:rPr>
          <w:rFonts w:cs="Arial"/>
          <w:b/>
        </w:rPr>
        <w:t>B Shares</w:t>
      </w:r>
    </w:p>
    <w:p w14:paraId="0E84D8A7" w14:textId="77777777" w:rsidR="00AD44B4" w:rsidRPr="004B5A50" w:rsidRDefault="00AD44B4" w:rsidP="006C3251">
      <w:pPr>
        <w:jc w:val="both"/>
        <w:rPr>
          <w:rFonts w:cs="Arial"/>
        </w:rPr>
      </w:pPr>
    </w:p>
    <w:p w14:paraId="197841CE" w14:textId="77777777" w:rsidR="00AD44B4" w:rsidRPr="00C328EF" w:rsidRDefault="00AD44B4" w:rsidP="006C3251">
      <w:pPr>
        <w:jc w:val="both"/>
        <w:rPr>
          <w:rFonts w:cs="Arial"/>
          <w:highlight w:val="yellow"/>
        </w:rPr>
      </w:pPr>
      <w:r w:rsidRPr="004B5A50">
        <w:rPr>
          <w:rFonts w:cs="Arial"/>
        </w:rPr>
        <w:t xml:space="preserve">On </w:t>
      </w:r>
      <w:r w:rsidR="00CC0D8F" w:rsidRPr="004B5A50">
        <w:rPr>
          <w:rFonts w:cs="Arial"/>
        </w:rPr>
        <w:t>25</w:t>
      </w:r>
      <w:r w:rsidRPr="004B5A50">
        <w:rPr>
          <w:rFonts w:cs="Arial"/>
        </w:rPr>
        <w:t xml:space="preserve"> March 202</w:t>
      </w:r>
      <w:r w:rsidR="00631312" w:rsidRPr="004B5A50">
        <w:rPr>
          <w:rFonts w:cs="Arial"/>
        </w:rPr>
        <w:t>5</w:t>
      </w:r>
      <w:r w:rsidRPr="004B5A50">
        <w:rPr>
          <w:rFonts w:cs="Arial"/>
        </w:rPr>
        <w:t xml:space="preserve"> a payment of £</w:t>
      </w:r>
      <w:r w:rsidR="00CC0D8F" w:rsidRPr="004B5A50">
        <w:rPr>
          <w:rFonts w:cs="Arial"/>
        </w:rPr>
        <w:t>10.5</w:t>
      </w:r>
      <w:r w:rsidR="00086CF9" w:rsidRPr="004B5A50">
        <w:rPr>
          <w:rFonts w:cs="Arial"/>
        </w:rPr>
        <w:t>m</w:t>
      </w:r>
      <w:r w:rsidRPr="004B5A50">
        <w:rPr>
          <w:rFonts w:cs="Arial"/>
        </w:rPr>
        <w:t xml:space="preserve"> </w:t>
      </w:r>
      <w:r w:rsidRPr="00631312">
        <w:rPr>
          <w:rFonts w:cs="Arial"/>
        </w:rPr>
        <w:t xml:space="preserve">was received from </w:t>
      </w:r>
      <w:r w:rsidR="005C0164" w:rsidRPr="00631312">
        <w:rPr>
          <w:rFonts w:cs="Arial"/>
        </w:rPr>
        <w:t xml:space="preserve">the </w:t>
      </w:r>
      <w:r w:rsidRPr="00631312">
        <w:rPr>
          <w:rFonts w:cs="Arial"/>
        </w:rPr>
        <w:t>City of Edinburgh Council in respect of the purchase of B Shares in Edinburgh Trams</w:t>
      </w:r>
      <w:r w:rsidR="005C0164" w:rsidRPr="00631312">
        <w:rPr>
          <w:rFonts w:cs="Arial"/>
        </w:rPr>
        <w:t xml:space="preserve"> Limited</w:t>
      </w:r>
      <w:r w:rsidRPr="00631312">
        <w:rPr>
          <w:rFonts w:cs="Arial"/>
        </w:rPr>
        <w:t>, through Transport for Edinburgh Limited.</w:t>
      </w:r>
    </w:p>
    <w:p w14:paraId="35814C16" w14:textId="77777777" w:rsidR="00AD44B4" w:rsidRPr="00C328EF" w:rsidRDefault="00AD44B4" w:rsidP="007318EF">
      <w:pPr>
        <w:jc w:val="both"/>
        <w:rPr>
          <w:rFonts w:cs="Arial"/>
          <w:highlight w:val="yellow"/>
        </w:rPr>
      </w:pPr>
    </w:p>
    <w:sectPr w:rsidR="00AD44B4" w:rsidRPr="00C328EF" w:rsidSect="00AD1041">
      <w:headerReference w:type="even" r:id="rId28"/>
      <w:headerReference w:type="default" r:id="rId29"/>
      <w:footerReference w:type="default" r:id="rId30"/>
      <w:headerReference w:type="first" r:id="rId31"/>
      <w:pgSz w:w="11906" w:h="16838" w:code="9"/>
      <w:pgMar w:top="1077" w:right="991" w:bottom="318" w:left="1014" w:header="1077" w:footer="318"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1D45" w14:textId="77777777" w:rsidR="00075113" w:rsidRDefault="00075113">
      <w:r>
        <w:separator/>
      </w:r>
    </w:p>
  </w:endnote>
  <w:endnote w:type="continuationSeparator" w:id="0">
    <w:p w14:paraId="4CF54785" w14:textId="77777777" w:rsidR="00075113" w:rsidRDefault="0007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KPMG Logos V0.92">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EF5D" w14:textId="77777777" w:rsidR="006F23FC" w:rsidRPr="00C37C41" w:rsidRDefault="006F23FC" w:rsidP="00C37C41">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8410" w14:textId="77777777" w:rsidR="006F23FC" w:rsidRPr="00C37C41" w:rsidRDefault="006F23FC" w:rsidP="00C37C41">
    <w:pPr>
      <w:pStyle w:val="Footer"/>
      <w:jc w:val="center"/>
      <w:rPr>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D5BA" w14:textId="77777777" w:rsidR="006F23FC" w:rsidRPr="00A354A0" w:rsidRDefault="00F03F6D" w:rsidP="003C041B">
    <w:pPr>
      <w:pStyle w:val="Footer"/>
      <w:tabs>
        <w:tab w:val="left" w:pos="3885"/>
        <w:tab w:val="center" w:pos="4995"/>
      </w:tabs>
      <w:jc w:val="center"/>
      <w:rPr>
        <w:rFonts w:cs="Arial"/>
        <w:sz w:val="18"/>
        <w:szCs w:val="18"/>
      </w:rPr>
    </w:pPr>
    <w:r w:rsidRPr="00F03F6D">
      <w:rPr>
        <w:rFonts w:cs="Arial"/>
        <w:sz w:val="18"/>
        <w:szCs w:val="18"/>
      </w:rPr>
      <w:fldChar w:fldCharType="begin"/>
    </w:r>
    <w:r w:rsidRPr="00F03F6D">
      <w:rPr>
        <w:rFonts w:cs="Arial"/>
        <w:sz w:val="18"/>
        <w:szCs w:val="18"/>
      </w:rPr>
      <w:instrText xml:space="preserve"> PAGE   \* MERGEFORMAT </w:instrText>
    </w:r>
    <w:r w:rsidRPr="00F03F6D">
      <w:rPr>
        <w:rFonts w:cs="Arial"/>
        <w:sz w:val="18"/>
        <w:szCs w:val="18"/>
      </w:rPr>
      <w:fldChar w:fldCharType="separate"/>
    </w:r>
    <w:r w:rsidRPr="00F03F6D">
      <w:rPr>
        <w:rFonts w:cs="Arial"/>
        <w:noProof/>
        <w:sz w:val="18"/>
        <w:szCs w:val="18"/>
      </w:rPr>
      <w:t>1</w:t>
    </w:r>
    <w:r w:rsidRPr="00F03F6D">
      <w:rPr>
        <w:rFonts w:cs="Arial"/>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8D62" w14:textId="77777777" w:rsidR="006F23FC" w:rsidRPr="00A354A0" w:rsidRDefault="006F23FC" w:rsidP="003C041B">
    <w:pPr>
      <w:pStyle w:val="Footer"/>
      <w:tabs>
        <w:tab w:val="left" w:pos="3885"/>
        <w:tab w:val="center" w:pos="4995"/>
      </w:tabs>
      <w:jc w:val="center"/>
      <w:rPr>
        <w:rFonts w:cs="Arial"/>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D090" w14:textId="77777777" w:rsidR="00075113" w:rsidRDefault="00075113">
      <w:r>
        <w:separator/>
      </w:r>
    </w:p>
  </w:footnote>
  <w:footnote w:type="continuationSeparator" w:id="0">
    <w:p w14:paraId="6588756A" w14:textId="77777777" w:rsidR="00075113" w:rsidRDefault="0007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1978" w14:textId="77777777" w:rsidR="00430BA6" w:rsidRDefault="00430B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8955" w14:textId="77777777" w:rsidR="00430BA6" w:rsidRDefault="00430B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6C29" w14:textId="77777777" w:rsidR="00430BA6" w:rsidRDefault="00430BA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8554" w14:textId="77777777" w:rsidR="00430BA6" w:rsidRDefault="00430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2E61" w14:textId="77777777" w:rsidR="00430BA6" w:rsidRDefault="00430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8E8F" w14:textId="77777777" w:rsidR="00430BA6" w:rsidRDefault="00430B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270B" w14:textId="77777777" w:rsidR="00430BA6" w:rsidRDefault="00430B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7598" w14:textId="77777777" w:rsidR="006F23FC" w:rsidRPr="00025129" w:rsidRDefault="006F23FC" w:rsidP="000251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3B34" w14:textId="77777777" w:rsidR="00430BA6" w:rsidRDefault="00430B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D888" w14:textId="77777777" w:rsidR="00430BA6" w:rsidRDefault="00430B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6FC9" w14:textId="77777777" w:rsidR="00430BA6" w:rsidRDefault="00430B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4022" w14:textId="77777777" w:rsidR="00430BA6" w:rsidRDefault="00430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ED08ED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3C256F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404"/>
    <w:multiLevelType w:val="multilevel"/>
    <w:tmpl w:val="00000887"/>
    <w:lvl w:ilvl="0">
      <w:numFmt w:val="bullet"/>
      <w:lvlText w:val=""/>
      <w:lvlJc w:val="left"/>
      <w:pPr>
        <w:ind w:left="821" w:hanging="361"/>
      </w:pPr>
      <w:rPr>
        <w:rFonts w:ascii="Symbol" w:hAnsi="Symbol" w:cs="Symbol"/>
        <w:b w:val="0"/>
        <w:bCs w:val="0"/>
        <w:i w:val="0"/>
        <w:iCs w:val="0"/>
        <w:spacing w:val="0"/>
        <w:w w:val="99"/>
        <w:sz w:val="20"/>
        <w:szCs w:val="20"/>
      </w:rPr>
    </w:lvl>
    <w:lvl w:ilvl="1">
      <w:numFmt w:val="bullet"/>
      <w:lvlText w:val="-"/>
      <w:lvlJc w:val="left"/>
      <w:pPr>
        <w:ind w:left="1181" w:hanging="360"/>
      </w:pPr>
      <w:rPr>
        <w:rFonts w:ascii="Arial" w:hAnsi="Arial" w:cs="Arial"/>
        <w:b w:val="0"/>
        <w:bCs w:val="0"/>
        <w:i w:val="0"/>
        <w:iCs w:val="0"/>
        <w:spacing w:val="0"/>
        <w:w w:val="99"/>
        <w:sz w:val="20"/>
        <w:szCs w:val="20"/>
      </w:rPr>
    </w:lvl>
    <w:lvl w:ilvl="2">
      <w:numFmt w:val="bullet"/>
      <w:lvlText w:val="•"/>
      <w:lvlJc w:val="left"/>
      <w:pPr>
        <w:ind w:left="2259" w:hanging="360"/>
      </w:pPr>
    </w:lvl>
    <w:lvl w:ilvl="3">
      <w:numFmt w:val="bullet"/>
      <w:lvlText w:val="•"/>
      <w:lvlJc w:val="left"/>
      <w:pPr>
        <w:ind w:left="3338" w:hanging="360"/>
      </w:pPr>
    </w:lvl>
    <w:lvl w:ilvl="4">
      <w:numFmt w:val="bullet"/>
      <w:lvlText w:val="•"/>
      <w:lvlJc w:val="left"/>
      <w:pPr>
        <w:ind w:left="4417" w:hanging="360"/>
      </w:pPr>
    </w:lvl>
    <w:lvl w:ilvl="5">
      <w:numFmt w:val="bullet"/>
      <w:lvlText w:val="•"/>
      <w:lvlJc w:val="left"/>
      <w:pPr>
        <w:ind w:left="5496" w:hanging="360"/>
      </w:pPr>
    </w:lvl>
    <w:lvl w:ilvl="6">
      <w:numFmt w:val="bullet"/>
      <w:lvlText w:val="•"/>
      <w:lvlJc w:val="left"/>
      <w:pPr>
        <w:ind w:left="6575" w:hanging="360"/>
      </w:pPr>
    </w:lvl>
    <w:lvl w:ilvl="7">
      <w:numFmt w:val="bullet"/>
      <w:lvlText w:val="•"/>
      <w:lvlJc w:val="left"/>
      <w:pPr>
        <w:ind w:left="7654" w:hanging="360"/>
      </w:pPr>
    </w:lvl>
    <w:lvl w:ilvl="8">
      <w:numFmt w:val="bullet"/>
      <w:lvlText w:val="•"/>
      <w:lvlJc w:val="left"/>
      <w:pPr>
        <w:ind w:left="8733" w:hanging="360"/>
      </w:pPr>
    </w:lvl>
  </w:abstractNum>
  <w:abstractNum w:abstractNumId="3" w15:restartNumberingAfterBreak="0">
    <w:nsid w:val="03E340C7"/>
    <w:multiLevelType w:val="hybridMultilevel"/>
    <w:tmpl w:val="F248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06DD4"/>
    <w:multiLevelType w:val="multilevel"/>
    <w:tmpl w:val="D374AFAA"/>
    <w:lvl w:ilvl="0">
      <w:start w:val="1"/>
      <w:numFmt w:val="bullet"/>
      <w:lvlText w:val=""/>
      <w:lvlJc w:val="left"/>
      <w:pPr>
        <w:ind w:left="821" w:hanging="361"/>
      </w:pPr>
      <w:rPr>
        <w:rFonts w:ascii="Symbol" w:hAnsi="Symbol" w:hint="default"/>
        <w:b w:val="0"/>
        <w:bCs w:val="0"/>
        <w:i w:val="0"/>
        <w:iCs w:val="0"/>
        <w:spacing w:val="0"/>
        <w:w w:val="99"/>
        <w:sz w:val="20"/>
        <w:szCs w:val="20"/>
      </w:rPr>
    </w:lvl>
    <w:lvl w:ilvl="1">
      <w:numFmt w:val="bullet"/>
      <w:lvlText w:val="-"/>
      <w:lvlJc w:val="left"/>
      <w:pPr>
        <w:ind w:left="1181" w:hanging="360"/>
      </w:pPr>
      <w:rPr>
        <w:rFonts w:ascii="Arial" w:hAnsi="Arial" w:cs="Arial"/>
        <w:b w:val="0"/>
        <w:bCs w:val="0"/>
        <w:i w:val="0"/>
        <w:iCs w:val="0"/>
        <w:spacing w:val="0"/>
        <w:w w:val="99"/>
        <w:sz w:val="20"/>
        <w:szCs w:val="20"/>
      </w:rPr>
    </w:lvl>
    <w:lvl w:ilvl="2">
      <w:numFmt w:val="bullet"/>
      <w:lvlText w:val="•"/>
      <w:lvlJc w:val="left"/>
      <w:pPr>
        <w:ind w:left="2259" w:hanging="360"/>
      </w:pPr>
    </w:lvl>
    <w:lvl w:ilvl="3">
      <w:numFmt w:val="bullet"/>
      <w:lvlText w:val="•"/>
      <w:lvlJc w:val="left"/>
      <w:pPr>
        <w:ind w:left="3338" w:hanging="360"/>
      </w:pPr>
    </w:lvl>
    <w:lvl w:ilvl="4">
      <w:numFmt w:val="bullet"/>
      <w:lvlText w:val="•"/>
      <w:lvlJc w:val="left"/>
      <w:pPr>
        <w:ind w:left="4417" w:hanging="360"/>
      </w:pPr>
    </w:lvl>
    <w:lvl w:ilvl="5">
      <w:numFmt w:val="bullet"/>
      <w:lvlText w:val="•"/>
      <w:lvlJc w:val="left"/>
      <w:pPr>
        <w:ind w:left="5496" w:hanging="360"/>
      </w:pPr>
    </w:lvl>
    <w:lvl w:ilvl="6">
      <w:numFmt w:val="bullet"/>
      <w:lvlText w:val="•"/>
      <w:lvlJc w:val="left"/>
      <w:pPr>
        <w:ind w:left="6575" w:hanging="360"/>
      </w:pPr>
    </w:lvl>
    <w:lvl w:ilvl="7">
      <w:numFmt w:val="bullet"/>
      <w:lvlText w:val="•"/>
      <w:lvlJc w:val="left"/>
      <w:pPr>
        <w:ind w:left="7654" w:hanging="360"/>
      </w:pPr>
    </w:lvl>
    <w:lvl w:ilvl="8">
      <w:numFmt w:val="bullet"/>
      <w:lvlText w:val="•"/>
      <w:lvlJc w:val="left"/>
      <w:pPr>
        <w:ind w:left="8733" w:hanging="360"/>
      </w:pPr>
    </w:lvl>
  </w:abstractNum>
  <w:abstractNum w:abstractNumId="5" w15:restartNumberingAfterBreak="0">
    <w:nsid w:val="07D412CE"/>
    <w:multiLevelType w:val="hybridMultilevel"/>
    <w:tmpl w:val="8ADA358A"/>
    <w:lvl w:ilvl="0" w:tplc="3F5E4DDE">
      <w:start w:val="2"/>
      <w:numFmt w:val="decimal"/>
      <w:pStyle w:val="ListBullet4"/>
      <w:lvlText w:val="%1."/>
      <w:lvlJc w:val="left"/>
      <w:pPr>
        <w:tabs>
          <w:tab w:val="num" w:pos="1209"/>
        </w:tabs>
        <w:ind w:left="1209" w:hanging="360"/>
      </w:pPr>
      <w:rPr>
        <w:rFonts w:hint="default"/>
        <w:b/>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9437D9D"/>
    <w:multiLevelType w:val="hybridMultilevel"/>
    <w:tmpl w:val="70CA57B4"/>
    <w:lvl w:ilvl="0" w:tplc="273A5494">
      <w:start w:val="24"/>
      <w:numFmt w:val="decimal"/>
      <w:lvlText w:val="%1."/>
      <w:lvlJc w:val="left"/>
      <w:pPr>
        <w:tabs>
          <w:tab w:val="num" w:pos="786"/>
        </w:tabs>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C64B17"/>
    <w:multiLevelType w:val="hybridMultilevel"/>
    <w:tmpl w:val="F846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1A749B"/>
    <w:multiLevelType w:val="multilevel"/>
    <w:tmpl w:val="22FECBB2"/>
    <w:lvl w:ilvl="0">
      <w:start w:val="1"/>
      <w:numFmt w:val="decimal"/>
      <w:pStyle w:val="ListNumber"/>
      <w:lvlText w:val="%1."/>
      <w:lvlJc w:val="left"/>
      <w:pPr>
        <w:tabs>
          <w:tab w:val="num" w:pos="567"/>
        </w:tabs>
        <w:ind w:left="567" w:hanging="56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0FD639D4"/>
    <w:multiLevelType w:val="hybridMultilevel"/>
    <w:tmpl w:val="A662728C"/>
    <w:lvl w:ilvl="0" w:tplc="657E0C64">
      <w:start w:val="1"/>
      <w:numFmt w:val="lowerRoman"/>
      <w:lvlText w:val="%1."/>
      <w:lvlJc w:val="left"/>
      <w:pPr>
        <w:tabs>
          <w:tab w:val="num" w:pos="1272"/>
        </w:tabs>
        <w:ind w:left="1272" w:hanging="570"/>
      </w:pPr>
      <w:rPr>
        <w:rFonts w:hint="default"/>
        <w:b w:val="0"/>
        <w:i w:val="0"/>
      </w:rPr>
    </w:lvl>
    <w:lvl w:ilvl="1" w:tplc="935CABBA">
      <w:start w:val="7"/>
      <w:numFmt w:val="bullet"/>
      <w:lvlText w:val="-"/>
      <w:lvlJc w:val="left"/>
      <w:pPr>
        <w:tabs>
          <w:tab w:val="num" w:pos="1440"/>
        </w:tabs>
        <w:ind w:left="1440" w:hanging="360"/>
      </w:pPr>
      <w:rPr>
        <w:rFonts w:ascii="Arial" w:eastAsia="Times New Roman" w:hAnsi="Arial" w:cs="Arial" w:hint="default"/>
      </w:rPr>
    </w:lvl>
    <w:lvl w:ilvl="2" w:tplc="A70E4D32">
      <w:start w:val="13"/>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0C757B5"/>
    <w:multiLevelType w:val="hybridMultilevel"/>
    <w:tmpl w:val="0BF86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1186B8A"/>
    <w:multiLevelType w:val="hybridMultilevel"/>
    <w:tmpl w:val="A9B86366"/>
    <w:lvl w:ilvl="0" w:tplc="B8C273D8">
      <w:start w:val="1"/>
      <w:numFmt w:val="decimal"/>
      <w:lvlText w:val="%1."/>
      <w:lvlJc w:val="left"/>
      <w:pPr>
        <w:ind w:left="1134" w:hanging="510"/>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2" w15:restartNumberingAfterBreak="0">
    <w:nsid w:val="11407980"/>
    <w:multiLevelType w:val="multilevel"/>
    <w:tmpl w:val="4140C57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3F97C7A"/>
    <w:multiLevelType w:val="hybridMultilevel"/>
    <w:tmpl w:val="1E8C4A1A"/>
    <w:lvl w:ilvl="0" w:tplc="96EC7C32">
      <w:start w:val="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161E372E"/>
    <w:multiLevelType w:val="hybridMultilevel"/>
    <w:tmpl w:val="ACB891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1915609C"/>
    <w:multiLevelType w:val="hybridMultilevel"/>
    <w:tmpl w:val="FA88E79A"/>
    <w:lvl w:ilvl="0" w:tplc="B3F8A602">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2B5E1744">
      <w:numFmt w:val="bullet"/>
      <w:lvlText w:val="-"/>
      <w:lvlJc w:val="left"/>
      <w:pPr>
        <w:ind w:left="1180" w:hanging="361"/>
      </w:pPr>
      <w:rPr>
        <w:rFonts w:ascii="Arial" w:eastAsia="Arial" w:hAnsi="Arial" w:cs="Arial" w:hint="default"/>
        <w:b w:val="0"/>
        <w:bCs w:val="0"/>
        <w:i w:val="0"/>
        <w:iCs w:val="0"/>
        <w:spacing w:val="0"/>
        <w:w w:val="99"/>
        <w:sz w:val="20"/>
        <w:szCs w:val="20"/>
        <w:lang w:val="en-US" w:eastAsia="en-US" w:bidi="ar-SA"/>
      </w:rPr>
    </w:lvl>
    <w:lvl w:ilvl="2" w:tplc="F692084C">
      <w:numFmt w:val="bullet"/>
      <w:lvlText w:val="•"/>
      <w:lvlJc w:val="left"/>
      <w:pPr>
        <w:ind w:left="2258" w:hanging="361"/>
      </w:pPr>
      <w:rPr>
        <w:rFonts w:hint="default"/>
        <w:lang w:val="en-US" w:eastAsia="en-US" w:bidi="ar-SA"/>
      </w:rPr>
    </w:lvl>
    <w:lvl w:ilvl="3" w:tplc="991E82AC">
      <w:numFmt w:val="bullet"/>
      <w:lvlText w:val="•"/>
      <w:lvlJc w:val="left"/>
      <w:pPr>
        <w:ind w:left="3336" w:hanging="361"/>
      </w:pPr>
      <w:rPr>
        <w:rFonts w:hint="default"/>
        <w:lang w:val="en-US" w:eastAsia="en-US" w:bidi="ar-SA"/>
      </w:rPr>
    </w:lvl>
    <w:lvl w:ilvl="4" w:tplc="96F0E102">
      <w:numFmt w:val="bullet"/>
      <w:lvlText w:val="•"/>
      <w:lvlJc w:val="left"/>
      <w:pPr>
        <w:ind w:left="4415" w:hanging="361"/>
      </w:pPr>
      <w:rPr>
        <w:rFonts w:hint="default"/>
        <w:lang w:val="en-US" w:eastAsia="en-US" w:bidi="ar-SA"/>
      </w:rPr>
    </w:lvl>
    <w:lvl w:ilvl="5" w:tplc="AF60A1B6">
      <w:numFmt w:val="bullet"/>
      <w:lvlText w:val="•"/>
      <w:lvlJc w:val="left"/>
      <w:pPr>
        <w:ind w:left="5493" w:hanging="361"/>
      </w:pPr>
      <w:rPr>
        <w:rFonts w:hint="default"/>
        <w:lang w:val="en-US" w:eastAsia="en-US" w:bidi="ar-SA"/>
      </w:rPr>
    </w:lvl>
    <w:lvl w:ilvl="6" w:tplc="2F30AC5A">
      <w:numFmt w:val="bullet"/>
      <w:lvlText w:val="•"/>
      <w:lvlJc w:val="left"/>
      <w:pPr>
        <w:ind w:left="6572" w:hanging="361"/>
      </w:pPr>
      <w:rPr>
        <w:rFonts w:hint="default"/>
        <w:lang w:val="en-US" w:eastAsia="en-US" w:bidi="ar-SA"/>
      </w:rPr>
    </w:lvl>
    <w:lvl w:ilvl="7" w:tplc="7708E0BE">
      <w:numFmt w:val="bullet"/>
      <w:lvlText w:val="•"/>
      <w:lvlJc w:val="left"/>
      <w:pPr>
        <w:ind w:left="7650" w:hanging="361"/>
      </w:pPr>
      <w:rPr>
        <w:rFonts w:hint="default"/>
        <w:lang w:val="en-US" w:eastAsia="en-US" w:bidi="ar-SA"/>
      </w:rPr>
    </w:lvl>
    <w:lvl w:ilvl="8" w:tplc="61205BEC">
      <w:numFmt w:val="bullet"/>
      <w:lvlText w:val="•"/>
      <w:lvlJc w:val="left"/>
      <w:pPr>
        <w:ind w:left="8729" w:hanging="361"/>
      </w:pPr>
      <w:rPr>
        <w:rFonts w:hint="default"/>
        <w:lang w:val="en-US" w:eastAsia="en-US" w:bidi="ar-SA"/>
      </w:rPr>
    </w:lvl>
  </w:abstractNum>
  <w:abstractNum w:abstractNumId="16" w15:restartNumberingAfterBreak="0">
    <w:nsid w:val="1D9B05D3"/>
    <w:multiLevelType w:val="hybridMultilevel"/>
    <w:tmpl w:val="5000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F1565F"/>
    <w:multiLevelType w:val="hybridMultilevel"/>
    <w:tmpl w:val="F6D6F6E4"/>
    <w:lvl w:ilvl="0" w:tplc="5184B9E0">
      <w:start w:val="1"/>
      <w:numFmt w:val="lowerRoman"/>
      <w:lvlText w:val="%1."/>
      <w:lvlJc w:val="right"/>
      <w:pPr>
        <w:ind w:left="2269" w:hanging="360"/>
      </w:pPr>
      <w:rPr>
        <w:i w:val="0"/>
      </w:rPr>
    </w:lvl>
    <w:lvl w:ilvl="1" w:tplc="08090019" w:tentative="1">
      <w:start w:val="1"/>
      <w:numFmt w:val="lowerLetter"/>
      <w:lvlText w:val="%2."/>
      <w:lvlJc w:val="left"/>
      <w:pPr>
        <w:ind w:left="2989" w:hanging="360"/>
      </w:pPr>
    </w:lvl>
    <w:lvl w:ilvl="2" w:tplc="0809001B" w:tentative="1">
      <w:start w:val="1"/>
      <w:numFmt w:val="lowerRoman"/>
      <w:lvlText w:val="%3."/>
      <w:lvlJc w:val="right"/>
      <w:pPr>
        <w:ind w:left="3709" w:hanging="180"/>
      </w:pPr>
    </w:lvl>
    <w:lvl w:ilvl="3" w:tplc="0809000F" w:tentative="1">
      <w:start w:val="1"/>
      <w:numFmt w:val="decimal"/>
      <w:lvlText w:val="%4."/>
      <w:lvlJc w:val="left"/>
      <w:pPr>
        <w:ind w:left="4429" w:hanging="360"/>
      </w:pPr>
    </w:lvl>
    <w:lvl w:ilvl="4" w:tplc="08090019" w:tentative="1">
      <w:start w:val="1"/>
      <w:numFmt w:val="lowerLetter"/>
      <w:lvlText w:val="%5."/>
      <w:lvlJc w:val="left"/>
      <w:pPr>
        <w:ind w:left="5149" w:hanging="360"/>
      </w:pPr>
    </w:lvl>
    <w:lvl w:ilvl="5" w:tplc="0809001B" w:tentative="1">
      <w:start w:val="1"/>
      <w:numFmt w:val="lowerRoman"/>
      <w:lvlText w:val="%6."/>
      <w:lvlJc w:val="right"/>
      <w:pPr>
        <w:ind w:left="5869" w:hanging="180"/>
      </w:pPr>
    </w:lvl>
    <w:lvl w:ilvl="6" w:tplc="0809000F" w:tentative="1">
      <w:start w:val="1"/>
      <w:numFmt w:val="decimal"/>
      <w:lvlText w:val="%7."/>
      <w:lvlJc w:val="left"/>
      <w:pPr>
        <w:ind w:left="6589" w:hanging="360"/>
      </w:pPr>
    </w:lvl>
    <w:lvl w:ilvl="7" w:tplc="08090019" w:tentative="1">
      <w:start w:val="1"/>
      <w:numFmt w:val="lowerLetter"/>
      <w:lvlText w:val="%8."/>
      <w:lvlJc w:val="left"/>
      <w:pPr>
        <w:ind w:left="7309" w:hanging="360"/>
      </w:pPr>
    </w:lvl>
    <w:lvl w:ilvl="8" w:tplc="0809001B" w:tentative="1">
      <w:start w:val="1"/>
      <w:numFmt w:val="lowerRoman"/>
      <w:lvlText w:val="%9."/>
      <w:lvlJc w:val="right"/>
      <w:pPr>
        <w:ind w:left="8029" w:hanging="180"/>
      </w:pPr>
    </w:lvl>
  </w:abstractNum>
  <w:abstractNum w:abstractNumId="18" w15:restartNumberingAfterBreak="0">
    <w:nsid w:val="216A2460"/>
    <w:multiLevelType w:val="hybridMultilevel"/>
    <w:tmpl w:val="3B00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9D1E9E"/>
    <w:multiLevelType w:val="hybridMultilevel"/>
    <w:tmpl w:val="ECC0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A64904"/>
    <w:multiLevelType w:val="hybridMultilevel"/>
    <w:tmpl w:val="A9B86366"/>
    <w:lvl w:ilvl="0" w:tplc="FFFFFFFF">
      <w:start w:val="1"/>
      <w:numFmt w:val="decimal"/>
      <w:lvlText w:val="%1."/>
      <w:lvlJc w:val="left"/>
      <w:pPr>
        <w:ind w:left="1134" w:hanging="510"/>
      </w:pPr>
      <w:rPr>
        <w:rFonts w:hint="default"/>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21" w15:restartNumberingAfterBreak="0">
    <w:nsid w:val="23F65A95"/>
    <w:multiLevelType w:val="hybridMultilevel"/>
    <w:tmpl w:val="8C6E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E5426B"/>
    <w:multiLevelType w:val="hybridMultilevel"/>
    <w:tmpl w:val="12D26FB8"/>
    <w:lvl w:ilvl="0" w:tplc="07C0C21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1D1188"/>
    <w:multiLevelType w:val="hybridMultilevel"/>
    <w:tmpl w:val="71CE7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690FAF"/>
    <w:multiLevelType w:val="hybridMultilevel"/>
    <w:tmpl w:val="F30C9C64"/>
    <w:lvl w:ilvl="0" w:tplc="08090019">
      <w:start w:val="2"/>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8AA33F1"/>
    <w:multiLevelType w:val="hybridMultilevel"/>
    <w:tmpl w:val="AFDE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5A15C3"/>
    <w:multiLevelType w:val="hybridMultilevel"/>
    <w:tmpl w:val="60B8D9B4"/>
    <w:lvl w:ilvl="0" w:tplc="69AC5FD8">
      <w:start w:val="1"/>
      <w:numFmt w:val="decimal"/>
      <w:lvlText w:val="%1."/>
      <w:lvlJc w:val="left"/>
      <w:pPr>
        <w:ind w:left="906" w:hanging="360"/>
      </w:pPr>
      <w:rPr>
        <w:rFonts w:hint="default"/>
        <w:b/>
      </w:rPr>
    </w:lvl>
    <w:lvl w:ilvl="1" w:tplc="08090019" w:tentative="1">
      <w:start w:val="1"/>
      <w:numFmt w:val="lowerLetter"/>
      <w:lvlText w:val="%2."/>
      <w:lvlJc w:val="left"/>
      <w:pPr>
        <w:ind w:left="1626" w:hanging="360"/>
      </w:pPr>
    </w:lvl>
    <w:lvl w:ilvl="2" w:tplc="0809001B" w:tentative="1">
      <w:start w:val="1"/>
      <w:numFmt w:val="lowerRoman"/>
      <w:lvlText w:val="%3."/>
      <w:lvlJc w:val="right"/>
      <w:pPr>
        <w:ind w:left="2346" w:hanging="180"/>
      </w:pPr>
    </w:lvl>
    <w:lvl w:ilvl="3" w:tplc="0809000F" w:tentative="1">
      <w:start w:val="1"/>
      <w:numFmt w:val="decimal"/>
      <w:lvlText w:val="%4."/>
      <w:lvlJc w:val="left"/>
      <w:pPr>
        <w:ind w:left="3066" w:hanging="360"/>
      </w:pPr>
    </w:lvl>
    <w:lvl w:ilvl="4" w:tplc="08090019" w:tentative="1">
      <w:start w:val="1"/>
      <w:numFmt w:val="lowerLetter"/>
      <w:lvlText w:val="%5."/>
      <w:lvlJc w:val="left"/>
      <w:pPr>
        <w:ind w:left="3786" w:hanging="360"/>
      </w:pPr>
    </w:lvl>
    <w:lvl w:ilvl="5" w:tplc="0809001B" w:tentative="1">
      <w:start w:val="1"/>
      <w:numFmt w:val="lowerRoman"/>
      <w:lvlText w:val="%6."/>
      <w:lvlJc w:val="right"/>
      <w:pPr>
        <w:ind w:left="4506" w:hanging="180"/>
      </w:pPr>
    </w:lvl>
    <w:lvl w:ilvl="6" w:tplc="0809000F" w:tentative="1">
      <w:start w:val="1"/>
      <w:numFmt w:val="decimal"/>
      <w:lvlText w:val="%7."/>
      <w:lvlJc w:val="left"/>
      <w:pPr>
        <w:ind w:left="5226" w:hanging="360"/>
      </w:pPr>
    </w:lvl>
    <w:lvl w:ilvl="7" w:tplc="08090019" w:tentative="1">
      <w:start w:val="1"/>
      <w:numFmt w:val="lowerLetter"/>
      <w:lvlText w:val="%8."/>
      <w:lvlJc w:val="left"/>
      <w:pPr>
        <w:ind w:left="5946" w:hanging="360"/>
      </w:pPr>
    </w:lvl>
    <w:lvl w:ilvl="8" w:tplc="0809001B" w:tentative="1">
      <w:start w:val="1"/>
      <w:numFmt w:val="lowerRoman"/>
      <w:lvlText w:val="%9."/>
      <w:lvlJc w:val="right"/>
      <w:pPr>
        <w:ind w:left="6666" w:hanging="180"/>
      </w:pPr>
    </w:lvl>
  </w:abstractNum>
  <w:abstractNum w:abstractNumId="27" w15:restartNumberingAfterBreak="0">
    <w:nsid w:val="2D0A1A60"/>
    <w:multiLevelType w:val="hybridMultilevel"/>
    <w:tmpl w:val="0C6E3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D8D39C4"/>
    <w:multiLevelType w:val="hybridMultilevel"/>
    <w:tmpl w:val="3270844A"/>
    <w:lvl w:ilvl="0" w:tplc="FFFFFFFF">
      <w:start w:val="10"/>
      <w:numFmt w:val="decimal"/>
      <w:lvlText w:val="%1."/>
      <w:lvlJc w:val="left"/>
      <w:pPr>
        <w:tabs>
          <w:tab w:val="num" w:pos="786"/>
        </w:tabs>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0541D1"/>
    <w:multiLevelType w:val="hybridMultilevel"/>
    <w:tmpl w:val="F516D422"/>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1E568E7"/>
    <w:multiLevelType w:val="hybridMultilevel"/>
    <w:tmpl w:val="DDD2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194184"/>
    <w:multiLevelType w:val="multilevel"/>
    <w:tmpl w:val="6D46ABD0"/>
    <w:lvl w:ilvl="0">
      <w:start w:val="1"/>
      <w:numFmt w:val="decimal"/>
      <w:pStyle w:val="ListNumber2"/>
      <w:lvlText w:val="%1."/>
      <w:lvlJc w:val="left"/>
      <w:pPr>
        <w:tabs>
          <w:tab w:val="num" w:pos="567"/>
        </w:tabs>
        <w:ind w:left="567" w:hanging="56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61D4421"/>
    <w:multiLevelType w:val="hybridMultilevel"/>
    <w:tmpl w:val="F48C4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5E1D6E"/>
    <w:multiLevelType w:val="multilevel"/>
    <w:tmpl w:val="4538C748"/>
    <w:lvl w:ilvl="0">
      <w:start w:val="1"/>
      <w:numFmt w:val="decimal"/>
      <w:pStyle w:val="ListNumber3"/>
      <w:lvlText w:val="%1."/>
      <w:lvlJc w:val="left"/>
      <w:pPr>
        <w:tabs>
          <w:tab w:val="num" w:pos="851"/>
        </w:tabs>
        <w:ind w:left="851" w:hanging="851"/>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8717883"/>
    <w:multiLevelType w:val="hybridMultilevel"/>
    <w:tmpl w:val="F516D422"/>
    <w:lvl w:ilvl="0" w:tplc="14F0919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DDA0BED"/>
    <w:multiLevelType w:val="singleLevel"/>
    <w:tmpl w:val="4C944B48"/>
    <w:lvl w:ilvl="0">
      <w:start w:val="1"/>
      <w:numFmt w:val="bullet"/>
      <w:pStyle w:val="ListBullet"/>
      <w:lvlText w:val=""/>
      <w:lvlJc w:val="left"/>
      <w:pPr>
        <w:tabs>
          <w:tab w:val="num" w:pos="567"/>
        </w:tabs>
        <w:ind w:left="567" w:hanging="567"/>
      </w:pPr>
      <w:rPr>
        <w:rFonts w:ascii="Symbol" w:hAnsi="Symbol" w:hint="default"/>
      </w:rPr>
    </w:lvl>
  </w:abstractNum>
  <w:abstractNum w:abstractNumId="36" w15:restartNumberingAfterBreak="0">
    <w:nsid w:val="3F590876"/>
    <w:multiLevelType w:val="hybridMultilevel"/>
    <w:tmpl w:val="C8D058FC"/>
    <w:lvl w:ilvl="0" w:tplc="62ACD9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472B23"/>
    <w:multiLevelType w:val="hybridMultilevel"/>
    <w:tmpl w:val="48FA0E18"/>
    <w:lvl w:ilvl="0" w:tplc="08090001">
      <w:start w:val="1"/>
      <w:numFmt w:val="bullet"/>
      <w:lvlText w:val=""/>
      <w:lvlJc w:val="left"/>
      <w:pPr>
        <w:tabs>
          <w:tab w:val="num" w:pos="1859"/>
        </w:tabs>
        <w:ind w:left="1859" w:hanging="360"/>
      </w:pPr>
      <w:rPr>
        <w:rFonts w:ascii="Symbol" w:hAnsi="Symbol" w:hint="default"/>
      </w:rPr>
    </w:lvl>
    <w:lvl w:ilvl="1" w:tplc="08090003" w:tentative="1">
      <w:start w:val="1"/>
      <w:numFmt w:val="bullet"/>
      <w:lvlText w:val="o"/>
      <w:lvlJc w:val="left"/>
      <w:pPr>
        <w:tabs>
          <w:tab w:val="num" w:pos="2579"/>
        </w:tabs>
        <w:ind w:left="2579" w:hanging="360"/>
      </w:pPr>
      <w:rPr>
        <w:rFonts w:ascii="Courier New" w:hAnsi="Courier New" w:cs="Courier New" w:hint="default"/>
      </w:rPr>
    </w:lvl>
    <w:lvl w:ilvl="2" w:tplc="08090005" w:tentative="1">
      <w:start w:val="1"/>
      <w:numFmt w:val="bullet"/>
      <w:lvlText w:val=""/>
      <w:lvlJc w:val="left"/>
      <w:pPr>
        <w:tabs>
          <w:tab w:val="num" w:pos="3299"/>
        </w:tabs>
        <w:ind w:left="3299" w:hanging="360"/>
      </w:pPr>
      <w:rPr>
        <w:rFonts w:ascii="Wingdings" w:hAnsi="Wingdings" w:hint="default"/>
      </w:rPr>
    </w:lvl>
    <w:lvl w:ilvl="3" w:tplc="08090001" w:tentative="1">
      <w:start w:val="1"/>
      <w:numFmt w:val="bullet"/>
      <w:lvlText w:val=""/>
      <w:lvlJc w:val="left"/>
      <w:pPr>
        <w:tabs>
          <w:tab w:val="num" w:pos="4019"/>
        </w:tabs>
        <w:ind w:left="4019" w:hanging="360"/>
      </w:pPr>
      <w:rPr>
        <w:rFonts w:ascii="Symbol" w:hAnsi="Symbol" w:hint="default"/>
      </w:rPr>
    </w:lvl>
    <w:lvl w:ilvl="4" w:tplc="08090003" w:tentative="1">
      <w:start w:val="1"/>
      <w:numFmt w:val="bullet"/>
      <w:lvlText w:val="o"/>
      <w:lvlJc w:val="left"/>
      <w:pPr>
        <w:tabs>
          <w:tab w:val="num" w:pos="4739"/>
        </w:tabs>
        <w:ind w:left="4739" w:hanging="360"/>
      </w:pPr>
      <w:rPr>
        <w:rFonts w:ascii="Courier New" w:hAnsi="Courier New" w:cs="Courier New" w:hint="default"/>
      </w:rPr>
    </w:lvl>
    <w:lvl w:ilvl="5" w:tplc="08090005" w:tentative="1">
      <w:start w:val="1"/>
      <w:numFmt w:val="bullet"/>
      <w:lvlText w:val=""/>
      <w:lvlJc w:val="left"/>
      <w:pPr>
        <w:tabs>
          <w:tab w:val="num" w:pos="5459"/>
        </w:tabs>
        <w:ind w:left="5459" w:hanging="360"/>
      </w:pPr>
      <w:rPr>
        <w:rFonts w:ascii="Wingdings" w:hAnsi="Wingdings" w:hint="default"/>
      </w:rPr>
    </w:lvl>
    <w:lvl w:ilvl="6" w:tplc="08090001" w:tentative="1">
      <w:start w:val="1"/>
      <w:numFmt w:val="bullet"/>
      <w:lvlText w:val=""/>
      <w:lvlJc w:val="left"/>
      <w:pPr>
        <w:tabs>
          <w:tab w:val="num" w:pos="6179"/>
        </w:tabs>
        <w:ind w:left="6179" w:hanging="360"/>
      </w:pPr>
      <w:rPr>
        <w:rFonts w:ascii="Symbol" w:hAnsi="Symbol" w:hint="default"/>
      </w:rPr>
    </w:lvl>
    <w:lvl w:ilvl="7" w:tplc="08090003" w:tentative="1">
      <w:start w:val="1"/>
      <w:numFmt w:val="bullet"/>
      <w:lvlText w:val="o"/>
      <w:lvlJc w:val="left"/>
      <w:pPr>
        <w:tabs>
          <w:tab w:val="num" w:pos="6899"/>
        </w:tabs>
        <w:ind w:left="6899" w:hanging="360"/>
      </w:pPr>
      <w:rPr>
        <w:rFonts w:ascii="Courier New" w:hAnsi="Courier New" w:cs="Courier New" w:hint="default"/>
      </w:rPr>
    </w:lvl>
    <w:lvl w:ilvl="8" w:tplc="08090005" w:tentative="1">
      <w:start w:val="1"/>
      <w:numFmt w:val="bullet"/>
      <w:lvlText w:val=""/>
      <w:lvlJc w:val="left"/>
      <w:pPr>
        <w:tabs>
          <w:tab w:val="num" w:pos="7619"/>
        </w:tabs>
        <w:ind w:left="7619" w:hanging="360"/>
      </w:pPr>
      <w:rPr>
        <w:rFonts w:ascii="Wingdings" w:hAnsi="Wingdings" w:hint="default"/>
      </w:rPr>
    </w:lvl>
  </w:abstractNum>
  <w:abstractNum w:abstractNumId="38" w15:restartNumberingAfterBreak="0">
    <w:nsid w:val="46D654DC"/>
    <w:multiLevelType w:val="hybridMultilevel"/>
    <w:tmpl w:val="6BAA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0E20AF"/>
    <w:multiLevelType w:val="hybridMultilevel"/>
    <w:tmpl w:val="0F44E610"/>
    <w:lvl w:ilvl="0" w:tplc="43601A90">
      <w:start w:val="1"/>
      <w:numFmt w:val="decimal"/>
      <w:lvlText w:val="%1."/>
      <w:lvlJc w:val="left"/>
      <w:pPr>
        <w:ind w:left="239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3460FC"/>
    <w:multiLevelType w:val="hybridMultilevel"/>
    <w:tmpl w:val="C2F0F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C81831"/>
    <w:multiLevelType w:val="hybridMultilevel"/>
    <w:tmpl w:val="A606B1EC"/>
    <w:lvl w:ilvl="0" w:tplc="473881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8454CF8"/>
    <w:multiLevelType w:val="multilevel"/>
    <w:tmpl w:val="00000887"/>
    <w:lvl w:ilvl="0">
      <w:numFmt w:val="bullet"/>
      <w:lvlText w:val=""/>
      <w:lvlJc w:val="left"/>
      <w:pPr>
        <w:ind w:left="821" w:hanging="361"/>
      </w:pPr>
      <w:rPr>
        <w:rFonts w:ascii="Symbol" w:hAnsi="Symbol" w:cs="Symbol"/>
        <w:b w:val="0"/>
        <w:bCs w:val="0"/>
        <w:i w:val="0"/>
        <w:iCs w:val="0"/>
        <w:spacing w:val="0"/>
        <w:w w:val="99"/>
        <w:sz w:val="20"/>
        <w:szCs w:val="20"/>
      </w:rPr>
    </w:lvl>
    <w:lvl w:ilvl="1">
      <w:numFmt w:val="bullet"/>
      <w:lvlText w:val="-"/>
      <w:lvlJc w:val="left"/>
      <w:pPr>
        <w:ind w:left="1181" w:hanging="360"/>
      </w:pPr>
      <w:rPr>
        <w:rFonts w:ascii="Arial" w:hAnsi="Arial" w:cs="Arial"/>
        <w:b w:val="0"/>
        <w:bCs w:val="0"/>
        <w:i w:val="0"/>
        <w:iCs w:val="0"/>
        <w:spacing w:val="0"/>
        <w:w w:val="99"/>
        <w:sz w:val="20"/>
        <w:szCs w:val="20"/>
      </w:rPr>
    </w:lvl>
    <w:lvl w:ilvl="2">
      <w:numFmt w:val="bullet"/>
      <w:lvlText w:val="•"/>
      <w:lvlJc w:val="left"/>
      <w:pPr>
        <w:ind w:left="2259" w:hanging="360"/>
      </w:pPr>
    </w:lvl>
    <w:lvl w:ilvl="3">
      <w:numFmt w:val="bullet"/>
      <w:lvlText w:val="•"/>
      <w:lvlJc w:val="left"/>
      <w:pPr>
        <w:ind w:left="3338" w:hanging="360"/>
      </w:pPr>
    </w:lvl>
    <w:lvl w:ilvl="4">
      <w:numFmt w:val="bullet"/>
      <w:lvlText w:val="•"/>
      <w:lvlJc w:val="left"/>
      <w:pPr>
        <w:ind w:left="4417" w:hanging="360"/>
      </w:pPr>
    </w:lvl>
    <w:lvl w:ilvl="5">
      <w:numFmt w:val="bullet"/>
      <w:lvlText w:val="•"/>
      <w:lvlJc w:val="left"/>
      <w:pPr>
        <w:ind w:left="5496" w:hanging="360"/>
      </w:pPr>
    </w:lvl>
    <w:lvl w:ilvl="6">
      <w:numFmt w:val="bullet"/>
      <w:lvlText w:val="•"/>
      <w:lvlJc w:val="left"/>
      <w:pPr>
        <w:ind w:left="6575" w:hanging="360"/>
      </w:pPr>
    </w:lvl>
    <w:lvl w:ilvl="7">
      <w:numFmt w:val="bullet"/>
      <w:lvlText w:val="•"/>
      <w:lvlJc w:val="left"/>
      <w:pPr>
        <w:ind w:left="7654" w:hanging="360"/>
      </w:pPr>
    </w:lvl>
    <w:lvl w:ilvl="8">
      <w:numFmt w:val="bullet"/>
      <w:lvlText w:val="•"/>
      <w:lvlJc w:val="left"/>
      <w:pPr>
        <w:ind w:left="8733" w:hanging="360"/>
      </w:pPr>
    </w:lvl>
  </w:abstractNum>
  <w:abstractNum w:abstractNumId="43" w15:restartNumberingAfterBreak="0">
    <w:nsid w:val="4F6C23A5"/>
    <w:multiLevelType w:val="singleLevel"/>
    <w:tmpl w:val="D204857C"/>
    <w:lvl w:ilvl="0">
      <w:start w:val="1"/>
      <w:numFmt w:val="bullet"/>
      <w:pStyle w:val="Dash2"/>
      <w:lvlText w:val=""/>
      <w:lvlJc w:val="left"/>
      <w:pPr>
        <w:tabs>
          <w:tab w:val="num" w:pos="567"/>
        </w:tabs>
        <w:ind w:left="567" w:hanging="567"/>
      </w:pPr>
      <w:rPr>
        <w:rFonts w:ascii="Symbol" w:hAnsi="Symbol" w:hint="default"/>
      </w:rPr>
    </w:lvl>
  </w:abstractNum>
  <w:abstractNum w:abstractNumId="44" w15:restartNumberingAfterBreak="0">
    <w:nsid w:val="51AD1AD4"/>
    <w:multiLevelType w:val="hybridMultilevel"/>
    <w:tmpl w:val="9834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DA56A6"/>
    <w:multiLevelType w:val="hybridMultilevel"/>
    <w:tmpl w:val="9CFE47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23B6A07"/>
    <w:multiLevelType w:val="hybridMultilevel"/>
    <w:tmpl w:val="F6549318"/>
    <w:lvl w:ilvl="0" w:tplc="258015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48541FC"/>
    <w:multiLevelType w:val="hybridMultilevel"/>
    <w:tmpl w:val="27ECED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15:restartNumberingAfterBreak="0">
    <w:nsid w:val="587550F5"/>
    <w:multiLevelType w:val="hybridMultilevel"/>
    <w:tmpl w:val="25F48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8D1FE2"/>
    <w:multiLevelType w:val="hybridMultilevel"/>
    <w:tmpl w:val="7BF6294C"/>
    <w:lvl w:ilvl="0" w:tplc="0F4AFCDA">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6000347B"/>
    <w:multiLevelType w:val="multilevel"/>
    <w:tmpl w:val="9146ABE6"/>
    <w:lvl w:ilvl="0">
      <w:start w:val="1"/>
      <w:numFmt w:val="decimal"/>
      <w:pStyle w:val="ListNumber4"/>
      <w:lvlText w:val="%1."/>
      <w:lvlJc w:val="left"/>
      <w:pPr>
        <w:tabs>
          <w:tab w:val="num" w:pos="851"/>
        </w:tabs>
        <w:ind w:left="851" w:hanging="851"/>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600B5688"/>
    <w:multiLevelType w:val="singleLevel"/>
    <w:tmpl w:val="DDBE5F56"/>
    <w:lvl w:ilvl="0">
      <w:start w:val="1"/>
      <w:numFmt w:val="bullet"/>
      <w:pStyle w:val="Dash1"/>
      <w:lvlText w:val=""/>
      <w:lvlJc w:val="left"/>
      <w:pPr>
        <w:tabs>
          <w:tab w:val="num" w:pos="709"/>
        </w:tabs>
        <w:ind w:left="709" w:hanging="567"/>
      </w:pPr>
      <w:rPr>
        <w:rFonts w:ascii="Symbol" w:hAnsi="Symbol" w:hint="default"/>
      </w:rPr>
    </w:lvl>
  </w:abstractNum>
  <w:abstractNum w:abstractNumId="52" w15:restartNumberingAfterBreak="0">
    <w:nsid w:val="698B3ACC"/>
    <w:multiLevelType w:val="hybridMultilevel"/>
    <w:tmpl w:val="AB403B70"/>
    <w:lvl w:ilvl="0" w:tplc="57EEBB6E">
      <w:start w:val="24"/>
      <w:numFmt w:val="decimal"/>
      <w:lvlText w:val="%1."/>
      <w:lvlJc w:val="left"/>
      <w:pPr>
        <w:tabs>
          <w:tab w:val="num" w:pos="786"/>
        </w:tabs>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E312C80"/>
    <w:multiLevelType w:val="multilevel"/>
    <w:tmpl w:val="583097FA"/>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6EAA375A"/>
    <w:multiLevelType w:val="hybridMultilevel"/>
    <w:tmpl w:val="751E69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72CE0732"/>
    <w:multiLevelType w:val="hybridMultilevel"/>
    <w:tmpl w:val="71BE2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3456656"/>
    <w:multiLevelType w:val="hybridMultilevel"/>
    <w:tmpl w:val="5E4A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7468F6"/>
    <w:multiLevelType w:val="hybridMultilevel"/>
    <w:tmpl w:val="086C80B6"/>
    <w:lvl w:ilvl="0" w:tplc="0C9C131A">
      <w:start w:val="10"/>
      <w:numFmt w:val="decimal"/>
      <w:lvlText w:val="%1."/>
      <w:lvlJc w:val="left"/>
      <w:pPr>
        <w:tabs>
          <w:tab w:val="num" w:pos="786"/>
        </w:tabs>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D2E1B93"/>
    <w:multiLevelType w:val="hybridMultilevel"/>
    <w:tmpl w:val="30520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E001899"/>
    <w:multiLevelType w:val="hybridMultilevel"/>
    <w:tmpl w:val="AE86C0B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025301">
    <w:abstractNumId w:val="53"/>
  </w:num>
  <w:num w:numId="2" w16cid:durableId="1014266677">
    <w:abstractNumId w:val="12"/>
  </w:num>
  <w:num w:numId="3" w16cid:durableId="1853910080">
    <w:abstractNumId w:val="31"/>
  </w:num>
  <w:num w:numId="4" w16cid:durableId="882445982">
    <w:abstractNumId w:val="33"/>
  </w:num>
  <w:num w:numId="5" w16cid:durableId="1952933553">
    <w:abstractNumId w:val="50"/>
  </w:num>
  <w:num w:numId="6" w16cid:durableId="1833447700">
    <w:abstractNumId w:val="51"/>
  </w:num>
  <w:num w:numId="7" w16cid:durableId="551500">
    <w:abstractNumId w:val="43"/>
  </w:num>
  <w:num w:numId="8" w16cid:durableId="632366233">
    <w:abstractNumId w:val="35"/>
  </w:num>
  <w:num w:numId="9" w16cid:durableId="1226603750">
    <w:abstractNumId w:val="8"/>
  </w:num>
  <w:num w:numId="10" w16cid:durableId="1324358312">
    <w:abstractNumId w:val="1"/>
  </w:num>
  <w:num w:numId="11" w16cid:durableId="1685324411">
    <w:abstractNumId w:val="0"/>
  </w:num>
  <w:num w:numId="12" w16cid:durableId="286358670">
    <w:abstractNumId w:val="37"/>
  </w:num>
  <w:num w:numId="13" w16cid:durableId="690036562">
    <w:abstractNumId w:val="9"/>
  </w:num>
  <w:num w:numId="14" w16cid:durableId="1326086225">
    <w:abstractNumId w:val="40"/>
  </w:num>
  <w:num w:numId="15" w16cid:durableId="2066485254">
    <w:abstractNumId w:val="45"/>
  </w:num>
  <w:num w:numId="16" w16cid:durableId="1954049987">
    <w:abstractNumId w:val="5"/>
  </w:num>
  <w:num w:numId="17" w16cid:durableId="1355688549">
    <w:abstractNumId w:val="26"/>
  </w:num>
  <w:num w:numId="18" w16cid:durableId="218790719">
    <w:abstractNumId w:val="11"/>
  </w:num>
  <w:num w:numId="19" w16cid:durableId="1282110273">
    <w:abstractNumId w:val="39"/>
  </w:num>
  <w:num w:numId="20" w16cid:durableId="1371296576">
    <w:abstractNumId w:val="34"/>
  </w:num>
  <w:num w:numId="21" w16cid:durableId="2006278127">
    <w:abstractNumId w:val="49"/>
  </w:num>
  <w:num w:numId="22" w16cid:durableId="615989920">
    <w:abstractNumId w:val="41"/>
  </w:num>
  <w:num w:numId="23" w16cid:durableId="1033579008">
    <w:abstractNumId w:val="17"/>
  </w:num>
  <w:num w:numId="24" w16cid:durableId="473986728">
    <w:abstractNumId w:val="18"/>
  </w:num>
  <w:num w:numId="25" w16cid:durableId="1578785366">
    <w:abstractNumId w:val="38"/>
  </w:num>
  <w:num w:numId="26" w16cid:durableId="1313409787">
    <w:abstractNumId w:val="27"/>
  </w:num>
  <w:num w:numId="27" w16cid:durableId="1953201649">
    <w:abstractNumId w:val="58"/>
  </w:num>
  <w:num w:numId="28" w16cid:durableId="1664695856">
    <w:abstractNumId w:val="55"/>
  </w:num>
  <w:num w:numId="29" w16cid:durableId="1778868886">
    <w:abstractNumId w:val="10"/>
  </w:num>
  <w:num w:numId="30" w16cid:durableId="262733866">
    <w:abstractNumId w:val="23"/>
  </w:num>
  <w:num w:numId="31" w16cid:durableId="1728723346">
    <w:abstractNumId w:val="2"/>
  </w:num>
  <w:num w:numId="32" w16cid:durableId="333538789">
    <w:abstractNumId w:val="19"/>
  </w:num>
  <w:num w:numId="33" w16cid:durableId="1349216153">
    <w:abstractNumId w:val="21"/>
  </w:num>
  <w:num w:numId="34" w16cid:durableId="370542193">
    <w:abstractNumId w:val="7"/>
  </w:num>
  <w:num w:numId="35" w16cid:durableId="1234973483">
    <w:abstractNumId w:val="47"/>
  </w:num>
  <w:num w:numId="36" w16cid:durableId="849492622">
    <w:abstractNumId w:val="14"/>
  </w:num>
  <w:num w:numId="37" w16cid:durableId="710304314">
    <w:abstractNumId w:val="54"/>
  </w:num>
  <w:num w:numId="38" w16cid:durableId="662051181">
    <w:abstractNumId w:val="46"/>
  </w:num>
  <w:num w:numId="39" w16cid:durableId="442504059">
    <w:abstractNumId w:val="57"/>
  </w:num>
  <w:num w:numId="40" w16cid:durableId="2010404330">
    <w:abstractNumId w:val="28"/>
  </w:num>
  <w:num w:numId="41" w16cid:durableId="1185754570">
    <w:abstractNumId w:val="6"/>
  </w:num>
  <w:num w:numId="42" w16cid:durableId="1436711341">
    <w:abstractNumId w:val="52"/>
  </w:num>
  <w:num w:numId="43" w16cid:durableId="1195340592">
    <w:abstractNumId w:val="24"/>
  </w:num>
  <w:num w:numId="44" w16cid:durableId="953319388">
    <w:abstractNumId w:val="59"/>
  </w:num>
  <w:num w:numId="45" w16cid:durableId="1983383089">
    <w:abstractNumId w:val="15"/>
  </w:num>
  <w:num w:numId="46" w16cid:durableId="1492022284">
    <w:abstractNumId w:val="20"/>
  </w:num>
  <w:num w:numId="47" w16cid:durableId="1313410070">
    <w:abstractNumId w:val="29"/>
  </w:num>
  <w:num w:numId="48" w16cid:durableId="1153450396">
    <w:abstractNumId w:val="13"/>
  </w:num>
  <w:num w:numId="49" w16cid:durableId="1005867517">
    <w:abstractNumId w:val="48"/>
  </w:num>
  <w:num w:numId="50" w16cid:durableId="567761529">
    <w:abstractNumId w:val="30"/>
  </w:num>
  <w:num w:numId="51" w16cid:durableId="518740266">
    <w:abstractNumId w:val="56"/>
  </w:num>
  <w:num w:numId="52" w16cid:durableId="1755711395">
    <w:abstractNumId w:val="16"/>
  </w:num>
  <w:num w:numId="53" w16cid:durableId="991326172">
    <w:abstractNumId w:val="25"/>
  </w:num>
  <w:num w:numId="54" w16cid:durableId="547958731">
    <w:abstractNumId w:val="32"/>
  </w:num>
  <w:num w:numId="55" w16cid:durableId="680202140">
    <w:abstractNumId w:val="42"/>
  </w:num>
  <w:num w:numId="56" w16cid:durableId="1108625182">
    <w:abstractNumId w:val="4"/>
  </w:num>
  <w:num w:numId="57" w16cid:durableId="354888753">
    <w:abstractNumId w:val="36"/>
  </w:num>
  <w:num w:numId="58" w16cid:durableId="437604059">
    <w:abstractNumId w:val="22"/>
  </w:num>
  <w:num w:numId="59" w16cid:durableId="1438402254">
    <w:abstractNumId w:val="3"/>
  </w:num>
  <w:num w:numId="60" w16cid:durableId="568688363">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78"/>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84"/>
    <w:rsid w:val="0000071B"/>
    <w:rsid w:val="00000CDE"/>
    <w:rsid w:val="00001C6A"/>
    <w:rsid w:val="000025CA"/>
    <w:rsid w:val="00002C01"/>
    <w:rsid w:val="000047E3"/>
    <w:rsid w:val="00005B49"/>
    <w:rsid w:val="000068C0"/>
    <w:rsid w:val="00006C5B"/>
    <w:rsid w:val="00006DBF"/>
    <w:rsid w:val="0000715B"/>
    <w:rsid w:val="000077E6"/>
    <w:rsid w:val="00010BC1"/>
    <w:rsid w:val="00010ED2"/>
    <w:rsid w:val="00011636"/>
    <w:rsid w:val="00011D13"/>
    <w:rsid w:val="00012057"/>
    <w:rsid w:val="00012ABA"/>
    <w:rsid w:val="00012D16"/>
    <w:rsid w:val="00013A47"/>
    <w:rsid w:val="00013A50"/>
    <w:rsid w:val="00013DEA"/>
    <w:rsid w:val="00013FBE"/>
    <w:rsid w:val="000144D0"/>
    <w:rsid w:val="00014F23"/>
    <w:rsid w:val="000150A4"/>
    <w:rsid w:val="00015151"/>
    <w:rsid w:val="00015437"/>
    <w:rsid w:val="000158A6"/>
    <w:rsid w:val="00015A40"/>
    <w:rsid w:val="00015BFA"/>
    <w:rsid w:val="0001631D"/>
    <w:rsid w:val="00016A61"/>
    <w:rsid w:val="00017174"/>
    <w:rsid w:val="00017316"/>
    <w:rsid w:val="0001769C"/>
    <w:rsid w:val="00017AED"/>
    <w:rsid w:val="00017B69"/>
    <w:rsid w:val="00020170"/>
    <w:rsid w:val="00020B22"/>
    <w:rsid w:val="00020D82"/>
    <w:rsid w:val="00020DEE"/>
    <w:rsid w:val="0002151F"/>
    <w:rsid w:val="00023762"/>
    <w:rsid w:val="00023835"/>
    <w:rsid w:val="00023B3F"/>
    <w:rsid w:val="000243ED"/>
    <w:rsid w:val="00024BB5"/>
    <w:rsid w:val="00024D78"/>
    <w:rsid w:val="00024F7C"/>
    <w:rsid w:val="000250E8"/>
    <w:rsid w:val="00025129"/>
    <w:rsid w:val="00025613"/>
    <w:rsid w:val="0002563E"/>
    <w:rsid w:val="000257CA"/>
    <w:rsid w:val="00025A82"/>
    <w:rsid w:val="000261AB"/>
    <w:rsid w:val="00026ABD"/>
    <w:rsid w:val="0002745B"/>
    <w:rsid w:val="00027C6B"/>
    <w:rsid w:val="00030670"/>
    <w:rsid w:val="00030D7D"/>
    <w:rsid w:val="000314CD"/>
    <w:rsid w:val="00031EA4"/>
    <w:rsid w:val="0003230D"/>
    <w:rsid w:val="00032CB5"/>
    <w:rsid w:val="00032ED7"/>
    <w:rsid w:val="00033413"/>
    <w:rsid w:val="0003353D"/>
    <w:rsid w:val="00034232"/>
    <w:rsid w:val="000343D5"/>
    <w:rsid w:val="000345BB"/>
    <w:rsid w:val="00034856"/>
    <w:rsid w:val="0003485C"/>
    <w:rsid w:val="000348EC"/>
    <w:rsid w:val="00034ED4"/>
    <w:rsid w:val="00034F93"/>
    <w:rsid w:val="00035412"/>
    <w:rsid w:val="00036094"/>
    <w:rsid w:val="000366F0"/>
    <w:rsid w:val="00036E6F"/>
    <w:rsid w:val="00036F85"/>
    <w:rsid w:val="00037D69"/>
    <w:rsid w:val="00040151"/>
    <w:rsid w:val="000410D9"/>
    <w:rsid w:val="00041253"/>
    <w:rsid w:val="00041697"/>
    <w:rsid w:val="00041B76"/>
    <w:rsid w:val="00042513"/>
    <w:rsid w:val="00042D96"/>
    <w:rsid w:val="00043337"/>
    <w:rsid w:val="00044530"/>
    <w:rsid w:val="0004456E"/>
    <w:rsid w:val="000448B8"/>
    <w:rsid w:val="00044A4C"/>
    <w:rsid w:val="00044C54"/>
    <w:rsid w:val="00044CE5"/>
    <w:rsid w:val="00044D0C"/>
    <w:rsid w:val="000455CD"/>
    <w:rsid w:val="0004567C"/>
    <w:rsid w:val="0004572B"/>
    <w:rsid w:val="00046228"/>
    <w:rsid w:val="0004648A"/>
    <w:rsid w:val="0004669A"/>
    <w:rsid w:val="0004669E"/>
    <w:rsid w:val="00046D78"/>
    <w:rsid w:val="00046F47"/>
    <w:rsid w:val="00047982"/>
    <w:rsid w:val="00047F1D"/>
    <w:rsid w:val="00050735"/>
    <w:rsid w:val="00050845"/>
    <w:rsid w:val="00052BE7"/>
    <w:rsid w:val="000531F8"/>
    <w:rsid w:val="00053351"/>
    <w:rsid w:val="000536EF"/>
    <w:rsid w:val="000543DB"/>
    <w:rsid w:val="00054B15"/>
    <w:rsid w:val="00054B20"/>
    <w:rsid w:val="00054C22"/>
    <w:rsid w:val="000552CD"/>
    <w:rsid w:val="00056972"/>
    <w:rsid w:val="00056BE1"/>
    <w:rsid w:val="00060C91"/>
    <w:rsid w:val="00061206"/>
    <w:rsid w:val="00061720"/>
    <w:rsid w:val="000624E9"/>
    <w:rsid w:val="0006259E"/>
    <w:rsid w:val="00062FFC"/>
    <w:rsid w:val="00063D0B"/>
    <w:rsid w:val="00064167"/>
    <w:rsid w:val="000648B1"/>
    <w:rsid w:val="0006506C"/>
    <w:rsid w:val="0006517D"/>
    <w:rsid w:val="00065638"/>
    <w:rsid w:val="0006577C"/>
    <w:rsid w:val="00065842"/>
    <w:rsid w:val="00065F4C"/>
    <w:rsid w:val="00066351"/>
    <w:rsid w:val="000677CF"/>
    <w:rsid w:val="00067ED1"/>
    <w:rsid w:val="000707B6"/>
    <w:rsid w:val="00070C96"/>
    <w:rsid w:val="000739F8"/>
    <w:rsid w:val="00073E10"/>
    <w:rsid w:val="00073E41"/>
    <w:rsid w:val="00073FE8"/>
    <w:rsid w:val="00074214"/>
    <w:rsid w:val="000748D7"/>
    <w:rsid w:val="00074DA6"/>
    <w:rsid w:val="00074F4E"/>
    <w:rsid w:val="00075113"/>
    <w:rsid w:val="000754D8"/>
    <w:rsid w:val="00075CD3"/>
    <w:rsid w:val="0007604D"/>
    <w:rsid w:val="0007629E"/>
    <w:rsid w:val="00076AA6"/>
    <w:rsid w:val="00076F06"/>
    <w:rsid w:val="00077748"/>
    <w:rsid w:val="000777E5"/>
    <w:rsid w:val="0007783D"/>
    <w:rsid w:val="00077AC5"/>
    <w:rsid w:val="00077B35"/>
    <w:rsid w:val="00077E74"/>
    <w:rsid w:val="00080192"/>
    <w:rsid w:val="000807B3"/>
    <w:rsid w:val="00080B20"/>
    <w:rsid w:val="00080CA9"/>
    <w:rsid w:val="00080F1F"/>
    <w:rsid w:val="00081E8D"/>
    <w:rsid w:val="0008250F"/>
    <w:rsid w:val="000826CA"/>
    <w:rsid w:val="000828DB"/>
    <w:rsid w:val="00083A50"/>
    <w:rsid w:val="000841B8"/>
    <w:rsid w:val="00084C06"/>
    <w:rsid w:val="000852C0"/>
    <w:rsid w:val="000862CD"/>
    <w:rsid w:val="00086CF9"/>
    <w:rsid w:val="000872A7"/>
    <w:rsid w:val="00087316"/>
    <w:rsid w:val="00087434"/>
    <w:rsid w:val="0008759F"/>
    <w:rsid w:val="000878CE"/>
    <w:rsid w:val="00087C27"/>
    <w:rsid w:val="00087DC7"/>
    <w:rsid w:val="00090F7B"/>
    <w:rsid w:val="000917DA"/>
    <w:rsid w:val="00091892"/>
    <w:rsid w:val="00092C40"/>
    <w:rsid w:val="0009320B"/>
    <w:rsid w:val="00093220"/>
    <w:rsid w:val="00093433"/>
    <w:rsid w:val="00093CAA"/>
    <w:rsid w:val="00094403"/>
    <w:rsid w:val="000944C4"/>
    <w:rsid w:val="00095062"/>
    <w:rsid w:val="00095ECA"/>
    <w:rsid w:val="00096E46"/>
    <w:rsid w:val="00097A70"/>
    <w:rsid w:val="00097EC2"/>
    <w:rsid w:val="000A0060"/>
    <w:rsid w:val="000A07AC"/>
    <w:rsid w:val="000A07AE"/>
    <w:rsid w:val="000A0A69"/>
    <w:rsid w:val="000A1337"/>
    <w:rsid w:val="000A1594"/>
    <w:rsid w:val="000A2F74"/>
    <w:rsid w:val="000A3180"/>
    <w:rsid w:val="000A3419"/>
    <w:rsid w:val="000A3D31"/>
    <w:rsid w:val="000A45BA"/>
    <w:rsid w:val="000A5878"/>
    <w:rsid w:val="000A5C71"/>
    <w:rsid w:val="000A6460"/>
    <w:rsid w:val="000A7363"/>
    <w:rsid w:val="000A7574"/>
    <w:rsid w:val="000A7B30"/>
    <w:rsid w:val="000B06F3"/>
    <w:rsid w:val="000B100A"/>
    <w:rsid w:val="000B115E"/>
    <w:rsid w:val="000B16F6"/>
    <w:rsid w:val="000B180C"/>
    <w:rsid w:val="000B1C1B"/>
    <w:rsid w:val="000B1D88"/>
    <w:rsid w:val="000B2109"/>
    <w:rsid w:val="000B2284"/>
    <w:rsid w:val="000B2536"/>
    <w:rsid w:val="000B30F5"/>
    <w:rsid w:val="000B355D"/>
    <w:rsid w:val="000B3773"/>
    <w:rsid w:val="000B3CC3"/>
    <w:rsid w:val="000B3DCD"/>
    <w:rsid w:val="000B412E"/>
    <w:rsid w:val="000B483F"/>
    <w:rsid w:val="000B4D21"/>
    <w:rsid w:val="000B686C"/>
    <w:rsid w:val="000B698D"/>
    <w:rsid w:val="000B6B2E"/>
    <w:rsid w:val="000B7005"/>
    <w:rsid w:val="000B7766"/>
    <w:rsid w:val="000C0B82"/>
    <w:rsid w:val="000C1541"/>
    <w:rsid w:val="000C1CBB"/>
    <w:rsid w:val="000C1EE0"/>
    <w:rsid w:val="000C1F5A"/>
    <w:rsid w:val="000C26A7"/>
    <w:rsid w:val="000C2FE3"/>
    <w:rsid w:val="000C3C85"/>
    <w:rsid w:val="000C440D"/>
    <w:rsid w:val="000C4BF1"/>
    <w:rsid w:val="000C5196"/>
    <w:rsid w:val="000C5AEA"/>
    <w:rsid w:val="000C5DEE"/>
    <w:rsid w:val="000C63D5"/>
    <w:rsid w:val="000C6A86"/>
    <w:rsid w:val="000C7697"/>
    <w:rsid w:val="000C7A58"/>
    <w:rsid w:val="000D0247"/>
    <w:rsid w:val="000D05C8"/>
    <w:rsid w:val="000D098E"/>
    <w:rsid w:val="000D0ABF"/>
    <w:rsid w:val="000D0B64"/>
    <w:rsid w:val="000D124C"/>
    <w:rsid w:val="000D23EA"/>
    <w:rsid w:val="000D2D9D"/>
    <w:rsid w:val="000D3315"/>
    <w:rsid w:val="000D34E0"/>
    <w:rsid w:val="000D35BC"/>
    <w:rsid w:val="000D4107"/>
    <w:rsid w:val="000D4732"/>
    <w:rsid w:val="000D49C8"/>
    <w:rsid w:val="000D508F"/>
    <w:rsid w:val="000D636F"/>
    <w:rsid w:val="000D6FBB"/>
    <w:rsid w:val="000D71C3"/>
    <w:rsid w:val="000D7699"/>
    <w:rsid w:val="000D77CC"/>
    <w:rsid w:val="000D79C2"/>
    <w:rsid w:val="000E01C4"/>
    <w:rsid w:val="000E13BE"/>
    <w:rsid w:val="000E1774"/>
    <w:rsid w:val="000E1B50"/>
    <w:rsid w:val="000E20B4"/>
    <w:rsid w:val="000E284E"/>
    <w:rsid w:val="000E2874"/>
    <w:rsid w:val="000E2B2D"/>
    <w:rsid w:val="000E2D71"/>
    <w:rsid w:val="000E2EB0"/>
    <w:rsid w:val="000E361D"/>
    <w:rsid w:val="000E3B73"/>
    <w:rsid w:val="000E3FBC"/>
    <w:rsid w:val="000E41FD"/>
    <w:rsid w:val="000E42F4"/>
    <w:rsid w:val="000E4F59"/>
    <w:rsid w:val="000E5149"/>
    <w:rsid w:val="000E5458"/>
    <w:rsid w:val="000E57B9"/>
    <w:rsid w:val="000E633E"/>
    <w:rsid w:val="000E64AD"/>
    <w:rsid w:val="000E73B6"/>
    <w:rsid w:val="000E7D6A"/>
    <w:rsid w:val="000F09C9"/>
    <w:rsid w:val="000F17E6"/>
    <w:rsid w:val="000F22D8"/>
    <w:rsid w:val="000F2F93"/>
    <w:rsid w:val="000F30C6"/>
    <w:rsid w:val="000F32A8"/>
    <w:rsid w:val="000F342A"/>
    <w:rsid w:val="000F3884"/>
    <w:rsid w:val="000F3BA1"/>
    <w:rsid w:val="000F4184"/>
    <w:rsid w:val="000F4240"/>
    <w:rsid w:val="000F45B8"/>
    <w:rsid w:val="000F4D24"/>
    <w:rsid w:val="000F4EDA"/>
    <w:rsid w:val="000F4FF3"/>
    <w:rsid w:val="000F51FA"/>
    <w:rsid w:val="000F5601"/>
    <w:rsid w:val="000F6102"/>
    <w:rsid w:val="000F62E7"/>
    <w:rsid w:val="000F76DC"/>
    <w:rsid w:val="001001A0"/>
    <w:rsid w:val="00101A78"/>
    <w:rsid w:val="00101EA2"/>
    <w:rsid w:val="0010202D"/>
    <w:rsid w:val="001026CD"/>
    <w:rsid w:val="00102915"/>
    <w:rsid w:val="00102B11"/>
    <w:rsid w:val="00102E4A"/>
    <w:rsid w:val="00103DF5"/>
    <w:rsid w:val="001042F2"/>
    <w:rsid w:val="001047E0"/>
    <w:rsid w:val="00105EDE"/>
    <w:rsid w:val="00106007"/>
    <w:rsid w:val="00106DBE"/>
    <w:rsid w:val="00107043"/>
    <w:rsid w:val="001073FE"/>
    <w:rsid w:val="0010797A"/>
    <w:rsid w:val="00107BB0"/>
    <w:rsid w:val="00107CF1"/>
    <w:rsid w:val="001104E6"/>
    <w:rsid w:val="00110B95"/>
    <w:rsid w:val="00110FEE"/>
    <w:rsid w:val="0011148E"/>
    <w:rsid w:val="001117BD"/>
    <w:rsid w:val="00111B8F"/>
    <w:rsid w:val="00111F09"/>
    <w:rsid w:val="00112F90"/>
    <w:rsid w:val="00113C3D"/>
    <w:rsid w:val="00113E02"/>
    <w:rsid w:val="001141E7"/>
    <w:rsid w:val="0011424F"/>
    <w:rsid w:val="001148BB"/>
    <w:rsid w:val="00114FFD"/>
    <w:rsid w:val="00115780"/>
    <w:rsid w:val="00115B89"/>
    <w:rsid w:val="00116232"/>
    <w:rsid w:val="00116361"/>
    <w:rsid w:val="00116758"/>
    <w:rsid w:val="0011740D"/>
    <w:rsid w:val="00117A3A"/>
    <w:rsid w:val="00117BAE"/>
    <w:rsid w:val="00117F6A"/>
    <w:rsid w:val="0012022B"/>
    <w:rsid w:val="0012097A"/>
    <w:rsid w:val="00122FB8"/>
    <w:rsid w:val="00123513"/>
    <w:rsid w:val="00123582"/>
    <w:rsid w:val="001238E4"/>
    <w:rsid w:val="001239AB"/>
    <w:rsid w:val="001239F3"/>
    <w:rsid w:val="00123B5A"/>
    <w:rsid w:val="00124B86"/>
    <w:rsid w:val="001265E9"/>
    <w:rsid w:val="0012689F"/>
    <w:rsid w:val="00126FF6"/>
    <w:rsid w:val="0012732E"/>
    <w:rsid w:val="00130546"/>
    <w:rsid w:val="001309F4"/>
    <w:rsid w:val="00130B31"/>
    <w:rsid w:val="00131738"/>
    <w:rsid w:val="0013190F"/>
    <w:rsid w:val="00131C27"/>
    <w:rsid w:val="001320BA"/>
    <w:rsid w:val="00132652"/>
    <w:rsid w:val="00132A27"/>
    <w:rsid w:val="00132C1D"/>
    <w:rsid w:val="00132DF6"/>
    <w:rsid w:val="00133768"/>
    <w:rsid w:val="00133DE8"/>
    <w:rsid w:val="001344CE"/>
    <w:rsid w:val="001348B8"/>
    <w:rsid w:val="00134B85"/>
    <w:rsid w:val="00134C5A"/>
    <w:rsid w:val="00134EC7"/>
    <w:rsid w:val="001357BA"/>
    <w:rsid w:val="0013592B"/>
    <w:rsid w:val="00136051"/>
    <w:rsid w:val="00136256"/>
    <w:rsid w:val="00137457"/>
    <w:rsid w:val="00137668"/>
    <w:rsid w:val="001404E8"/>
    <w:rsid w:val="00140742"/>
    <w:rsid w:val="00140BA7"/>
    <w:rsid w:val="00141558"/>
    <w:rsid w:val="001415D7"/>
    <w:rsid w:val="0014224D"/>
    <w:rsid w:val="00143141"/>
    <w:rsid w:val="001448C8"/>
    <w:rsid w:val="00145BD2"/>
    <w:rsid w:val="00145EB9"/>
    <w:rsid w:val="00145F31"/>
    <w:rsid w:val="00146182"/>
    <w:rsid w:val="00146250"/>
    <w:rsid w:val="00146D5A"/>
    <w:rsid w:val="00146E79"/>
    <w:rsid w:val="001474D8"/>
    <w:rsid w:val="0014783D"/>
    <w:rsid w:val="00147D7B"/>
    <w:rsid w:val="00147E6A"/>
    <w:rsid w:val="001503CB"/>
    <w:rsid w:val="001505F9"/>
    <w:rsid w:val="0015086A"/>
    <w:rsid w:val="00151B9D"/>
    <w:rsid w:val="0015236F"/>
    <w:rsid w:val="00152E73"/>
    <w:rsid w:val="00152EF4"/>
    <w:rsid w:val="0015315C"/>
    <w:rsid w:val="00153A8B"/>
    <w:rsid w:val="00153D27"/>
    <w:rsid w:val="00154022"/>
    <w:rsid w:val="001542D6"/>
    <w:rsid w:val="00154B24"/>
    <w:rsid w:val="00154D4B"/>
    <w:rsid w:val="00154E64"/>
    <w:rsid w:val="0015539B"/>
    <w:rsid w:val="00155A84"/>
    <w:rsid w:val="00156406"/>
    <w:rsid w:val="001566B0"/>
    <w:rsid w:val="00156773"/>
    <w:rsid w:val="00156C54"/>
    <w:rsid w:val="00156CC8"/>
    <w:rsid w:val="0015702B"/>
    <w:rsid w:val="00160161"/>
    <w:rsid w:val="001602B0"/>
    <w:rsid w:val="00160325"/>
    <w:rsid w:val="0016035E"/>
    <w:rsid w:val="001608B5"/>
    <w:rsid w:val="0016091D"/>
    <w:rsid w:val="001609F3"/>
    <w:rsid w:val="00160F71"/>
    <w:rsid w:val="001619F9"/>
    <w:rsid w:val="00161C7C"/>
    <w:rsid w:val="00161E39"/>
    <w:rsid w:val="00162532"/>
    <w:rsid w:val="00162684"/>
    <w:rsid w:val="001628BD"/>
    <w:rsid w:val="001628F6"/>
    <w:rsid w:val="00163125"/>
    <w:rsid w:val="00163556"/>
    <w:rsid w:val="00163CE4"/>
    <w:rsid w:val="0016457E"/>
    <w:rsid w:val="00165426"/>
    <w:rsid w:val="00165437"/>
    <w:rsid w:val="00165B61"/>
    <w:rsid w:val="00165F22"/>
    <w:rsid w:val="001660B2"/>
    <w:rsid w:val="001668BF"/>
    <w:rsid w:val="001670D7"/>
    <w:rsid w:val="00167711"/>
    <w:rsid w:val="00167BF2"/>
    <w:rsid w:val="00167F16"/>
    <w:rsid w:val="001700AC"/>
    <w:rsid w:val="0017031E"/>
    <w:rsid w:val="001703B7"/>
    <w:rsid w:val="00170692"/>
    <w:rsid w:val="00170CFC"/>
    <w:rsid w:val="00171062"/>
    <w:rsid w:val="0017125C"/>
    <w:rsid w:val="00171340"/>
    <w:rsid w:val="0017198E"/>
    <w:rsid w:val="001723BF"/>
    <w:rsid w:val="00172ACB"/>
    <w:rsid w:val="00172D70"/>
    <w:rsid w:val="00172FF1"/>
    <w:rsid w:val="0017339A"/>
    <w:rsid w:val="00173615"/>
    <w:rsid w:val="001753F8"/>
    <w:rsid w:val="00175443"/>
    <w:rsid w:val="00175E11"/>
    <w:rsid w:val="00176075"/>
    <w:rsid w:val="001764A2"/>
    <w:rsid w:val="001770C4"/>
    <w:rsid w:val="001777D0"/>
    <w:rsid w:val="00177F9D"/>
    <w:rsid w:val="00180385"/>
    <w:rsid w:val="0018043C"/>
    <w:rsid w:val="0018053E"/>
    <w:rsid w:val="00180880"/>
    <w:rsid w:val="00180D9E"/>
    <w:rsid w:val="00180E00"/>
    <w:rsid w:val="00183679"/>
    <w:rsid w:val="00183C88"/>
    <w:rsid w:val="00184169"/>
    <w:rsid w:val="00184597"/>
    <w:rsid w:val="0018475F"/>
    <w:rsid w:val="001848C4"/>
    <w:rsid w:val="00184E88"/>
    <w:rsid w:val="001851E0"/>
    <w:rsid w:val="001854EF"/>
    <w:rsid w:val="0018563C"/>
    <w:rsid w:val="00186620"/>
    <w:rsid w:val="001866D8"/>
    <w:rsid w:val="00186C2C"/>
    <w:rsid w:val="00186E19"/>
    <w:rsid w:val="0018749E"/>
    <w:rsid w:val="00187DA4"/>
    <w:rsid w:val="00187E05"/>
    <w:rsid w:val="00190111"/>
    <w:rsid w:val="00190A55"/>
    <w:rsid w:val="00191153"/>
    <w:rsid w:val="00191444"/>
    <w:rsid w:val="00191BAC"/>
    <w:rsid w:val="00191DA4"/>
    <w:rsid w:val="0019209D"/>
    <w:rsid w:val="001923E5"/>
    <w:rsid w:val="00192835"/>
    <w:rsid w:val="001929DF"/>
    <w:rsid w:val="00192B05"/>
    <w:rsid w:val="00193509"/>
    <w:rsid w:val="001936E5"/>
    <w:rsid w:val="00193789"/>
    <w:rsid w:val="00194570"/>
    <w:rsid w:val="00194721"/>
    <w:rsid w:val="00194B25"/>
    <w:rsid w:val="00194D41"/>
    <w:rsid w:val="00194FC7"/>
    <w:rsid w:val="001955A8"/>
    <w:rsid w:val="001956D6"/>
    <w:rsid w:val="001959E2"/>
    <w:rsid w:val="00195BAC"/>
    <w:rsid w:val="00195D34"/>
    <w:rsid w:val="001965B9"/>
    <w:rsid w:val="001969A7"/>
    <w:rsid w:val="00196B6C"/>
    <w:rsid w:val="00196EB3"/>
    <w:rsid w:val="00197362"/>
    <w:rsid w:val="00197584"/>
    <w:rsid w:val="001A0C8D"/>
    <w:rsid w:val="001A1109"/>
    <w:rsid w:val="001A1644"/>
    <w:rsid w:val="001A183A"/>
    <w:rsid w:val="001A2305"/>
    <w:rsid w:val="001A3ECA"/>
    <w:rsid w:val="001A4567"/>
    <w:rsid w:val="001A4A28"/>
    <w:rsid w:val="001A4E5C"/>
    <w:rsid w:val="001A5611"/>
    <w:rsid w:val="001A5C0D"/>
    <w:rsid w:val="001A5F26"/>
    <w:rsid w:val="001A675B"/>
    <w:rsid w:val="001A7139"/>
    <w:rsid w:val="001A7362"/>
    <w:rsid w:val="001B0AEB"/>
    <w:rsid w:val="001B1598"/>
    <w:rsid w:val="001B2650"/>
    <w:rsid w:val="001B283D"/>
    <w:rsid w:val="001B28EC"/>
    <w:rsid w:val="001B2E78"/>
    <w:rsid w:val="001B3415"/>
    <w:rsid w:val="001B35C0"/>
    <w:rsid w:val="001B3808"/>
    <w:rsid w:val="001B3812"/>
    <w:rsid w:val="001B3967"/>
    <w:rsid w:val="001B4942"/>
    <w:rsid w:val="001B54B6"/>
    <w:rsid w:val="001B5921"/>
    <w:rsid w:val="001B6559"/>
    <w:rsid w:val="001B680C"/>
    <w:rsid w:val="001B68B2"/>
    <w:rsid w:val="001B6D20"/>
    <w:rsid w:val="001B72A3"/>
    <w:rsid w:val="001B7922"/>
    <w:rsid w:val="001B7C95"/>
    <w:rsid w:val="001B7EFB"/>
    <w:rsid w:val="001C134C"/>
    <w:rsid w:val="001C195D"/>
    <w:rsid w:val="001C1ADF"/>
    <w:rsid w:val="001C1BB6"/>
    <w:rsid w:val="001C2095"/>
    <w:rsid w:val="001C2481"/>
    <w:rsid w:val="001C263C"/>
    <w:rsid w:val="001C297D"/>
    <w:rsid w:val="001C2AFD"/>
    <w:rsid w:val="001C2DE4"/>
    <w:rsid w:val="001C336E"/>
    <w:rsid w:val="001C3888"/>
    <w:rsid w:val="001C46B9"/>
    <w:rsid w:val="001C4CD9"/>
    <w:rsid w:val="001C53E1"/>
    <w:rsid w:val="001C577D"/>
    <w:rsid w:val="001C579F"/>
    <w:rsid w:val="001C6289"/>
    <w:rsid w:val="001C7483"/>
    <w:rsid w:val="001D0586"/>
    <w:rsid w:val="001D13D2"/>
    <w:rsid w:val="001D168F"/>
    <w:rsid w:val="001D1814"/>
    <w:rsid w:val="001D20F8"/>
    <w:rsid w:val="001D2383"/>
    <w:rsid w:val="001D255A"/>
    <w:rsid w:val="001D2599"/>
    <w:rsid w:val="001D2B4A"/>
    <w:rsid w:val="001D2BF8"/>
    <w:rsid w:val="001D2F49"/>
    <w:rsid w:val="001D3841"/>
    <w:rsid w:val="001D3CA3"/>
    <w:rsid w:val="001D44A5"/>
    <w:rsid w:val="001D499B"/>
    <w:rsid w:val="001D4FD3"/>
    <w:rsid w:val="001D530C"/>
    <w:rsid w:val="001D5A65"/>
    <w:rsid w:val="001D653C"/>
    <w:rsid w:val="001D7716"/>
    <w:rsid w:val="001E0740"/>
    <w:rsid w:val="001E0D70"/>
    <w:rsid w:val="001E0EF9"/>
    <w:rsid w:val="001E109C"/>
    <w:rsid w:val="001E1417"/>
    <w:rsid w:val="001E1E4E"/>
    <w:rsid w:val="001E2451"/>
    <w:rsid w:val="001E2588"/>
    <w:rsid w:val="001E25DB"/>
    <w:rsid w:val="001E330F"/>
    <w:rsid w:val="001E357F"/>
    <w:rsid w:val="001E363F"/>
    <w:rsid w:val="001E3B6E"/>
    <w:rsid w:val="001E3C40"/>
    <w:rsid w:val="001E3DC0"/>
    <w:rsid w:val="001E3E7E"/>
    <w:rsid w:val="001E4143"/>
    <w:rsid w:val="001E43DD"/>
    <w:rsid w:val="001E59E6"/>
    <w:rsid w:val="001E5ECD"/>
    <w:rsid w:val="001E61C3"/>
    <w:rsid w:val="001E620E"/>
    <w:rsid w:val="001E6281"/>
    <w:rsid w:val="001E62FF"/>
    <w:rsid w:val="001E667C"/>
    <w:rsid w:val="001E6A6E"/>
    <w:rsid w:val="001E6B34"/>
    <w:rsid w:val="001E6EF3"/>
    <w:rsid w:val="001E71EA"/>
    <w:rsid w:val="001E7D06"/>
    <w:rsid w:val="001E7D0C"/>
    <w:rsid w:val="001F0021"/>
    <w:rsid w:val="001F009B"/>
    <w:rsid w:val="001F023F"/>
    <w:rsid w:val="001F03AF"/>
    <w:rsid w:val="001F04C2"/>
    <w:rsid w:val="001F0797"/>
    <w:rsid w:val="001F0F77"/>
    <w:rsid w:val="001F12C0"/>
    <w:rsid w:val="001F1550"/>
    <w:rsid w:val="001F1B1A"/>
    <w:rsid w:val="001F1E49"/>
    <w:rsid w:val="001F2006"/>
    <w:rsid w:val="001F464A"/>
    <w:rsid w:val="001F493B"/>
    <w:rsid w:val="001F567D"/>
    <w:rsid w:val="001F5D0F"/>
    <w:rsid w:val="001F5EA3"/>
    <w:rsid w:val="001F60C1"/>
    <w:rsid w:val="001F6634"/>
    <w:rsid w:val="001F68C1"/>
    <w:rsid w:val="001F70DA"/>
    <w:rsid w:val="001F7118"/>
    <w:rsid w:val="001F7825"/>
    <w:rsid w:val="001F7C5C"/>
    <w:rsid w:val="00200AC7"/>
    <w:rsid w:val="0020100F"/>
    <w:rsid w:val="002018FB"/>
    <w:rsid w:val="00201A20"/>
    <w:rsid w:val="00201A4D"/>
    <w:rsid w:val="00201C68"/>
    <w:rsid w:val="00203331"/>
    <w:rsid w:val="00204143"/>
    <w:rsid w:val="00204251"/>
    <w:rsid w:val="00204401"/>
    <w:rsid w:val="00204947"/>
    <w:rsid w:val="00204F6A"/>
    <w:rsid w:val="00205224"/>
    <w:rsid w:val="002053E9"/>
    <w:rsid w:val="002059D4"/>
    <w:rsid w:val="002067D3"/>
    <w:rsid w:val="00206954"/>
    <w:rsid w:val="00206F19"/>
    <w:rsid w:val="0020730F"/>
    <w:rsid w:val="00207A56"/>
    <w:rsid w:val="00210E52"/>
    <w:rsid w:val="0021105E"/>
    <w:rsid w:val="00211274"/>
    <w:rsid w:val="00211D53"/>
    <w:rsid w:val="00211D84"/>
    <w:rsid w:val="002120EF"/>
    <w:rsid w:val="00213274"/>
    <w:rsid w:val="002139E2"/>
    <w:rsid w:val="00213B9E"/>
    <w:rsid w:val="00213D48"/>
    <w:rsid w:val="002158C8"/>
    <w:rsid w:val="0021702E"/>
    <w:rsid w:val="00217D0F"/>
    <w:rsid w:val="002200A8"/>
    <w:rsid w:val="00220718"/>
    <w:rsid w:val="00221D94"/>
    <w:rsid w:val="00221EF2"/>
    <w:rsid w:val="00221FB9"/>
    <w:rsid w:val="002221EA"/>
    <w:rsid w:val="00222447"/>
    <w:rsid w:val="002226B4"/>
    <w:rsid w:val="00222B70"/>
    <w:rsid w:val="0022359F"/>
    <w:rsid w:val="002238BB"/>
    <w:rsid w:val="00223A57"/>
    <w:rsid w:val="00223D86"/>
    <w:rsid w:val="00223DDE"/>
    <w:rsid w:val="00223EED"/>
    <w:rsid w:val="00224ABC"/>
    <w:rsid w:val="00224B26"/>
    <w:rsid w:val="00225186"/>
    <w:rsid w:val="00225A52"/>
    <w:rsid w:val="002266DA"/>
    <w:rsid w:val="0022678E"/>
    <w:rsid w:val="00226E24"/>
    <w:rsid w:val="00226F37"/>
    <w:rsid w:val="00227005"/>
    <w:rsid w:val="002303A4"/>
    <w:rsid w:val="00230E5A"/>
    <w:rsid w:val="002312F1"/>
    <w:rsid w:val="0023144A"/>
    <w:rsid w:val="00231C2A"/>
    <w:rsid w:val="00233B0B"/>
    <w:rsid w:val="00233B89"/>
    <w:rsid w:val="00233C95"/>
    <w:rsid w:val="0023404B"/>
    <w:rsid w:val="00234251"/>
    <w:rsid w:val="002346A5"/>
    <w:rsid w:val="00234B33"/>
    <w:rsid w:val="00234F3C"/>
    <w:rsid w:val="00235075"/>
    <w:rsid w:val="00235A84"/>
    <w:rsid w:val="00235DAA"/>
    <w:rsid w:val="00236080"/>
    <w:rsid w:val="002375E1"/>
    <w:rsid w:val="0023782B"/>
    <w:rsid w:val="00237B88"/>
    <w:rsid w:val="002407F4"/>
    <w:rsid w:val="00240909"/>
    <w:rsid w:val="002409AF"/>
    <w:rsid w:val="0024130C"/>
    <w:rsid w:val="00242112"/>
    <w:rsid w:val="002429F9"/>
    <w:rsid w:val="00242A37"/>
    <w:rsid w:val="002432F0"/>
    <w:rsid w:val="00243AD4"/>
    <w:rsid w:val="0024419E"/>
    <w:rsid w:val="00244B0F"/>
    <w:rsid w:val="00244BE7"/>
    <w:rsid w:val="00244DED"/>
    <w:rsid w:val="00244E9D"/>
    <w:rsid w:val="00245C38"/>
    <w:rsid w:val="00246AB9"/>
    <w:rsid w:val="00247047"/>
    <w:rsid w:val="002478F7"/>
    <w:rsid w:val="00247D89"/>
    <w:rsid w:val="00250049"/>
    <w:rsid w:val="00250474"/>
    <w:rsid w:val="00250A62"/>
    <w:rsid w:val="00250F10"/>
    <w:rsid w:val="00251979"/>
    <w:rsid w:val="002519A5"/>
    <w:rsid w:val="00251BB0"/>
    <w:rsid w:val="00251D7E"/>
    <w:rsid w:val="00251F46"/>
    <w:rsid w:val="00251FDA"/>
    <w:rsid w:val="00252446"/>
    <w:rsid w:val="002524BA"/>
    <w:rsid w:val="0025317F"/>
    <w:rsid w:val="002534E0"/>
    <w:rsid w:val="00253FA1"/>
    <w:rsid w:val="0025409F"/>
    <w:rsid w:val="002541B5"/>
    <w:rsid w:val="00254339"/>
    <w:rsid w:val="002544E7"/>
    <w:rsid w:val="00254E51"/>
    <w:rsid w:val="00255188"/>
    <w:rsid w:val="002557C1"/>
    <w:rsid w:val="00255E8A"/>
    <w:rsid w:val="0025703D"/>
    <w:rsid w:val="002573F5"/>
    <w:rsid w:val="00257507"/>
    <w:rsid w:val="002576A6"/>
    <w:rsid w:val="0025780D"/>
    <w:rsid w:val="00257C55"/>
    <w:rsid w:val="00260366"/>
    <w:rsid w:val="00260593"/>
    <w:rsid w:val="002615BB"/>
    <w:rsid w:val="00261CA6"/>
    <w:rsid w:val="00261F0D"/>
    <w:rsid w:val="00262257"/>
    <w:rsid w:val="0026277B"/>
    <w:rsid w:val="00262B48"/>
    <w:rsid w:val="00262EF7"/>
    <w:rsid w:val="002637E0"/>
    <w:rsid w:val="00263AA9"/>
    <w:rsid w:val="00263BA4"/>
    <w:rsid w:val="002645B9"/>
    <w:rsid w:val="00264AC5"/>
    <w:rsid w:val="00264D5E"/>
    <w:rsid w:val="00264E84"/>
    <w:rsid w:val="002653E7"/>
    <w:rsid w:val="00265428"/>
    <w:rsid w:val="00265508"/>
    <w:rsid w:val="0026566D"/>
    <w:rsid w:val="00265BEB"/>
    <w:rsid w:val="0026603F"/>
    <w:rsid w:val="0026667D"/>
    <w:rsid w:val="00266967"/>
    <w:rsid w:val="00266F64"/>
    <w:rsid w:val="002673E2"/>
    <w:rsid w:val="002673FD"/>
    <w:rsid w:val="0026787D"/>
    <w:rsid w:val="00270CDD"/>
    <w:rsid w:val="00270D25"/>
    <w:rsid w:val="00270D49"/>
    <w:rsid w:val="002712DA"/>
    <w:rsid w:val="00271408"/>
    <w:rsid w:val="00271A03"/>
    <w:rsid w:val="00271F3E"/>
    <w:rsid w:val="0027260D"/>
    <w:rsid w:val="00273736"/>
    <w:rsid w:val="0027391A"/>
    <w:rsid w:val="00273A13"/>
    <w:rsid w:val="00273A9A"/>
    <w:rsid w:val="0027418C"/>
    <w:rsid w:val="00274A95"/>
    <w:rsid w:val="00275E74"/>
    <w:rsid w:val="00275FA2"/>
    <w:rsid w:val="00276264"/>
    <w:rsid w:val="002769DD"/>
    <w:rsid w:val="00276BD4"/>
    <w:rsid w:val="002771BC"/>
    <w:rsid w:val="002776ED"/>
    <w:rsid w:val="002778F4"/>
    <w:rsid w:val="002804FC"/>
    <w:rsid w:val="00280580"/>
    <w:rsid w:val="0028152A"/>
    <w:rsid w:val="0028162D"/>
    <w:rsid w:val="00281EEB"/>
    <w:rsid w:val="00282003"/>
    <w:rsid w:val="0028222F"/>
    <w:rsid w:val="002824DC"/>
    <w:rsid w:val="0028288C"/>
    <w:rsid w:val="00282AA1"/>
    <w:rsid w:val="00283441"/>
    <w:rsid w:val="0028376F"/>
    <w:rsid w:val="00283980"/>
    <w:rsid w:val="00283BA4"/>
    <w:rsid w:val="00286542"/>
    <w:rsid w:val="00286A54"/>
    <w:rsid w:val="00286A58"/>
    <w:rsid w:val="00286B89"/>
    <w:rsid w:val="00286C25"/>
    <w:rsid w:val="00286DA1"/>
    <w:rsid w:val="00286F8C"/>
    <w:rsid w:val="00287069"/>
    <w:rsid w:val="0028718A"/>
    <w:rsid w:val="002878E6"/>
    <w:rsid w:val="002901D7"/>
    <w:rsid w:val="00290700"/>
    <w:rsid w:val="0029082B"/>
    <w:rsid w:val="0029125F"/>
    <w:rsid w:val="00291C0C"/>
    <w:rsid w:val="00292E14"/>
    <w:rsid w:val="002935EC"/>
    <w:rsid w:val="00293A0B"/>
    <w:rsid w:val="0029451D"/>
    <w:rsid w:val="0029475B"/>
    <w:rsid w:val="00294A47"/>
    <w:rsid w:val="00295F51"/>
    <w:rsid w:val="00296040"/>
    <w:rsid w:val="00296266"/>
    <w:rsid w:val="0029644C"/>
    <w:rsid w:val="0029646A"/>
    <w:rsid w:val="00297A58"/>
    <w:rsid w:val="002A083C"/>
    <w:rsid w:val="002A09CE"/>
    <w:rsid w:val="002A0BAA"/>
    <w:rsid w:val="002A126A"/>
    <w:rsid w:val="002A16B6"/>
    <w:rsid w:val="002A174A"/>
    <w:rsid w:val="002A24FA"/>
    <w:rsid w:val="002A3029"/>
    <w:rsid w:val="002A32EE"/>
    <w:rsid w:val="002A3CF2"/>
    <w:rsid w:val="002A3F92"/>
    <w:rsid w:val="002A3FA8"/>
    <w:rsid w:val="002A4AD4"/>
    <w:rsid w:val="002A4B2E"/>
    <w:rsid w:val="002A4C37"/>
    <w:rsid w:val="002A4CCB"/>
    <w:rsid w:val="002A5202"/>
    <w:rsid w:val="002A574C"/>
    <w:rsid w:val="002A5C0E"/>
    <w:rsid w:val="002A5CDA"/>
    <w:rsid w:val="002A66CF"/>
    <w:rsid w:val="002A6B26"/>
    <w:rsid w:val="002A7B57"/>
    <w:rsid w:val="002B04F6"/>
    <w:rsid w:val="002B0635"/>
    <w:rsid w:val="002B071E"/>
    <w:rsid w:val="002B13AD"/>
    <w:rsid w:val="002B1444"/>
    <w:rsid w:val="002B20DD"/>
    <w:rsid w:val="002B21C0"/>
    <w:rsid w:val="002B2CB0"/>
    <w:rsid w:val="002B3886"/>
    <w:rsid w:val="002B4044"/>
    <w:rsid w:val="002B4118"/>
    <w:rsid w:val="002B4948"/>
    <w:rsid w:val="002B551C"/>
    <w:rsid w:val="002B5BA6"/>
    <w:rsid w:val="002B6DE4"/>
    <w:rsid w:val="002B71A3"/>
    <w:rsid w:val="002B7AFE"/>
    <w:rsid w:val="002C0037"/>
    <w:rsid w:val="002C03A9"/>
    <w:rsid w:val="002C03EE"/>
    <w:rsid w:val="002C0D15"/>
    <w:rsid w:val="002C1AF8"/>
    <w:rsid w:val="002C1C9A"/>
    <w:rsid w:val="002C1D71"/>
    <w:rsid w:val="002C210F"/>
    <w:rsid w:val="002C283D"/>
    <w:rsid w:val="002C2927"/>
    <w:rsid w:val="002C3580"/>
    <w:rsid w:val="002C363C"/>
    <w:rsid w:val="002C3879"/>
    <w:rsid w:val="002C3F01"/>
    <w:rsid w:val="002C4275"/>
    <w:rsid w:val="002C45BC"/>
    <w:rsid w:val="002C4D3E"/>
    <w:rsid w:val="002C4EAC"/>
    <w:rsid w:val="002C5260"/>
    <w:rsid w:val="002C53C9"/>
    <w:rsid w:val="002C59F0"/>
    <w:rsid w:val="002C6BC4"/>
    <w:rsid w:val="002C6DF0"/>
    <w:rsid w:val="002C74D9"/>
    <w:rsid w:val="002C760D"/>
    <w:rsid w:val="002C76BB"/>
    <w:rsid w:val="002C7DED"/>
    <w:rsid w:val="002C7FF2"/>
    <w:rsid w:val="002D0344"/>
    <w:rsid w:val="002D03D7"/>
    <w:rsid w:val="002D0A06"/>
    <w:rsid w:val="002D0BD0"/>
    <w:rsid w:val="002D1A30"/>
    <w:rsid w:val="002D204E"/>
    <w:rsid w:val="002D2081"/>
    <w:rsid w:val="002D22AF"/>
    <w:rsid w:val="002D2522"/>
    <w:rsid w:val="002D2541"/>
    <w:rsid w:val="002D29D5"/>
    <w:rsid w:val="002D3B99"/>
    <w:rsid w:val="002D3CB5"/>
    <w:rsid w:val="002D3D15"/>
    <w:rsid w:val="002D4A70"/>
    <w:rsid w:val="002D51C6"/>
    <w:rsid w:val="002D53D9"/>
    <w:rsid w:val="002D54D6"/>
    <w:rsid w:val="002D6212"/>
    <w:rsid w:val="002D6245"/>
    <w:rsid w:val="002D63C7"/>
    <w:rsid w:val="002D68EE"/>
    <w:rsid w:val="002D6C57"/>
    <w:rsid w:val="002D6CDF"/>
    <w:rsid w:val="002D70E3"/>
    <w:rsid w:val="002D78EB"/>
    <w:rsid w:val="002D7B9C"/>
    <w:rsid w:val="002E0727"/>
    <w:rsid w:val="002E0AF1"/>
    <w:rsid w:val="002E1069"/>
    <w:rsid w:val="002E155E"/>
    <w:rsid w:val="002E202E"/>
    <w:rsid w:val="002E2352"/>
    <w:rsid w:val="002E28B9"/>
    <w:rsid w:val="002E28F2"/>
    <w:rsid w:val="002E2DBA"/>
    <w:rsid w:val="002E3999"/>
    <w:rsid w:val="002E39A1"/>
    <w:rsid w:val="002E42CC"/>
    <w:rsid w:val="002E5142"/>
    <w:rsid w:val="002E51CF"/>
    <w:rsid w:val="002E5A52"/>
    <w:rsid w:val="002E61B9"/>
    <w:rsid w:val="002E6436"/>
    <w:rsid w:val="002E688C"/>
    <w:rsid w:val="002E6C55"/>
    <w:rsid w:val="002E6E3A"/>
    <w:rsid w:val="002E7816"/>
    <w:rsid w:val="002E7C9E"/>
    <w:rsid w:val="002F0545"/>
    <w:rsid w:val="002F06E2"/>
    <w:rsid w:val="002F13B6"/>
    <w:rsid w:val="002F13D0"/>
    <w:rsid w:val="002F17F5"/>
    <w:rsid w:val="002F1931"/>
    <w:rsid w:val="002F1A84"/>
    <w:rsid w:val="002F2370"/>
    <w:rsid w:val="002F2BD6"/>
    <w:rsid w:val="002F30DB"/>
    <w:rsid w:val="002F3A6B"/>
    <w:rsid w:val="002F3D02"/>
    <w:rsid w:val="002F4360"/>
    <w:rsid w:val="002F4C28"/>
    <w:rsid w:val="002F5198"/>
    <w:rsid w:val="002F5580"/>
    <w:rsid w:val="002F5A1D"/>
    <w:rsid w:val="002F70B7"/>
    <w:rsid w:val="002F7227"/>
    <w:rsid w:val="003001B2"/>
    <w:rsid w:val="00300345"/>
    <w:rsid w:val="0030047A"/>
    <w:rsid w:val="003018C6"/>
    <w:rsid w:val="00302237"/>
    <w:rsid w:val="00302CCF"/>
    <w:rsid w:val="00302FE3"/>
    <w:rsid w:val="00303367"/>
    <w:rsid w:val="0030341E"/>
    <w:rsid w:val="00303561"/>
    <w:rsid w:val="00303CB0"/>
    <w:rsid w:val="00304C17"/>
    <w:rsid w:val="00304E36"/>
    <w:rsid w:val="00305B26"/>
    <w:rsid w:val="00305D8A"/>
    <w:rsid w:val="00305EA9"/>
    <w:rsid w:val="003068AC"/>
    <w:rsid w:val="00306BF3"/>
    <w:rsid w:val="00306D59"/>
    <w:rsid w:val="00306DB2"/>
    <w:rsid w:val="00306FB9"/>
    <w:rsid w:val="00307489"/>
    <w:rsid w:val="00307715"/>
    <w:rsid w:val="003104E6"/>
    <w:rsid w:val="00311162"/>
    <w:rsid w:val="003114B6"/>
    <w:rsid w:val="003115AF"/>
    <w:rsid w:val="003117AF"/>
    <w:rsid w:val="0031192B"/>
    <w:rsid w:val="00312C75"/>
    <w:rsid w:val="00312CDB"/>
    <w:rsid w:val="00312EE8"/>
    <w:rsid w:val="00313D26"/>
    <w:rsid w:val="00313EDF"/>
    <w:rsid w:val="00313F17"/>
    <w:rsid w:val="00314F6B"/>
    <w:rsid w:val="00314FD0"/>
    <w:rsid w:val="00315BDD"/>
    <w:rsid w:val="003164E0"/>
    <w:rsid w:val="0031668C"/>
    <w:rsid w:val="003168C0"/>
    <w:rsid w:val="00316E00"/>
    <w:rsid w:val="00317354"/>
    <w:rsid w:val="00317672"/>
    <w:rsid w:val="0031770E"/>
    <w:rsid w:val="003179A1"/>
    <w:rsid w:val="00320272"/>
    <w:rsid w:val="003207ED"/>
    <w:rsid w:val="00320B40"/>
    <w:rsid w:val="00320F18"/>
    <w:rsid w:val="00320F71"/>
    <w:rsid w:val="00321014"/>
    <w:rsid w:val="003218B5"/>
    <w:rsid w:val="00321D82"/>
    <w:rsid w:val="00321E52"/>
    <w:rsid w:val="00322290"/>
    <w:rsid w:val="00325391"/>
    <w:rsid w:val="003255A2"/>
    <w:rsid w:val="00326960"/>
    <w:rsid w:val="003277C3"/>
    <w:rsid w:val="0033005B"/>
    <w:rsid w:val="00330429"/>
    <w:rsid w:val="00330F34"/>
    <w:rsid w:val="00331150"/>
    <w:rsid w:val="003316CA"/>
    <w:rsid w:val="0033189A"/>
    <w:rsid w:val="00331DAD"/>
    <w:rsid w:val="00331E0D"/>
    <w:rsid w:val="00331E9D"/>
    <w:rsid w:val="00332084"/>
    <w:rsid w:val="003321B2"/>
    <w:rsid w:val="003322D5"/>
    <w:rsid w:val="0033231B"/>
    <w:rsid w:val="00332906"/>
    <w:rsid w:val="00332A5B"/>
    <w:rsid w:val="00333044"/>
    <w:rsid w:val="0033357A"/>
    <w:rsid w:val="003338FB"/>
    <w:rsid w:val="00333F32"/>
    <w:rsid w:val="003341ED"/>
    <w:rsid w:val="00334225"/>
    <w:rsid w:val="0033440E"/>
    <w:rsid w:val="00334DD0"/>
    <w:rsid w:val="00335233"/>
    <w:rsid w:val="0033622F"/>
    <w:rsid w:val="0033738F"/>
    <w:rsid w:val="00337A76"/>
    <w:rsid w:val="00342238"/>
    <w:rsid w:val="003422A8"/>
    <w:rsid w:val="00342610"/>
    <w:rsid w:val="0034261A"/>
    <w:rsid w:val="003430AF"/>
    <w:rsid w:val="00343560"/>
    <w:rsid w:val="00343B34"/>
    <w:rsid w:val="00343C99"/>
    <w:rsid w:val="00343CFC"/>
    <w:rsid w:val="00343FD6"/>
    <w:rsid w:val="00344191"/>
    <w:rsid w:val="003446AE"/>
    <w:rsid w:val="00344DE2"/>
    <w:rsid w:val="00344F7D"/>
    <w:rsid w:val="00345375"/>
    <w:rsid w:val="003454BD"/>
    <w:rsid w:val="00345A9B"/>
    <w:rsid w:val="003466AF"/>
    <w:rsid w:val="00347129"/>
    <w:rsid w:val="003477EF"/>
    <w:rsid w:val="00347B7F"/>
    <w:rsid w:val="003500EE"/>
    <w:rsid w:val="003503D0"/>
    <w:rsid w:val="00350661"/>
    <w:rsid w:val="00350F26"/>
    <w:rsid w:val="00350FFB"/>
    <w:rsid w:val="003513D7"/>
    <w:rsid w:val="00351805"/>
    <w:rsid w:val="00351DF5"/>
    <w:rsid w:val="0035254A"/>
    <w:rsid w:val="00354258"/>
    <w:rsid w:val="003549E0"/>
    <w:rsid w:val="00354B2C"/>
    <w:rsid w:val="003558A0"/>
    <w:rsid w:val="0035668F"/>
    <w:rsid w:val="00356E0A"/>
    <w:rsid w:val="00357685"/>
    <w:rsid w:val="00357A1D"/>
    <w:rsid w:val="00357C0B"/>
    <w:rsid w:val="0036077A"/>
    <w:rsid w:val="00360EE0"/>
    <w:rsid w:val="00360F88"/>
    <w:rsid w:val="00361916"/>
    <w:rsid w:val="00361CFD"/>
    <w:rsid w:val="00362120"/>
    <w:rsid w:val="00362989"/>
    <w:rsid w:val="00362BFB"/>
    <w:rsid w:val="00363087"/>
    <w:rsid w:val="003630DC"/>
    <w:rsid w:val="00363A43"/>
    <w:rsid w:val="00363AF1"/>
    <w:rsid w:val="0036489E"/>
    <w:rsid w:val="00364DC8"/>
    <w:rsid w:val="00364E3D"/>
    <w:rsid w:val="00364F1A"/>
    <w:rsid w:val="00365876"/>
    <w:rsid w:val="00365B9E"/>
    <w:rsid w:val="0036619C"/>
    <w:rsid w:val="003662CA"/>
    <w:rsid w:val="003663AB"/>
    <w:rsid w:val="0036643C"/>
    <w:rsid w:val="00366ADE"/>
    <w:rsid w:val="00366D22"/>
    <w:rsid w:val="0036701A"/>
    <w:rsid w:val="00367084"/>
    <w:rsid w:val="00370232"/>
    <w:rsid w:val="003702A1"/>
    <w:rsid w:val="00370B96"/>
    <w:rsid w:val="00371120"/>
    <w:rsid w:val="00371494"/>
    <w:rsid w:val="0037227E"/>
    <w:rsid w:val="00372501"/>
    <w:rsid w:val="0037256B"/>
    <w:rsid w:val="00372625"/>
    <w:rsid w:val="003727C5"/>
    <w:rsid w:val="003728A4"/>
    <w:rsid w:val="0037309A"/>
    <w:rsid w:val="00373A8D"/>
    <w:rsid w:val="00374107"/>
    <w:rsid w:val="00374A4A"/>
    <w:rsid w:val="00374C82"/>
    <w:rsid w:val="0037517C"/>
    <w:rsid w:val="00376156"/>
    <w:rsid w:val="003766A8"/>
    <w:rsid w:val="00376A32"/>
    <w:rsid w:val="00376FCB"/>
    <w:rsid w:val="003773F5"/>
    <w:rsid w:val="00380779"/>
    <w:rsid w:val="003807F5"/>
    <w:rsid w:val="00380C24"/>
    <w:rsid w:val="00381000"/>
    <w:rsid w:val="00381343"/>
    <w:rsid w:val="00381C19"/>
    <w:rsid w:val="00381D8F"/>
    <w:rsid w:val="0038274A"/>
    <w:rsid w:val="00382C98"/>
    <w:rsid w:val="0038311A"/>
    <w:rsid w:val="003831A3"/>
    <w:rsid w:val="00383582"/>
    <w:rsid w:val="00384624"/>
    <w:rsid w:val="00384641"/>
    <w:rsid w:val="00384671"/>
    <w:rsid w:val="00387107"/>
    <w:rsid w:val="00387734"/>
    <w:rsid w:val="003903E8"/>
    <w:rsid w:val="003904C6"/>
    <w:rsid w:val="00390974"/>
    <w:rsid w:val="00390DB1"/>
    <w:rsid w:val="00391059"/>
    <w:rsid w:val="0039165A"/>
    <w:rsid w:val="0039180E"/>
    <w:rsid w:val="00391A79"/>
    <w:rsid w:val="00391DE3"/>
    <w:rsid w:val="00392146"/>
    <w:rsid w:val="003925E5"/>
    <w:rsid w:val="00392A33"/>
    <w:rsid w:val="00392D08"/>
    <w:rsid w:val="003930FE"/>
    <w:rsid w:val="00393E3B"/>
    <w:rsid w:val="00394432"/>
    <w:rsid w:val="00394438"/>
    <w:rsid w:val="00394796"/>
    <w:rsid w:val="003961B3"/>
    <w:rsid w:val="003962ED"/>
    <w:rsid w:val="00396310"/>
    <w:rsid w:val="003965E1"/>
    <w:rsid w:val="003A0883"/>
    <w:rsid w:val="003A0DA5"/>
    <w:rsid w:val="003A1185"/>
    <w:rsid w:val="003A17CD"/>
    <w:rsid w:val="003A1988"/>
    <w:rsid w:val="003A1AD1"/>
    <w:rsid w:val="003A1C93"/>
    <w:rsid w:val="003A33A7"/>
    <w:rsid w:val="003A33F3"/>
    <w:rsid w:val="003A3495"/>
    <w:rsid w:val="003A3696"/>
    <w:rsid w:val="003A3851"/>
    <w:rsid w:val="003A3E32"/>
    <w:rsid w:val="003A47B3"/>
    <w:rsid w:val="003A4CBB"/>
    <w:rsid w:val="003A511D"/>
    <w:rsid w:val="003A5288"/>
    <w:rsid w:val="003A54C9"/>
    <w:rsid w:val="003A5536"/>
    <w:rsid w:val="003A555D"/>
    <w:rsid w:val="003A5651"/>
    <w:rsid w:val="003A5756"/>
    <w:rsid w:val="003A5BEA"/>
    <w:rsid w:val="003A5C9D"/>
    <w:rsid w:val="003A63FA"/>
    <w:rsid w:val="003A684B"/>
    <w:rsid w:val="003A6DB0"/>
    <w:rsid w:val="003A72F1"/>
    <w:rsid w:val="003A75AE"/>
    <w:rsid w:val="003A7F80"/>
    <w:rsid w:val="003B083C"/>
    <w:rsid w:val="003B08A9"/>
    <w:rsid w:val="003B1A17"/>
    <w:rsid w:val="003B1D2F"/>
    <w:rsid w:val="003B1E47"/>
    <w:rsid w:val="003B1F3E"/>
    <w:rsid w:val="003B269C"/>
    <w:rsid w:val="003B27E2"/>
    <w:rsid w:val="003B2BB0"/>
    <w:rsid w:val="003B2BEE"/>
    <w:rsid w:val="003B3349"/>
    <w:rsid w:val="003B3C1D"/>
    <w:rsid w:val="003B3E94"/>
    <w:rsid w:val="003B469A"/>
    <w:rsid w:val="003B4924"/>
    <w:rsid w:val="003B4D19"/>
    <w:rsid w:val="003B4DBE"/>
    <w:rsid w:val="003B5229"/>
    <w:rsid w:val="003B57AF"/>
    <w:rsid w:val="003B647D"/>
    <w:rsid w:val="003B6F26"/>
    <w:rsid w:val="003B7359"/>
    <w:rsid w:val="003B7A8B"/>
    <w:rsid w:val="003B7B65"/>
    <w:rsid w:val="003C041B"/>
    <w:rsid w:val="003C0811"/>
    <w:rsid w:val="003C0992"/>
    <w:rsid w:val="003C0D46"/>
    <w:rsid w:val="003C28DF"/>
    <w:rsid w:val="003C2998"/>
    <w:rsid w:val="003C29E4"/>
    <w:rsid w:val="003C2BC8"/>
    <w:rsid w:val="003C3632"/>
    <w:rsid w:val="003C3FFF"/>
    <w:rsid w:val="003C561B"/>
    <w:rsid w:val="003C567C"/>
    <w:rsid w:val="003C6457"/>
    <w:rsid w:val="003C685A"/>
    <w:rsid w:val="003C6EE0"/>
    <w:rsid w:val="003C6F31"/>
    <w:rsid w:val="003C744F"/>
    <w:rsid w:val="003C76B1"/>
    <w:rsid w:val="003C7F10"/>
    <w:rsid w:val="003D0428"/>
    <w:rsid w:val="003D0EB9"/>
    <w:rsid w:val="003D162F"/>
    <w:rsid w:val="003D1DBD"/>
    <w:rsid w:val="003D2688"/>
    <w:rsid w:val="003D281E"/>
    <w:rsid w:val="003D3069"/>
    <w:rsid w:val="003D4342"/>
    <w:rsid w:val="003D4B81"/>
    <w:rsid w:val="003D5C3A"/>
    <w:rsid w:val="003D6261"/>
    <w:rsid w:val="003D65B5"/>
    <w:rsid w:val="003D7CE2"/>
    <w:rsid w:val="003E0885"/>
    <w:rsid w:val="003E094E"/>
    <w:rsid w:val="003E0A32"/>
    <w:rsid w:val="003E0B4E"/>
    <w:rsid w:val="003E122D"/>
    <w:rsid w:val="003E14CD"/>
    <w:rsid w:val="003E240B"/>
    <w:rsid w:val="003E2F38"/>
    <w:rsid w:val="003E330E"/>
    <w:rsid w:val="003E3543"/>
    <w:rsid w:val="003E3738"/>
    <w:rsid w:val="003E3C18"/>
    <w:rsid w:val="003E3E2E"/>
    <w:rsid w:val="003E3F03"/>
    <w:rsid w:val="003E4B4D"/>
    <w:rsid w:val="003E4D48"/>
    <w:rsid w:val="003E5191"/>
    <w:rsid w:val="003E51F3"/>
    <w:rsid w:val="003E5756"/>
    <w:rsid w:val="003E59C2"/>
    <w:rsid w:val="003E6089"/>
    <w:rsid w:val="003E6406"/>
    <w:rsid w:val="003E6448"/>
    <w:rsid w:val="003E7F02"/>
    <w:rsid w:val="003F0609"/>
    <w:rsid w:val="003F115A"/>
    <w:rsid w:val="003F17CC"/>
    <w:rsid w:val="003F1A1E"/>
    <w:rsid w:val="003F2386"/>
    <w:rsid w:val="003F25B0"/>
    <w:rsid w:val="003F27EA"/>
    <w:rsid w:val="003F35CB"/>
    <w:rsid w:val="003F3A77"/>
    <w:rsid w:val="003F45C5"/>
    <w:rsid w:val="003F502C"/>
    <w:rsid w:val="003F5818"/>
    <w:rsid w:val="003F6753"/>
    <w:rsid w:val="003F67BD"/>
    <w:rsid w:val="003F6AB4"/>
    <w:rsid w:val="003F6D86"/>
    <w:rsid w:val="003F6F3C"/>
    <w:rsid w:val="003F726A"/>
    <w:rsid w:val="003F7AE9"/>
    <w:rsid w:val="004000A5"/>
    <w:rsid w:val="0040120B"/>
    <w:rsid w:val="00401314"/>
    <w:rsid w:val="00401D13"/>
    <w:rsid w:val="00402B23"/>
    <w:rsid w:val="00402C13"/>
    <w:rsid w:val="004031BB"/>
    <w:rsid w:val="004037D2"/>
    <w:rsid w:val="00403881"/>
    <w:rsid w:val="00403EF1"/>
    <w:rsid w:val="00403FB9"/>
    <w:rsid w:val="004040AF"/>
    <w:rsid w:val="004045A3"/>
    <w:rsid w:val="004051BF"/>
    <w:rsid w:val="004054D2"/>
    <w:rsid w:val="0040559D"/>
    <w:rsid w:val="0040586F"/>
    <w:rsid w:val="00406078"/>
    <w:rsid w:val="004067A8"/>
    <w:rsid w:val="00407513"/>
    <w:rsid w:val="00407922"/>
    <w:rsid w:val="00407E64"/>
    <w:rsid w:val="00410F62"/>
    <w:rsid w:val="00411AAE"/>
    <w:rsid w:val="00412370"/>
    <w:rsid w:val="004132F3"/>
    <w:rsid w:val="00413346"/>
    <w:rsid w:val="00413446"/>
    <w:rsid w:val="0041406C"/>
    <w:rsid w:val="0041431A"/>
    <w:rsid w:val="0041443C"/>
    <w:rsid w:val="004152C5"/>
    <w:rsid w:val="004157E6"/>
    <w:rsid w:val="00415FF1"/>
    <w:rsid w:val="0041674E"/>
    <w:rsid w:val="004169DA"/>
    <w:rsid w:val="00416E14"/>
    <w:rsid w:val="0041720E"/>
    <w:rsid w:val="00417389"/>
    <w:rsid w:val="00417526"/>
    <w:rsid w:val="00417667"/>
    <w:rsid w:val="004176F6"/>
    <w:rsid w:val="0041785A"/>
    <w:rsid w:val="00420163"/>
    <w:rsid w:val="00420543"/>
    <w:rsid w:val="00420A6F"/>
    <w:rsid w:val="0042110F"/>
    <w:rsid w:val="004211A3"/>
    <w:rsid w:val="00421982"/>
    <w:rsid w:val="00421ADF"/>
    <w:rsid w:val="00421C44"/>
    <w:rsid w:val="00421E9F"/>
    <w:rsid w:val="0042204D"/>
    <w:rsid w:val="004224DF"/>
    <w:rsid w:val="00422678"/>
    <w:rsid w:val="00422C94"/>
    <w:rsid w:val="00423140"/>
    <w:rsid w:val="00423530"/>
    <w:rsid w:val="004242C0"/>
    <w:rsid w:val="004246C0"/>
    <w:rsid w:val="004258E9"/>
    <w:rsid w:val="00425B1C"/>
    <w:rsid w:val="00425EC2"/>
    <w:rsid w:val="00426462"/>
    <w:rsid w:val="004266A7"/>
    <w:rsid w:val="004266E4"/>
    <w:rsid w:val="004275FB"/>
    <w:rsid w:val="00427D1D"/>
    <w:rsid w:val="004306C2"/>
    <w:rsid w:val="00430BA6"/>
    <w:rsid w:val="00430FE5"/>
    <w:rsid w:val="004310B2"/>
    <w:rsid w:val="00431630"/>
    <w:rsid w:val="00431E40"/>
    <w:rsid w:val="00431F02"/>
    <w:rsid w:val="00431F54"/>
    <w:rsid w:val="00432BEF"/>
    <w:rsid w:val="00433A27"/>
    <w:rsid w:val="004345A7"/>
    <w:rsid w:val="004345F1"/>
    <w:rsid w:val="004348F4"/>
    <w:rsid w:val="004349C7"/>
    <w:rsid w:val="00434B3D"/>
    <w:rsid w:val="00434D79"/>
    <w:rsid w:val="00435143"/>
    <w:rsid w:val="00435357"/>
    <w:rsid w:val="00435B48"/>
    <w:rsid w:val="004362C9"/>
    <w:rsid w:val="00436AC9"/>
    <w:rsid w:val="004375EF"/>
    <w:rsid w:val="00437D83"/>
    <w:rsid w:val="00440037"/>
    <w:rsid w:val="004403F2"/>
    <w:rsid w:val="004407D0"/>
    <w:rsid w:val="0044096C"/>
    <w:rsid w:val="0044135E"/>
    <w:rsid w:val="004417F5"/>
    <w:rsid w:val="004418FC"/>
    <w:rsid w:val="00441955"/>
    <w:rsid w:val="00442808"/>
    <w:rsid w:val="004436DE"/>
    <w:rsid w:val="00443731"/>
    <w:rsid w:val="00443C05"/>
    <w:rsid w:val="00444E7B"/>
    <w:rsid w:val="004450A1"/>
    <w:rsid w:val="00445308"/>
    <w:rsid w:val="00445482"/>
    <w:rsid w:val="00446414"/>
    <w:rsid w:val="0044656F"/>
    <w:rsid w:val="00446DD9"/>
    <w:rsid w:val="00447994"/>
    <w:rsid w:val="0045055C"/>
    <w:rsid w:val="004510F6"/>
    <w:rsid w:val="004518A8"/>
    <w:rsid w:val="00451A73"/>
    <w:rsid w:val="00451F1D"/>
    <w:rsid w:val="0045207E"/>
    <w:rsid w:val="004524F2"/>
    <w:rsid w:val="004528EF"/>
    <w:rsid w:val="00452A9D"/>
    <w:rsid w:val="00452E78"/>
    <w:rsid w:val="00452EAC"/>
    <w:rsid w:val="00452FC6"/>
    <w:rsid w:val="00453D37"/>
    <w:rsid w:val="00454630"/>
    <w:rsid w:val="004546B3"/>
    <w:rsid w:val="00454DCC"/>
    <w:rsid w:val="004554EE"/>
    <w:rsid w:val="00456027"/>
    <w:rsid w:val="004566EB"/>
    <w:rsid w:val="00456A2A"/>
    <w:rsid w:val="00457667"/>
    <w:rsid w:val="00460A13"/>
    <w:rsid w:val="00461188"/>
    <w:rsid w:val="00462073"/>
    <w:rsid w:val="00462B51"/>
    <w:rsid w:val="004633FB"/>
    <w:rsid w:val="00463630"/>
    <w:rsid w:val="0046383B"/>
    <w:rsid w:val="00463B9F"/>
    <w:rsid w:val="00463E0F"/>
    <w:rsid w:val="00464020"/>
    <w:rsid w:val="0046574D"/>
    <w:rsid w:val="00465DC7"/>
    <w:rsid w:val="00465EB7"/>
    <w:rsid w:val="00466240"/>
    <w:rsid w:val="0046629C"/>
    <w:rsid w:val="004665E7"/>
    <w:rsid w:val="00466B72"/>
    <w:rsid w:val="00466C8C"/>
    <w:rsid w:val="00467165"/>
    <w:rsid w:val="004672B0"/>
    <w:rsid w:val="00467584"/>
    <w:rsid w:val="00467BAE"/>
    <w:rsid w:val="00470511"/>
    <w:rsid w:val="00470DDD"/>
    <w:rsid w:val="00471249"/>
    <w:rsid w:val="00472494"/>
    <w:rsid w:val="00472883"/>
    <w:rsid w:val="0047306F"/>
    <w:rsid w:val="004740F6"/>
    <w:rsid w:val="00474108"/>
    <w:rsid w:val="00474FB9"/>
    <w:rsid w:val="0047517D"/>
    <w:rsid w:val="00475783"/>
    <w:rsid w:val="00476D7C"/>
    <w:rsid w:val="00477562"/>
    <w:rsid w:val="0048051C"/>
    <w:rsid w:val="004827C3"/>
    <w:rsid w:val="00482B9F"/>
    <w:rsid w:val="00482F18"/>
    <w:rsid w:val="004830EA"/>
    <w:rsid w:val="004831CF"/>
    <w:rsid w:val="00483334"/>
    <w:rsid w:val="00483949"/>
    <w:rsid w:val="00483AC6"/>
    <w:rsid w:val="004840EB"/>
    <w:rsid w:val="004843F4"/>
    <w:rsid w:val="004851AB"/>
    <w:rsid w:val="0048529E"/>
    <w:rsid w:val="00485A3C"/>
    <w:rsid w:val="00486282"/>
    <w:rsid w:val="00486ADF"/>
    <w:rsid w:val="00486F6D"/>
    <w:rsid w:val="00487490"/>
    <w:rsid w:val="004878DC"/>
    <w:rsid w:val="00487A62"/>
    <w:rsid w:val="004902FB"/>
    <w:rsid w:val="0049061F"/>
    <w:rsid w:val="004907FC"/>
    <w:rsid w:val="00490878"/>
    <w:rsid w:val="00490BC9"/>
    <w:rsid w:val="00490F49"/>
    <w:rsid w:val="00491ABA"/>
    <w:rsid w:val="00491B04"/>
    <w:rsid w:val="00492204"/>
    <w:rsid w:val="00492447"/>
    <w:rsid w:val="0049277C"/>
    <w:rsid w:val="00492E6D"/>
    <w:rsid w:val="00492F92"/>
    <w:rsid w:val="004930F6"/>
    <w:rsid w:val="00493331"/>
    <w:rsid w:val="0049407C"/>
    <w:rsid w:val="00494419"/>
    <w:rsid w:val="004951D5"/>
    <w:rsid w:val="004952C9"/>
    <w:rsid w:val="004952CB"/>
    <w:rsid w:val="004954D4"/>
    <w:rsid w:val="004957C6"/>
    <w:rsid w:val="004962FC"/>
    <w:rsid w:val="0049631E"/>
    <w:rsid w:val="004966EB"/>
    <w:rsid w:val="00496903"/>
    <w:rsid w:val="00496EEE"/>
    <w:rsid w:val="0049735D"/>
    <w:rsid w:val="00497422"/>
    <w:rsid w:val="004A008D"/>
    <w:rsid w:val="004A0284"/>
    <w:rsid w:val="004A03EB"/>
    <w:rsid w:val="004A0B98"/>
    <w:rsid w:val="004A15F4"/>
    <w:rsid w:val="004A1891"/>
    <w:rsid w:val="004A3051"/>
    <w:rsid w:val="004A3B46"/>
    <w:rsid w:val="004A5006"/>
    <w:rsid w:val="004A5269"/>
    <w:rsid w:val="004A5E26"/>
    <w:rsid w:val="004A5E96"/>
    <w:rsid w:val="004A681C"/>
    <w:rsid w:val="004A682E"/>
    <w:rsid w:val="004A6BE4"/>
    <w:rsid w:val="004A6C68"/>
    <w:rsid w:val="004A7344"/>
    <w:rsid w:val="004A74B8"/>
    <w:rsid w:val="004A77FB"/>
    <w:rsid w:val="004A79FF"/>
    <w:rsid w:val="004B0412"/>
    <w:rsid w:val="004B14BB"/>
    <w:rsid w:val="004B1BB7"/>
    <w:rsid w:val="004B1C53"/>
    <w:rsid w:val="004B25F7"/>
    <w:rsid w:val="004B2633"/>
    <w:rsid w:val="004B303E"/>
    <w:rsid w:val="004B310F"/>
    <w:rsid w:val="004B3F35"/>
    <w:rsid w:val="004B4992"/>
    <w:rsid w:val="004B57AE"/>
    <w:rsid w:val="004B5877"/>
    <w:rsid w:val="004B5A50"/>
    <w:rsid w:val="004B60C6"/>
    <w:rsid w:val="004B6E8D"/>
    <w:rsid w:val="004B7963"/>
    <w:rsid w:val="004C02C8"/>
    <w:rsid w:val="004C0D7C"/>
    <w:rsid w:val="004C1091"/>
    <w:rsid w:val="004C1388"/>
    <w:rsid w:val="004C1648"/>
    <w:rsid w:val="004C18D9"/>
    <w:rsid w:val="004C220D"/>
    <w:rsid w:val="004C2D64"/>
    <w:rsid w:val="004C2E2F"/>
    <w:rsid w:val="004C33AC"/>
    <w:rsid w:val="004C3416"/>
    <w:rsid w:val="004C39C7"/>
    <w:rsid w:val="004C4023"/>
    <w:rsid w:val="004C4593"/>
    <w:rsid w:val="004C49B4"/>
    <w:rsid w:val="004C5299"/>
    <w:rsid w:val="004C5681"/>
    <w:rsid w:val="004C6157"/>
    <w:rsid w:val="004C6938"/>
    <w:rsid w:val="004C7099"/>
    <w:rsid w:val="004C7792"/>
    <w:rsid w:val="004C7AB6"/>
    <w:rsid w:val="004D012C"/>
    <w:rsid w:val="004D04F8"/>
    <w:rsid w:val="004D08F3"/>
    <w:rsid w:val="004D0984"/>
    <w:rsid w:val="004D0C00"/>
    <w:rsid w:val="004D1099"/>
    <w:rsid w:val="004D1105"/>
    <w:rsid w:val="004D1C75"/>
    <w:rsid w:val="004D1DA8"/>
    <w:rsid w:val="004D1FB0"/>
    <w:rsid w:val="004D201D"/>
    <w:rsid w:val="004D2036"/>
    <w:rsid w:val="004D213F"/>
    <w:rsid w:val="004D21A9"/>
    <w:rsid w:val="004D250E"/>
    <w:rsid w:val="004D2CDD"/>
    <w:rsid w:val="004D2FFF"/>
    <w:rsid w:val="004D31B2"/>
    <w:rsid w:val="004D3DF9"/>
    <w:rsid w:val="004D48CA"/>
    <w:rsid w:val="004D4C8A"/>
    <w:rsid w:val="004D539E"/>
    <w:rsid w:val="004D57A2"/>
    <w:rsid w:val="004D5EFB"/>
    <w:rsid w:val="004D67DE"/>
    <w:rsid w:val="004D6B9E"/>
    <w:rsid w:val="004D6D35"/>
    <w:rsid w:val="004D77B8"/>
    <w:rsid w:val="004D7B1D"/>
    <w:rsid w:val="004E0114"/>
    <w:rsid w:val="004E08E5"/>
    <w:rsid w:val="004E0CDB"/>
    <w:rsid w:val="004E13C5"/>
    <w:rsid w:val="004E1788"/>
    <w:rsid w:val="004E220B"/>
    <w:rsid w:val="004E2D8E"/>
    <w:rsid w:val="004E2E48"/>
    <w:rsid w:val="004E3083"/>
    <w:rsid w:val="004E35FC"/>
    <w:rsid w:val="004E37A5"/>
    <w:rsid w:val="004E395E"/>
    <w:rsid w:val="004E6395"/>
    <w:rsid w:val="004E6B9E"/>
    <w:rsid w:val="004E6BD5"/>
    <w:rsid w:val="004E6C1B"/>
    <w:rsid w:val="004E6DE4"/>
    <w:rsid w:val="004E72F0"/>
    <w:rsid w:val="004E764B"/>
    <w:rsid w:val="004E7689"/>
    <w:rsid w:val="004E7A8B"/>
    <w:rsid w:val="004F05B3"/>
    <w:rsid w:val="004F0A83"/>
    <w:rsid w:val="004F0BC3"/>
    <w:rsid w:val="004F1CD6"/>
    <w:rsid w:val="004F2E84"/>
    <w:rsid w:val="004F2FA0"/>
    <w:rsid w:val="004F366D"/>
    <w:rsid w:val="004F491F"/>
    <w:rsid w:val="004F5DAA"/>
    <w:rsid w:val="004F62CD"/>
    <w:rsid w:val="004F7207"/>
    <w:rsid w:val="004F724A"/>
    <w:rsid w:val="004F7C95"/>
    <w:rsid w:val="004F7D31"/>
    <w:rsid w:val="004F7D32"/>
    <w:rsid w:val="004F7ED4"/>
    <w:rsid w:val="0050003B"/>
    <w:rsid w:val="00500363"/>
    <w:rsid w:val="0050059E"/>
    <w:rsid w:val="00500BB1"/>
    <w:rsid w:val="0050170F"/>
    <w:rsid w:val="0050182A"/>
    <w:rsid w:val="005021BC"/>
    <w:rsid w:val="005022D7"/>
    <w:rsid w:val="00502453"/>
    <w:rsid w:val="0050271B"/>
    <w:rsid w:val="00503521"/>
    <w:rsid w:val="00504432"/>
    <w:rsid w:val="0050456A"/>
    <w:rsid w:val="00505330"/>
    <w:rsid w:val="00505D28"/>
    <w:rsid w:val="00506B0A"/>
    <w:rsid w:val="00506FBC"/>
    <w:rsid w:val="0050716A"/>
    <w:rsid w:val="005077A3"/>
    <w:rsid w:val="00507DD5"/>
    <w:rsid w:val="0051000B"/>
    <w:rsid w:val="0051011A"/>
    <w:rsid w:val="00510A94"/>
    <w:rsid w:val="00510EBE"/>
    <w:rsid w:val="00511BB4"/>
    <w:rsid w:val="005125DA"/>
    <w:rsid w:val="00512608"/>
    <w:rsid w:val="00512651"/>
    <w:rsid w:val="005127AD"/>
    <w:rsid w:val="00512B35"/>
    <w:rsid w:val="00513550"/>
    <w:rsid w:val="005137AD"/>
    <w:rsid w:val="0051446E"/>
    <w:rsid w:val="0051491D"/>
    <w:rsid w:val="00514EEC"/>
    <w:rsid w:val="00514F38"/>
    <w:rsid w:val="00515038"/>
    <w:rsid w:val="0051539E"/>
    <w:rsid w:val="005154A8"/>
    <w:rsid w:val="00515AD0"/>
    <w:rsid w:val="00517843"/>
    <w:rsid w:val="00517DA0"/>
    <w:rsid w:val="00517F59"/>
    <w:rsid w:val="00520003"/>
    <w:rsid w:val="005202E6"/>
    <w:rsid w:val="00520468"/>
    <w:rsid w:val="00520526"/>
    <w:rsid w:val="00521839"/>
    <w:rsid w:val="00521A90"/>
    <w:rsid w:val="00521ED7"/>
    <w:rsid w:val="0052285C"/>
    <w:rsid w:val="00522882"/>
    <w:rsid w:val="0052355A"/>
    <w:rsid w:val="00523B54"/>
    <w:rsid w:val="00524217"/>
    <w:rsid w:val="00525154"/>
    <w:rsid w:val="005265B7"/>
    <w:rsid w:val="00526807"/>
    <w:rsid w:val="00527694"/>
    <w:rsid w:val="00530242"/>
    <w:rsid w:val="0053069E"/>
    <w:rsid w:val="00530F8C"/>
    <w:rsid w:val="005310C1"/>
    <w:rsid w:val="0053122B"/>
    <w:rsid w:val="005316A4"/>
    <w:rsid w:val="00533AED"/>
    <w:rsid w:val="00533C21"/>
    <w:rsid w:val="00534003"/>
    <w:rsid w:val="0053446F"/>
    <w:rsid w:val="0053452C"/>
    <w:rsid w:val="0053453F"/>
    <w:rsid w:val="00534B03"/>
    <w:rsid w:val="0053519E"/>
    <w:rsid w:val="005352DB"/>
    <w:rsid w:val="00536394"/>
    <w:rsid w:val="005364FC"/>
    <w:rsid w:val="0053696F"/>
    <w:rsid w:val="00537077"/>
    <w:rsid w:val="0053708B"/>
    <w:rsid w:val="005370CB"/>
    <w:rsid w:val="005371BF"/>
    <w:rsid w:val="0053720B"/>
    <w:rsid w:val="00537352"/>
    <w:rsid w:val="005376EB"/>
    <w:rsid w:val="00537A1E"/>
    <w:rsid w:val="0054036D"/>
    <w:rsid w:val="00540437"/>
    <w:rsid w:val="005404A5"/>
    <w:rsid w:val="005405E3"/>
    <w:rsid w:val="00540895"/>
    <w:rsid w:val="00540AA5"/>
    <w:rsid w:val="00540E63"/>
    <w:rsid w:val="005414FC"/>
    <w:rsid w:val="00541B3B"/>
    <w:rsid w:val="00541F44"/>
    <w:rsid w:val="0054269D"/>
    <w:rsid w:val="0054294B"/>
    <w:rsid w:val="00543C9D"/>
    <w:rsid w:val="0054493A"/>
    <w:rsid w:val="0054495A"/>
    <w:rsid w:val="00544BC0"/>
    <w:rsid w:val="00545AE8"/>
    <w:rsid w:val="00545E1C"/>
    <w:rsid w:val="005461CD"/>
    <w:rsid w:val="005469D6"/>
    <w:rsid w:val="00546CEC"/>
    <w:rsid w:val="0054743B"/>
    <w:rsid w:val="005500C1"/>
    <w:rsid w:val="005505DD"/>
    <w:rsid w:val="00550741"/>
    <w:rsid w:val="00550B42"/>
    <w:rsid w:val="00550BB7"/>
    <w:rsid w:val="00551794"/>
    <w:rsid w:val="00551BF4"/>
    <w:rsid w:val="005522E3"/>
    <w:rsid w:val="00552404"/>
    <w:rsid w:val="00552CC7"/>
    <w:rsid w:val="005530C3"/>
    <w:rsid w:val="00553437"/>
    <w:rsid w:val="005546F7"/>
    <w:rsid w:val="00554B5B"/>
    <w:rsid w:val="0055547D"/>
    <w:rsid w:val="005558DB"/>
    <w:rsid w:val="00555E85"/>
    <w:rsid w:val="00556614"/>
    <w:rsid w:val="005566E9"/>
    <w:rsid w:val="00556C07"/>
    <w:rsid w:val="00557329"/>
    <w:rsid w:val="00557443"/>
    <w:rsid w:val="005612C4"/>
    <w:rsid w:val="0056134E"/>
    <w:rsid w:val="005613A4"/>
    <w:rsid w:val="00561496"/>
    <w:rsid w:val="00561596"/>
    <w:rsid w:val="00562046"/>
    <w:rsid w:val="005627BD"/>
    <w:rsid w:val="005636E0"/>
    <w:rsid w:val="00563721"/>
    <w:rsid w:val="00564223"/>
    <w:rsid w:val="00564A1C"/>
    <w:rsid w:val="00565033"/>
    <w:rsid w:val="00565458"/>
    <w:rsid w:val="0056559A"/>
    <w:rsid w:val="00565670"/>
    <w:rsid w:val="00565AB7"/>
    <w:rsid w:val="00565AE5"/>
    <w:rsid w:val="00565D4C"/>
    <w:rsid w:val="00565F25"/>
    <w:rsid w:val="005660E9"/>
    <w:rsid w:val="00566724"/>
    <w:rsid w:val="00570061"/>
    <w:rsid w:val="00570606"/>
    <w:rsid w:val="00570A21"/>
    <w:rsid w:val="00570C54"/>
    <w:rsid w:val="00570E4F"/>
    <w:rsid w:val="00570FA7"/>
    <w:rsid w:val="005710D8"/>
    <w:rsid w:val="005712B1"/>
    <w:rsid w:val="00571877"/>
    <w:rsid w:val="00571A0F"/>
    <w:rsid w:val="00571F17"/>
    <w:rsid w:val="00572CF5"/>
    <w:rsid w:val="00572F1E"/>
    <w:rsid w:val="005730D0"/>
    <w:rsid w:val="005734EE"/>
    <w:rsid w:val="005735B6"/>
    <w:rsid w:val="00573685"/>
    <w:rsid w:val="0057382F"/>
    <w:rsid w:val="00573B9D"/>
    <w:rsid w:val="00574203"/>
    <w:rsid w:val="0057437A"/>
    <w:rsid w:val="00574574"/>
    <w:rsid w:val="005745EE"/>
    <w:rsid w:val="00574686"/>
    <w:rsid w:val="00574CF4"/>
    <w:rsid w:val="00575503"/>
    <w:rsid w:val="005759A9"/>
    <w:rsid w:val="00575F75"/>
    <w:rsid w:val="00576224"/>
    <w:rsid w:val="00576394"/>
    <w:rsid w:val="005764FF"/>
    <w:rsid w:val="00576C7B"/>
    <w:rsid w:val="00576D33"/>
    <w:rsid w:val="00576DBB"/>
    <w:rsid w:val="00576FB4"/>
    <w:rsid w:val="0057727E"/>
    <w:rsid w:val="005776FA"/>
    <w:rsid w:val="00577E1A"/>
    <w:rsid w:val="005802F1"/>
    <w:rsid w:val="0058068E"/>
    <w:rsid w:val="00580E78"/>
    <w:rsid w:val="00580F91"/>
    <w:rsid w:val="0058100C"/>
    <w:rsid w:val="0058137E"/>
    <w:rsid w:val="00581CB6"/>
    <w:rsid w:val="0058299F"/>
    <w:rsid w:val="00582C2C"/>
    <w:rsid w:val="005839C8"/>
    <w:rsid w:val="00583A5D"/>
    <w:rsid w:val="00584C79"/>
    <w:rsid w:val="0058500E"/>
    <w:rsid w:val="00585659"/>
    <w:rsid w:val="0058659E"/>
    <w:rsid w:val="0058665F"/>
    <w:rsid w:val="0058671C"/>
    <w:rsid w:val="00586F9B"/>
    <w:rsid w:val="00587073"/>
    <w:rsid w:val="00590218"/>
    <w:rsid w:val="005909DC"/>
    <w:rsid w:val="00590A16"/>
    <w:rsid w:val="005910C5"/>
    <w:rsid w:val="00591B59"/>
    <w:rsid w:val="00591F83"/>
    <w:rsid w:val="005923B7"/>
    <w:rsid w:val="005924BB"/>
    <w:rsid w:val="00592893"/>
    <w:rsid w:val="005935D7"/>
    <w:rsid w:val="00593970"/>
    <w:rsid w:val="00593E66"/>
    <w:rsid w:val="00594063"/>
    <w:rsid w:val="00594381"/>
    <w:rsid w:val="00594437"/>
    <w:rsid w:val="00594F29"/>
    <w:rsid w:val="00595566"/>
    <w:rsid w:val="00595721"/>
    <w:rsid w:val="00596629"/>
    <w:rsid w:val="00596862"/>
    <w:rsid w:val="00597109"/>
    <w:rsid w:val="00597471"/>
    <w:rsid w:val="00597515"/>
    <w:rsid w:val="0059764C"/>
    <w:rsid w:val="00597E31"/>
    <w:rsid w:val="005A01CD"/>
    <w:rsid w:val="005A03CC"/>
    <w:rsid w:val="005A07AB"/>
    <w:rsid w:val="005A1B73"/>
    <w:rsid w:val="005A3A7C"/>
    <w:rsid w:val="005A3F20"/>
    <w:rsid w:val="005A428A"/>
    <w:rsid w:val="005A474B"/>
    <w:rsid w:val="005A4877"/>
    <w:rsid w:val="005A4AF6"/>
    <w:rsid w:val="005A4DC7"/>
    <w:rsid w:val="005A4E0F"/>
    <w:rsid w:val="005A4F73"/>
    <w:rsid w:val="005A5224"/>
    <w:rsid w:val="005A5545"/>
    <w:rsid w:val="005A5E9C"/>
    <w:rsid w:val="005A5FEE"/>
    <w:rsid w:val="005A607D"/>
    <w:rsid w:val="005A6596"/>
    <w:rsid w:val="005A66C4"/>
    <w:rsid w:val="005A742B"/>
    <w:rsid w:val="005B05BA"/>
    <w:rsid w:val="005B0F65"/>
    <w:rsid w:val="005B104C"/>
    <w:rsid w:val="005B1748"/>
    <w:rsid w:val="005B18A3"/>
    <w:rsid w:val="005B1E05"/>
    <w:rsid w:val="005B278E"/>
    <w:rsid w:val="005B2A7C"/>
    <w:rsid w:val="005B2B2A"/>
    <w:rsid w:val="005B47F6"/>
    <w:rsid w:val="005B4B4F"/>
    <w:rsid w:val="005B4C71"/>
    <w:rsid w:val="005B4D8B"/>
    <w:rsid w:val="005B51D9"/>
    <w:rsid w:val="005B55BE"/>
    <w:rsid w:val="005B58CD"/>
    <w:rsid w:val="005B5B2A"/>
    <w:rsid w:val="005B65B1"/>
    <w:rsid w:val="005B69FD"/>
    <w:rsid w:val="005B7273"/>
    <w:rsid w:val="005B79DB"/>
    <w:rsid w:val="005C0164"/>
    <w:rsid w:val="005C0380"/>
    <w:rsid w:val="005C0AE6"/>
    <w:rsid w:val="005C0F33"/>
    <w:rsid w:val="005C172A"/>
    <w:rsid w:val="005C1F83"/>
    <w:rsid w:val="005C251D"/>
    <w:rsid w:val="005C2C08"/>
    <w:rsid w:val="005C2C2D"/>
    <w:rsid w:val="005C32AD"/>
    <w:rsid w:val="005C33CD"/>
    <w:rsid w:val="005C3786"/>
    <w:rsid w:val="005C3BA7"/>
    <w:rsid w:val="005C45B1"/>
    <w:rsid w:val="005C4F92"/>
    <w:rsid w:val="005C4FE2"/>
    <w:rsid w:val="005C62D6"/>
    <w:rsid w:val="005C6347"/>
    <w:rsid w:val="005C6731"/>
    <w:rsid w:val="005C6B66"/>
    <w:rsid w:val="005C6E4B"/>
    <w:rsid w:val="005C6F1F"/>
    <w:rsid w:val="005C716B"/>
    <w:rsid w:val="005C7589"/>
    <w:rsid w:val="005C799B"/>
    <w:rsid w:val="005D00DD"/>
    <w:rsid w:val="005D04F8"/>
    <w:rsid w:val="005D05C5"/>
    <w:rsid w:val="005D1203"/>
    <w:rsid w:val="005D1A0E"/>
    <w:rsid w:val="005D2938"/>
    <w:rsid w:val="005D2DF2"/>
    <w:rsid w:val="005D329C"/>
    <w:rsid w:val="005D38B8"/>
    <w:rsid w:val="005D4D7B"/>
    <w:rsid w:val="005D500A"/>
    <w:rsid w:val="005D5094"/>
    <w:rsid w:val="005D5BE7"/>
    <w:rsid w:val="005D6132"/>
    <w:rsid w:val="005D68F5"/>
    <w:rsid w:val="005D6C20"/>
    <w:rsid w:val="005D7008"/>
    <w:rsid w:val="005D779B"/>
    <w:rsid w:val="005D780E"/>
    <w:rsid w:val="005D78B3"/>
    <w:rsid w:val="005D7D4D"/>
    <w:rsid w:val="005D7D4E"/>
    <w:rsid w:val="005E0091"/>
    <w:rsid w:val="005E0225"/>
    <w:rsid w:val="005E02A5"/>
    <w:rsid w:val="005E0F17"/>
    <w:rsid w:val="005E1241"/>
    <w:rsid w:val="005E1566"/>
    <w:rsid w:val="005E20BF"/>
    <w:rsid w:val="005E28CF"/>
    <w:rsid w:val="005E2A5C"/>
    <w:rsid w:val="005E2B95"/>
    <w:rsid w:val="005E31A9"/>
    <w:rsid w:val="005E31D4"/>
    <w:rsid w:val="005E3C5E"/>
    <w:rsid w:val="005E3DA7"/>
    <w:rsid w:val="005E3F2C"/>
    <w:rsid w:val="005E5721"/>
    <w:rsid w:val="005E5920"/>
    <w:rsid w:val="005E5FAE"/>
    <w:rsid w:val="005E6153"/>
    <w:rsid w:val="005E6200"/>
    <w:rsid w:val="005E63DB"/>
    <w:rsid w:val="005E6724"/>
    <w:rsid w:val="005E6CFB"/>
    <w:rsid w:val="005E7E73"/>
    <w:rsid w:val="005E7F81"/>
    <w:rsid w:val="005F014D"/>
    <w:rsid w:val="005F0BF7"/>
    <w:rsid w:val="005F0E69"/>
    <w:rsid w:val="005F164C"/>
    <w:rsid w:val="005F26C7"/>
    <w:rsid w:val="005F3357"/>
    <w:rsid w:val="005F3443"/>
    <w:rsid w:val="005F3B36"/>
    <w:rsid w:val="005F3CF6"/>
    <w:rsid w:val="005F429C"/>
    <w:rsid w:val="005F438E"/>
    <w:rsid w:val="005F44CF"/>
    <w:rsid w:val="005F4AF5"/>
    <w:rsid w:val="005F4C2C"/>
    <w:rsid w:val="005F4CB6"/>
    <w:rsid w:val="005F5793"/>
    <w:rsid w:val="005F5A3A"/>
    <w:rsid w:val="005F6DE0"/>
    <w:rsid w:val="005F75C4"/>
    <w:rsid w:val="005F778C"/>
    <w:rsid w:val="005F7DAB"/>
    <w:rsid w:val="00600668"/>
    <w:rsid w:val="00600BC9"/>
    <w:rsid w:val="00600EBE"/>
    <w:rsid w:val="00600F1A"/>
    <w:rsid w:val="006011DF"/>
    <w:rsid w:val="0060177F"/>
    <w:rsid w:val="0060263E"/>
    <w:rsid w:val="00602D9D"/>
    <w:rsid w:val="006031BB"/>
    <w:rsid w:val="00603BA8"/>
    <w:rsid w:val="00603D3E"/>
    <w:rsid w:val="0060421B"/>
    <w:rsid w:val="00604266"/>
    <w:rsid w:val="0060431D"/>
    <w:rsid w:val="006048AB"/>
    <w:rsid w:val="00605D46"/>
    <w:rsid w:val="00605EA9"/>
    <w:rsid w:val="00605EC0"/>
    <w:rsid w:val="006071BF"/>
    <w:rsid w:val="006071F0"/>
    <w:rsid w:val="006072B1"/>
    <w:rsid w:val="00607486"/>
    <w:rsid w:val="00610171"/>
    <w:rsid w:val="0061027B"/>
    <w:rsid w:val="0061078B"/>
    <w:rsid w:val="00610F1D"/>
    <w:rsid w:val="0061100C"/>
    <w:rsid w:val="00611E8C"/>
    <w:rsid w:val="00613203"/>
    <w:rsid w:val="00613744"/>
    <w:rsid w:val="00613CC1"/>
    <w:rsid w:val="00614C3E"/>
    <w:rsid w:val="0061512D"/>
    <w:rsid w:val="00615A82"/>
    <w:rsid w:val="00615F13"/>
    <w:rsid w:val="00615FAC"/>
    <w:rsid w:val="0061626E"/>
    <w:rsid w:val="00616380"/>
    <w:rsid w:val="00616BFA"/>
    <w:rsid w:val="00616F75"/>
    <w:rsid w:val="0061736C"/>
    <w:rsid w:val="00617748"/>
    <w:rsid w:val="006179B2"/>
    <w:rsid w:val="006179E3"/>
    <w:rsid w:val="00620403"/>
    <w:rsid w:val="006209B0"/>
    <w:rsid w:val="0062112B"/>
    <w:rsid w:val="006214BC"/>
    <w:rsid w:val="006214DB"/>
    <w:rsid w:val="00621704"/>
    <w:rsid w:val="00621B70"/>
    <w:rsid w:val="0062231D"/>
    <w:rsid w:val="006223DF"/>
    <w:rsid w:val="00622731"/>
    <w:rsid w:val="00622EF4"/>
    <w:rsid w:val="0062377A"/>
    <w:rsid w:val="006237A5"/>
    <w:rsid w:val="006238DA"/>
    <w:rsid w:val="00623A27"/>
    <w:rsid w:val="006241EC"/>
    <w:rsid w:val="0062422D"/>
    <w:rsid w:val="00624701"/>
    <w:rsid w:val="00624B1F"/>
    <w:rsid w:val="00624B94"/>
    <w:rsid w:val="0062576E"/>
    <w:rsid w:val="00625B1F"/>
    <w:rsid w:val="00625C11"/>
    <w:rsid w:val="00625ED7"/>
    <w:rsid w:val="0062645D"/>
    <w:rsid w:val="006266B6"/>
    <w:rsid w:val="00627587"/>
    <w:rsid w:val="00627F6E"/>
    <w:rsid w:val="00630545"/>
    <w:rsid w:val="006307E5"/>
    <w:rsid w:val="006309EE"/>
    <w:rsid w:val="00630E7D"/>
    <w:rsid w:val="006311D9"/>
    <w:rsid w:val="00631312"/>
    <w:rsid w:val="0063188F"/>
    <w:rsid w:val="00631B3F"/>
    <w:rsid w:val="00634308"/>
    <w:rsid w:val="0063471F"/>
    <w:rsid w:val="006348BC"/>
    <w:rsid w:val="00634977"/>
    <w:rsid w:val="006350A8"/>
    <w:rsid w:val="0063581D"/>
    <w:rsid w:val="00635B82"/>
    <w:rsid w:val="00635E83"/>
    <w:rsid w:val="00636791"/>
    <w:rsid w:val="006369AA"/>
    <w:rsid w:val="0063746D"/>
    <w:rsid w:val="00637B73"/>
    <w:rsid w:val="00637DC7"/>
    <w:rsid w:val="00640BB2"/>
    <w:rsid w:val="00640E03"/>
    <w:rsid w:val="006410AF"/>
    <w:rsid w:val="00641367"/>
    <w:rsid w:val="006414F6"/>
    <w:rsid w:val="00641831"/>
    <w:rsid w:val="00641D60"/>
    <w:rsid w:val="00642146"/>
    <w:rsid w:val="006421DE"/>
    <w:rsid w:val="0064283F"/>
    <w:rsid w:val="00642BA2"/>
    <w:rsid w:val="00642EE8"/>
    <w:rsid w:val="00642FE2"/>
    <w:rsid w:val="00643B77"/>
    <w:rsid w:val="00644655"/>
    <w:rsid w:val="006446CC"/>
    <w:rsid w:val="0064542A"/>
    <w:rsid w:val="006455C9"/>
    <w:rsid w:val="00645663"/>
    <w:rsid w:val="006459F9"/>
    <w:rsid w:val="00646057"/>
    <w:rsid w:val="0064641B"/>
    <w:rsid w:val="0064783B"/>
    <w:rsid w:val="00647C53"/>
    <w:rsid w:val="00647E44"/>
    <w:rsid w:val="00647FAD"/>
    <w:rsid w:val="006504E6"/>
    <w:rsid w:val="00650601"/>
    <w:rsid w:val="006518CA"/>
    <w:rsid w:val="00651CE5"/>
    <w:rsid w:val="006520D7"/>
    <w:rsid w:val="0065328A"/>
    <w:rsid w:val="00653E34"/>
    <w:rsid w:val="0065433E"/>
    <w:rsid w:val="006544B1"/>
    <w:rsid w:val="00654A3F"/>
    <w:rsid w:val="00654BB7"/>
    <w:rsid w:val="00654E37"/>
    <w:rsid w:val="006550EE"/>
    <w:rsid w:val="00655BD9"/>
    <w:rsid w:val="00655D9B"/>
    <w:rsid w:val="006566A7"/>
    <w:rsid w:val="00656849"/>
    <w:rsid w:val="00657BBA"/>
    <w:rsid w:val="00657EBF"/>
    <w:rsid w:val="0066012C"/>
    <w:rsid w:val="00660803"/>
    <w:rsid w:val="006609E2"/>
    <w:rsid w:val="00660BCA"/>
    <w:rsid w:val="00661206"/>
    <w:rsid w:val="00661642"/>
    <w:rsid w:val="006622D0"/>
    <w:rsid w:val="00662C4A"/>
    <w:rsid w:val="00662F40"/>
    <w:rsid w:val="006632E1"/>
    <w:rsid w:val="0066389A"/>
    <w:rsid w:val="00663A9F"/>
    <w:rsid w:val="00663BB0"/>
    <w:rsid w:val="0066448D"/>
    <w:rsid w:val="006644D6"/>
    <w:rsid w:val="006646BD"/>
    <w:rsid w:val="0066477E"/>
    <w:rsid w:val="00664923"/>
    <w:rsid w:val="00664E9C"/>
    <w:rsid w:val="00665875"/>
    <w:rsid w:val="00665CF0"/>
    <w:rsid w:val="00665ECD"/>
    <w:rsid w:val="00665F03"/>
    <w:rsid w:val="00666CFA"/>
    <w:rsid w:val="00666EE6"/>
    <w:rsid w:val="0066756B"/>
    <w:rsid w:val="00667688"/>
    <w:rsid w:val="00667CCB"/>
    <w:rsid w:val="00667F16"/>
    <w:rsid w:val="006708A5"/>
    <w:rsid w:val="006708E7"/>
    <w:rsid w:val="0067154A"/>
    <w:rsid w:val="0067201A"/>
    <w:rsid w:val="00672228"/>
    <w:rsid w:val="00672760"/>
    <w:rsid w:val="006727C6"/>
    <w:rsid w:val="00672ACD"/>
    <w:rsid w:val="0067345F"/>
    <w:rsid w:val="0067389D"/>
    <w:rsid w:val="00673D46"/>
    <w:rsid w:val="00673EAC"/>
    <w:rsid w:val="0067431C"/>
    <w:rsid w:val="006746C4"/>
    <w:rsid w:val="0067544D"/>
    <w:rsid w:val="006755E4"/>
    <w:rsid w:val="006757E4"/>
    <w:rsid w:val="00675811"/>
    <w:rsid w:val="00675E29"/>
    <w:rsid w:val="0067609A"/>
    <w:rsid w:val="00676399"/>
    <w:rsid w:val="00676FA1"/>
    <w:rsid w:val="0067785C"/>
    <w:rsid w:val="00681794"/>
    <w:rsid w:val="00681AFF"/>
    <w:rsid w:val="00681E23"/>
    <w:rsid w:val="00682396"/>
    <w:rsid w:val="00683502"/>
    <w:rsid w:val="00683686"/>
    <w:rsid w:val="00683C49"/>
    <w:rsid w:val="00683D8A"/>
    <w:rsid w:val="00683DFF"/>
    <w:rsid w:val="00684330"/>
    <w:rsid w:val="00684BBC"/>
    <w:rsid w:val="00684D60"/>
    <w:rsid w:val="006853A8"/>
    <w:rsid w:val="00685806"/>
    <w:rsid w:val="0068601D"/>
    <w:rsid w:val="0068604E"/>
    <w:rsid w:val="006861D6"/>
    <w:rsid w:val="006862F5"/>
    <w:rsid w:val="00686658"/>
    <w:rsid w:val="00690C41"/>
    <w:rsid w:val="00690D99"/>
    <w:rsid w:val="00690F32"/>
    <w:rsid w:val="00691830"/>
    <w:rsid w:val="00691F4A"/>
    <w:rsid w:val="00692257"/>
    <w:rsid w:val="006922B6"/>
    <w:rsid w:val="0069264B"/>
    <w:rsid w:val="00692739"/>
    <w:rsid w:val="00692912"/>
    <w:rsid w:val="006933EA"/>
    <w:rsid w:val="00693ECE"/>
    <w:rsid w:val="00694F38"/>
    <w:rsid w:val="00695924"/>
    <w:rsid w:val="006967AA"/>
    <w:rsid w:val="00696EDA"/>
    <w:rsid w:val="0069769C"/>
    <w:rsid w:val="006A08A3"/>
    <w:rsid w:val="006A0CE7"/>
    <w:rsid w:val="006A168C"/>
    <w:rsid w:val="006A16C1"/>
    <w:rsid w:val="006A2372"/>
    <w:rsid w:val="006A3115"/>
    <w:rsid w:val="006A31C2"/>
    <w:rsid w:val="006A34E1"/>
    <w:rsid w:val="006A3B37"/>
    <w:rsid w:val="006A4416"/>
    <w:rsid w:val="006A4834"/>
    <w:rsid w:val="006A4A6F"/>
    <w:rsid w:val="006A556E"/>
    <w:rsid w:val="006A57E4"/>
    <w:rsid w:val="006A5913"/>
    <w:rsid w:val="006A59DF"/>
    <w:rsid w:val="006A5B2E"/>
    <w:rsid w:val="006A5ED2"/>
    <w:rsid w:val="006A634B"/>
    <w:rsid w:val="006A69F0"/>
    <w:rsid w:val="006A6AA5"/>
    <w:rsid w:val="006A6E9F"/>
    <w:rsid w:val="006A7A6C"/>
    <w:rsid w:val="006A7C2B"/>
    <w:rsid w:val="006B0B08"/>
    <w:rsid w:val="006B13C6"/>
    <w:rsid w:val="006B147C"/>
    <w:rsid w:val="006B1F4F"/>
    <w:rsid w:val="006B21F8"/>
    <w:rsid w:val="006B223D"/>
    <w:rsid w:val="006B2AC7"/>
    <w:rsid w:val="006B3D84"/>
    <w:rsid w:val="006B3E3A"/>
    <w:rsid w:val="006B40E7"/>
    <w:rsid w:val="006B4576"/>
    <w:rsid w:val="006B4B07"/>
    <w:rsid w:val="006B54C3"/>
    <w:rsid w:val="006B59FB"/>
    <w:rsid w:val="006B5A76"/>
    <w:rsid w:val="006B6365"/>
    <w:rsid w:val="006B68A9"/>
    <w:rsid w:val="006B74D3"/>
    <w:rsid w:val="006B7540"/>
    <w:rsid w:val="006B7541"/>
    <w:rsid w:val="006B781D"/>
    <w:rsid w:val="006B7F02"/>
    <w:rsid w:val="006C01F3"/>
    <w:rsid w:val="006C070D"/>
    <w:rsid w:val="006C0BB7"/>
    <w:rsid w:val="006C0C6F"/>
    <w:rsid w:val="006C0CB8"/>
    <w:rsid w:val="006C1190"/>
    <w:rsid w:val="006C143E"/>
    <w:rsid w:val="006C1918"/>
    <w:rsid w:val="006C1C42"/>
    <w:rsid w:val="006C2A1E"/>
    <w:rsid w:val="006C3251"/>
    <w:rsid w:val="006C3AA4"/>
    <w:rsid w:val="006C546C"/>
    <w:rsid w:val="006C5CAE"/>
    <w:rsid w:val="006C6E6A"/>
    <w:rsid w:val="006C76B5"/>
    <w:rsid w:val="006C7A91"/>
    <w:rsid w:val="006C7AA9"/>
    <w:rsid w:val="006C7AF8"/>
    <w:rsid w:val="006C7FCF"/>
    <w:rsid w:val="006D01AE"/>
    <w:rsid w:val="006D0334"/>
    <w:rsid w:val="006D194C"/>
    <w:rsid w:val="006D19D4"/>
    <w:rsid w:val="006D1C26"/>
    <w:rsid w:val="006D2073"/>
    <w:rsid w:val="006D2350"/>
    <w:rsid w:val="006D3494"/>
    <w:rsid w:val="006D496D"/>
    <w:rsid w:val="006D4B73"/>
    <w:rsid w:val="006D515F"/>
    <w:rsid w:val="006D5305"/>
    <w:rsid w:val="006D548D"/>
    <w:rsid w:val="006D54D4"/>
    <w:rsid w:val="006D607D"/>
    <w:rsid w:val="006D63A5"/>
    <w:rsid w:val="006D702B"/>
    <w:rsid w:val="006D72CD"/>
    <w:rsid w:val="006D7B4E"/>
    <w:rsid w:val="006E0B84"/>
    <w:rsid w:val="006E0CF0"/>
    <w:rsid w:val="006E0D8C"/>
    <w:rsid w:val="006E15D0"/>
    <w:rsid w:val="006E18A4"/>
    <w:rsid w:val="006E1B7C"/>
    <w:rsid w:val="006E1C0B"/>
    <w:rsid w:val="006E2CCA"/>
    <w:rsid w:val="006E32CF"/>
    <w:rsid w:val="006E339A"/>
    <w:rsid w:val="006E3724"/>
    <w:rsid w:val="006E377E"/>
    <w:rsid w:val="006E37BB"/>
    <w:rsid w:val="006E3A41"/>
    <w:rsid w:val="006E41B3"/>
    <w:rsid w:val="006E4729"/>
    <w:rsid w:val="006E4C23"/>
    <w:rsid w:val="006E4F73"/>
    <w:rsid w:val="006E5860"/>
    <w:rsid w:val="006E64D7"/>
    <w:rsid w:val="006E6649"/>
    <w:rsid w:val="006E7157"/>
    <w:rsid w:val="006E7D7E"/>
    <w:rsid w:val="006F01AF"/>
    <w:rsid w:val="006F09F9"/>
    <w:rsid w:val="006F0FA9"/>
    <w:rsid w:val="006F125A"/>
    <w:rsid w:val="006F133B"/>
    <w:rsid w:val="006F13DA"/>
    <w:rsid w:val="006F15C9"/>
    <w:rsid w:val="006F1CE9"/>
    <w:rsid w:val="006F1F53"/>
    <w:rsid w:val="006F23FA"/>
    <w:rsid w:val="006F23FC"/>
    <w:rsid w:val="006F2B88"/>
    <w:rsid w:val="006F2C4F"/>
    <w:rsid w:val="006F33AF"/>
    <w:rsid w:val="006F47AB"/>
    <w:rsid w:val="006F4C0C"/>
    <w:rsid w:val="006F4CB7"/>
    <w:rsid w:val="006F5779"/>
    <w:rsid w:val="006F613D"/>
    <w:rsid w:val="006F6655"/>
    <w:rsid w:val="006F6E27"/>
    <w:rsid w:val="006F715A"/>
    <w:rsid w:val="006F7573"/>
    <w:rsid w:val="00700306"/>
    <w:rsid w:val="007003B6"/>
    <w:rsid w:val="007015A2"/>
    <w:rsid w:val="0070190E"/>
    <w:rsid w:val="0070228C"/>
    <w:rsid w:val="0070265D"/>
    <w:rsid w:val="0070271D"/>
    <w:rsid w:val="00702853"/>
    <w:rsid w:val="007032DC"/>
    <w:rsid w:val="007043EC"/>
    <w:rsid w:val="0070456F"/>
    <w:rsid w:val="00704BD9"/>
    <w:rsid w:val="00704E70"/>
    <w:rsid w:val="007050DC"/>
    <w:rsid w:val="00706034"/>
    <w:rsid w:val="0070675D"/>
    <w:rsid w:val="00706A09"/>
    <w:rsid w:val="00706B83"/>
    <w:rsid w:val="007072F0"/>
    <w:rsid w:val="00707744"/>
    <w:rsid w:val="00707778"/>
    <w:rsid w:val="00707CD2"/>
    <w:rsid w:val="00707FEB"/>
    <w:rsid w:val="007103B6"/>
    <w:rsid w:val="007105FA"/>
    <w:rsid w:val="00710A6E"/>
    <w:rsid w:val="00710BAB"/>
    <w:rsid w:val="00710C14"/>
    <w:rsid w:val="007111B4"/>
    <w:rsid w:val="007117F5"/>
    <w:rsid w:val="00711A78"/>
    <w:rsid w:val="007121F8"/>
    <w:rsid w:val="007124F5"/>
    <w:rsid w:val="00712A2B"/>
    <w:rsid w:val="00712D14"/>
    <w:rsid w:val="007133D4"/>
    <w:rsid w:val="0071341C"/>
    <w:rsid w:val="007137D7"/>
    <w:rsid w:val="00713A41"/>
    <w:rsid w:val="00713CB0"/>
    <w:rsid w:val="00714470"/>
    <w:rsid w:val="00714752"/>
    <w:rsid w:val="00714A2B"/>
    <w:rsid w:val="00714B63"/>
    <w:rsid w:val="00714EF8"/>
    <w:rsid w:val="007154B7"/>
    <w:rsid w:val="007157B1"/>
    <w:rsid w:val="00715C92"/>
    <w:rsid w:val="00715D06"/>
    <w:rsid w:val="00716398"/>
    <w:rsid w:val="007164EB"/>
    <w:rsid w:val="00716671"/>
    <w:rsid w:val="00717590"/>
    <w:rsid w:val="00717E67"/>
    <w:rsid w:val="00717F9E"/>
    <w:rsid w:val="00720065"/>
    <w:rsid w:val="0072030E"/>
    <w:rsid w:val="0072031E"/>
    <w:rsid w:val="00720829"/>
    <w:rsid w:val="0072188F"/>
    <w:rsid w:val="00721958"/>
    <w:rsid w:val="00721D9A"/>
    <w:rsid w:val="007223EB"/>
    <w:rsid w:val="00723B1E"/>
    <w:rsid w:val="00724120"/>
    <w:rsid w:val="007243EA"/>
    <w:rsid w:val="0072453E"/>
    <w:rsid w:val="00724688"/>
    <w:rsid w:val="0072476D"/>
    <w:rsid w:val="00724836"/>
    <w:rsid w:val="00724DEA"/>
    <w:rsid w:val="007256E2"/>
    <w:rsid w:val="007256EB"/>
    <w:rsid w:val="00725EA4"/>
    <w:rsid w:val="007262F3"/>
    <w:rsid w:val="00726339"/>
    <w:rsid w:val="00726558"/>
    <w:rsid w:val="0072684E"/>
    <w:rsid w:val="00726D63"/>
    <w:rsid w:val="007271A1"/>
    <w:rsid w:val="0072731E"/>
    <w:rsid w:val="007277FB"/>
    <w:rsid w:val="00727B0A"/>
    <w:rsid w:val="007313B3"/>
    <w:rsid w:val="007315E4"/>
    <w:rsid w:val="007318EF"/>
    <w:rsid w:val="00731B2E"/>
    <w:rsid w:val="00731DE1"/>
    <w:rsid w:val="00732215"/>
    <w:rsid w:val="007322FE"/>
    <w:rsid w:val="00732338"/>
    <w:rsid w:val="00732CB1"/>
    <w:rsid w:val="00732D15"/>
    <w:rsid w:val="00732F7F"/>
    <w:rsid w:val="00733F37"/>
    <w:rsid w:val="00733F83"/>
    <w:rsid w:val="00734205"/>
    <w:rsid w:val="0073509B"/>
    <w:rsid w:val="00735318"/>
    <w:rsid w:val="007355D4"/>
    <w:rsid w:val="007359A9"/>
    <w:rsid w:val="00736461"/>
    <w:rsid w:val="0073683E"/>
    <w:rsid w:val="00737390"/>
    <w:rsid w:val="00740E88"/>
    <w:rsid w:val="00741125"/>
    <w:rsid w:val="0074155F"/>
    <w:rsid w:val="007418CB"/>
    <w:rsid w:val="00741BA0"/>
    <w:rsid w:val="00741EEE"/>
    <w:rsid w:val="00742163"/>
    <w:rsid w:val="00742307"/>
    <w:rsid w:val="007429FD"/>
    <w:rsid w:val="00742A4A"/>
    <w:rsid w:val="00742C2B"/>
    <w:rsid w:val="00743253"/>
    <w:rsid w:val="007433B7"/>
    <w:rsid w:val="0074379D"/>
    <w:rsid w:val="00743CF5"/>
    <w:rsid w:val="0074435D"/>
    <w:rsid w:val="00744416"/>
    <w:rsid w:val="00745487"/>
    <w:rsid w:val="00745614"/>
    <w:rsid w:val="00745B97"/>
    <w:rsid w:val="00745C6A"/>
    <w:rsid w:val="00745F09"/>
    <w:rsid w:val="00746047"/>
    <w:rsid w:val="00746729"/>
    <w:rsid w:val="0074693F"/>
    <w:rsid w:val="00746B68"/>
    <w:rsid w:val="00746BDB"/>
    <w:rsid w:val="00746C23"/>
    <w:rsid w:val="007479F3"/>
    <w:rsid w:val="00747EC5"/>
    <w:rsid w:val="00750A6A"/>
    <w:rsid w:val="00750B0F"/>
    <w:rsid w:val="00750F7F"/>
    <w:rsid w:val="00751BDB"/>
    <w:rsid w:val="00751C5F"/>
    <w:rsid w:val="00751F99"/>
    <w:rsid w:val="00752380"/>
    <w:rsid w:val="0075270E"/>
    <w:rsid w:val="00752DA8"/>
    <w:rsid w:val="0075405B"/>
    <w:rsid w:val="00754568"/>
    <w:rsid w:val="00754C8B"/>
    <w:rsid w:val="00754CDD"/>
    <w:rsid w:val="00754E06"/>
    <w:rsid w:val="00755898"/>
    <w:rsid w:val="00755902"/>
    <w:rsid w:val="007561E3"/>
    <w:rsid w:val="0075622F"/>
    <w:rsid w:val="0075669C"/>
    <w:rsid w:val="007568A0"/>
    <w:rsid w:val="00756C60"/>
    <w:rsid w:val="007572EF"/>
    <w:rsid w:val="00757329"/>
    <w:rsid w:val="007578F0"/>
    <w:rsid w:val="00757D8F"/>
    <w:rsid w:val="00757E43"/>
    <w:rsid w:val="007608B7"/>
    <w:rsid w:val="007615DD"/>
    <w:rsid w:val="0076162A"/>
    <w:rsid w:val="00762FFC"/>
    <w:rsid w:val="00763661"/>
    <w:rsid w:val="00763888"/>
    <w:rsid w:val="00763C87"/>
    <w:rsid w:val="00765197"/>
    <w:rsid w:val="0076598C"/>
    <w:rsid w:val="00765F07"/>
    <w:rsid w:val="0076633C"/>
    <w:rsid w:val="00766945"/>
    <w:rsid w:val="00766C35"/>
    <w:rsid w:val="00767200"/>
    <w:rsid w:val="00767A59"/>
    <w:rsid w:val="007700D9"/>
    <w:rsid w:val="007702CF"/>
    <w:rsid w:val="00770A28"/>
    <w:rsid w:val="007715A9"/>
    <w:rsid w:val="007716CE"/>
    <w:rsid w:val="00771968"/>
    <w:rsid w:val="0077271D"/>
    <w:rsid w:val="00773B64"/>
    <w:rsid w:val="00773CCB"/>
    <w:rsid w:val="00773F13"/>
    <w:rsid w:val="00774898"/>
    <w:rsid w:val="00774966"/>
    <w:rsid w:val="00774A96"/>
    <w:rsid w:val="00775ECC"/>
    <w:rsid w:val="00775F4B"/>
    <w:rsid w:val="00776911"/>
    <w:rsid w:val="007772D8"/>
    <w:rsid w:val="00777446"/>
    <w:rsid w:val="007775F1"/>
    <w:rsid w:val="00777BAD"/>
    <w:rsid w:val="00777DB6"/>
    <w:rsid w:val="00780039"/>
    <w:rsid w:val="00780157"/>
    <w:rsid w:val="007807B5"/>
    <w:rsid w:val="00780A05"/>
    <w:rsid w:val="00780A8D"/>
    <w:rsid w:val="00780B11"/>
    <w:rsid w:val="00780DBB"/>
    <w:rsid w:val="0078279B"/>
    <w:rsid w:val="00782AB5"/>
    <w:rsid w:val="00782C48"/>
    <w:rsid w:val="007834A2"/>
    <w:rsid w:val="007836AA"/>
    <w:rsid w:val="00783BDE"/>
    <w:rsid w:val="00783C08"/>
    <w:rsid w:val="0078412F"/>
    <w:rsid w:val="00784D2C"/>
    <w:rsid w:val="00784E2B"/>
    <w:rsid w:val="00784E59"/>
    <w:rsid w:val="0078570E"/>
    <w:rsid w:val="00785774"/>
    <w:rsid w:val="007860E2"/>
    <w:rsid w:val="007872EF"/>
    <w:rsid w:val="0078748F"/>
    <w:rsid w:val="0078764C"/>
    <w:rsid w:val="0079001D"/>
    <w:rsid w:val="007901A1"/>
    <w:rsid w:val="007903B4"/>
    <w:rsid w:val="00790A03"/>
    <w:rsid w:val="00790BBE"/>
    <w:rsid w:val="00790D00"/>
    <w:rsid w:val="00790E97"/>
    <w:rsid w:val="00791440"/>
    <w:rsid w:val="00792295"/>
    <w:rsid w:val="00792862"/>
    <w:rsid w:val="00793171"/>
    <w:rsid w:val="0079363D"/>
    <w:rsid w:val="0079371B"/>
    <w:rsid w:val="00793DC2"/>
    <w:rsid w:val="0079431F"/>
    <w:rsid w:val="007947BA"/>
    <w:rsid w:val="00794ABF"/>
    <w:rsid w:val="00794E8E"/>
    <w:rsid w:val="007952CB"/>
    <w:rsid w:val="00795984"/>
    <w:rsid w:val="0079619F"/>
    <w:rsid w:val="00796395"/>
    <w:rsid w:val="007979EA"/>
    <w:rsid w:val="00797C0B"/>
    <w:rsid w:val="007A0331"/>
    <w:rsid w:val="007A066B"/>
    <w:rsid w:val="007A098C"/>
    <w:rsid w:val="007A23D4"/>
    <w:rsid w:val="007A2462"/>
    <w:rsid w:val="007A2BC2"/>
    <w:rsid w:val="007A337A"/>
    <w:rsid w:val="007A33F8"/>
    <w:rsid w:val="007A413F"/>
    <w:rsid w:val="007A4B1B"/>
    <w:rsid w:val="007A4D06"/>
    <w:rsid w:val="007A4FBB"/>
    <w:rsid w:val="007A540D"/>
    <w:rsid w:val="007A5602"/>
    <w:rsid w:val="007A5C62"/>
    <w:rsid w:val="007A5D46"/>
    <w:rsid w:val="007A6B6E"/>
    <w:rsid w:val="007A7440"/>
    <w:rsid w:val="007A74D0"/>
    <w:rsid w:val="007A753F"/>
    <w:rsid w:val="007B026C"/>
    <w:rsid w:val="007B03D1"/>
    <w:rsid w:val="007B0A23"/>
    <w:rsid w:val="007B1105"/>
    <w:rsid w:val="007B17B6"/>
    <w:rsid w:val="007B2678"/>
    <w:rsid w:val="007B2CA3"/>
    <w:rsid w:val="007B3711"/>
    <w:rsid w:val="007B3A0C"/>
    <w:rsid w:val="007B3A43"/>
    <w:rsid w:val="007B3C7F"/>
    <w:rsid w:val="007B4395"/>
    <w:rsid w:val="007B494E"/>
    <w:rsid w:val="007B4957"/>
    <w:rsid w:val="007B4E91"/>
    <w:rsid w:val="007B5CF2"/>
    <w:rsid w:val="007B6D28"/>
    <w:rsid w:val="007B6EAF"/>
    <w:rsid w:val="007B7A5B"/>
    <w:rsid w:val="007C02B4"/>
    <w:rsid w:val="007C07B6"/>
    <w:rsid w:val="007C0DAF"/>
    <w:rsid w:val="007C1226"/>
    <w:rsid w:val="007C1E31"/>
    <w:rsid w:val="007C21E1"/>
    <w:rsid w:val="007C260D"/>
    <w:rsid w:val="007C293C"/>
    <w:rsid w:val="007C2E30"/>
    <w:rsid w:val="007C34F7"/>
    <w:rsid w:val="007C351F"/>
    <w:rsid w:val="007C3879"/>
    <w:rsid w:val="007C3FD2"/>
    <w:rsid w:val="007C3FF2"/>
    <w:rsid w:val="007C43D1"/>
    <w:rsid w:val="007C44B0"/>
    <w:rsid w:val="007C4847"/>
    <w:rsid w:val="007C4A8B"/>
    <w:rsid w:val="007C529B"/>
    <w:rsid w:val="007C5669"/>
    <w:rsid w:val="007C589D"/>
    <w:rsid w:val="007C6531"/>
    <w:rsid w:val="007C66AB"/>
    <w:rsid w:val="007C727A"/>
    <w:rsid w:val="007C7C35"/>
    <w:rsid w:val="007D08D2"/>
    <w:rsid w:val="007D137C"/>
    <w:rsid w:val="007D1717"/>
    <w:rsid w:val="007D27F9"/>
    <w:rsid w:val="007D28FF"/>
    <w:rsid w:val="007D2973"/>
    <w:rsid w:val="007D32C2"/>
    <w:rsid w:val="007D3722"/>
    <w:rsid w:val="007D3868"/>
    <w:rsid w:val="007D4212"/>
    <w:rsid w:val="007D43F3"/>
    <w:rsid w:val="007D45EE"/>
    <w:rsid w:val="007D4685"/>
    <w:rsid w:val="007D5066"/>
    <w:rsid w:val="007D515C"/>
    <w:rsid w:val="007D5E24"/>
    <w:rsid w:val="007D5FF1"/>
    <w:rsid w:val="007D7380"/>
    <w:rsid w:val="007E04BE"/>
    <w:rsid w:val="007E087B"/>
    <w:rsid w:val="007E0F92"/>
    <w:rsid w:val="007E1A40"/>
    <w:rsid w:val="007E1F09"/>
    <w:rsid w:val="007E227E"/>
    <w:rsid w:val="007E254F"/>
    <w:rsid w:val="007E3153"/>
    <w:rsid w:val="007E3803"/>
    <w:rsid w:val="007E413D"/>
    <w:rsid w:val="007E4247"/>
    <w:rsid w:val="007E4707"/>
    <w:rsid w:val="007E58B4"/>
    <w:rsid w:val="007E6406"/>
    <w:rsid w:val="007E673D"/>
    <w:rsid w:val="007E6AB1"/>
    <w:rsid w:val="007E6EA3"/>
    <w:rsid w:val="007E7014"/>
    <w:rsid w:val="007E701D"/>
    <w:rsid w:val="007E7234"/>
    <w:rsid w:val="007E7334"/>
    <w:rsid w:val="007E734F"/>
    <w:rsid w:val="007E789C"/>
    <w:rsid w:val="007F11D1"/>
    <w:rsid w:val="007F1F77"/>
    <w:rsid w:val="007F236A"/>
    <w:rsid w:val="007F2A51"/>
    <w:rsid w:val="007F2DA1"/>
    <w:rsid w:val="007F478E"/>
    <w:rsid w:val="007F4B2A"/>
    <w:rsid w:val="007F51CA"/>
    <w:rsid w:val="007F5306"/>
    <w:rsid w:val="007F5446"/>
    <w:rsid w:val="007F5C50"/>
    <w:rsid w:val="007F5D35"/>
    <w:rsid w:val="007F69A9"/>
    <w:rsid w:val="007F723A"/>
    <w:rsid w:val="007F754F"/>
    <w:rsid w:val="007F7ACD"/>
    <w:rsid w:val="00800079"/>
    <w:rsid w:val="008002E2"/>
    <w:rsid w:val="00800756"/>
    <w:rsid w:val="008009DB"/>
    <w:rsid w:val="0080122B"/>
    <w:rsid w:val="00801E98"/>
    <w:rsid w:val="008025B9"/>
    <w:rsid w:val="008025E9"/>
    <w:rsid w:val="00802682"/>
    <w:rsid w:val="008034D0"/>
    <w:rsid w:val="008036E6"/>
    <w:rsid w:val="0080370C"/>
    <w:rsid w:val="00803917"/>
    <w:rsid w:val="00805051"/>
    <w:rsid w:val="0080526A"/>
    <w:rsid w:val="00805BAF"/>
    <w:rsid w:val="008061FB"/>
    <w:rsid w:val="00806BCA"/>
    <w:rsid w:val="00806FB2"/>
    <w:rsid w:val="00806FB5"/>
    <w:rsid w:val="00807268"/>
    <w:rsid w:val="00807A36"/>
    <w:rsid w:val="00807B3F"/>
    <w:rsid w:val="008101BA"/>
    <w:rsid w:val="00810718"/>
    <w:rsid w:val="008107AC"/>
    <w:rsid w:val="00810CFC"/>
    <w:rsid w:val="00811354"/>
    <w:rsid w:val="0081227E"/>
    <w:rsid w:val="008125D3"/>
    <w:rsid w:val="00812B46"/>
    <w:rsid w:val="00812C91"/>
    <w:rsid w:val="0081305E"/>
    <w:rsid w:val="008135EF"/>
    <w:rsid w:val="008136B1"/>
    <w:rsid w:val="00813D7D"/>
    <w:rsid w:val="008145D5"/>
    <w:rsid w:val="008149F3"/>
    <w:rsid w:val="00814C55"/>
    <w:rsid w:val="0081556A"/>
    <w:rsid w:val="00815EF2"/>
    <w:rsid w:val="00816D0B"/>
    <w:rsid w:val="00816D37"/>
    <w:rsid w:val="00820267"/>
    <w:rsid w:val="00820435"/>
    <w:rsid w:val="00820474"/>
    <w:rsid w:val="008209AB"/>
    <w:rsid w:val="00820C65"/>
    <w:rsid w:val="00820D8D"/>
    <w:rsid w:val="00821267"/>
    <w:rsid w:val="00821C72"/>
    <w:rsid w:val="00823186"/>
    <w:rsid w:val="00823EE2"/>
    <w:rsid w:val="00824CFB"/>
    <w:rsid w:val="0082517D"/>
    <w:rsid w:val="008252CB"/>
    <w:rsid w:val="0082573A"/>
    <w:rsid w:val="00825BCC"/>
    <w:rsid w:val="00826336"/>
    <w:rsid w:val="00826D64"/>
    <w:rsid w:val="00826E1A"/>
    <w:rsid w:val="008271AD"/>
    <w:rsid w:val="008273BB"/>
    <w:rsid w:val="0082771B"/>
    <w:rsid w:val="0082775F"/>
    <w:rsid w:val="00827A73"/>
    <w:rsid w:val="0083034C"/>
    <w:rsid w:val="0083038D"/>
    <w:rsid w:val="008306BD"/>
    <w:rsid w:val="008308E1"/>
    <w:rsid w:val="00830E11"/>
    <w:rsid w:val="0083245A"/>
    <w:rsid w:val="00832A9E"/>
    <w:rsid w:val="00832FF2"/>
    <w:rsid w:val="008334F6"/>
    <w:rsid w:val="00834C14"/>
    <w:rsid w:val="00835172"/>
    <w:rsid w:val="00835A03"/>
    <w:rsid w:val="00836213"/>
    <w:rsid w:val="00836306"/>
    <w:rsid w:val="008371ED"/>
    <w:rsid w:val="0083755A"/>
    <w:rsid w:val="0083758E"/>
    <w:rsid w:val="00837AB2"/>
    <w:rsid w:val="00837E38"/>
    <w:rsid w:val="008406B0"/>
    <w:rsid w:val="008409D0"/>
    <w:rsid w:val="008413DE"/>
    <w:rsid w:val="008415A3"/>
    <w:rsid w:val="00841D1E"/>
    <w:rsid w:val="00841DB8"/>
    <w:rsid w:val="00842A3B"/>
    <w:rsid w:val="00842B6C"/>
    <w:rsid w:val="00842E34"/>
    <w:rsid w:val="00842E51"/>
    <w:rsid w:val="00843021"/>
    <w:rsid w:val="00843136"/>
    <w:rsid w:val="008431A0"/>
    <w:rsid w:val="00844751"/>
    <w:rsid w:val="00844C70"/>
    <w:rsid w:val="00844CE4"/>
    <w:rsid w:val="0084512B"/>
    <w:rsid w:val="00845254"/>
    <w:rsid w:val="00845A21"/>
    <w:rsid w:val="00845ADC"/>
    <w:rsid w:val="00845E38"/>
    <w:rsid w:val="00845E78"/>
    <w:rsid w:val="008460FA"/>
    <w:rsid w:val="00846386"/>
    <w:rsid w:val="008465AB"/>
    <w:rsid w:val="00846817"/>
    <w:rsid w:val="00846DBC"/>
    <w:rsid w:val="008470B9"/>
    <w:rsid w:val="008472D2"/>
    <w:rsid w:val="00847378"/>
    <w:rsid w:val="008473FE"/>
    <w:rsid w:val="0084779F"/>
    <w:rsid w:val="0084788C"/>
    <w:rsid w:val="008478B6"/>
    <w:rsid w:val="00847AB8"/>
    <w:rsid w:val="00847ED8"/>
    <w:rsid w:val="0085070B"/>
    <w:rsid w:val="00850DF3"/>
    <w:rsid w:val="008510A0"/>
    <w:rsid w:val="0085222D"/>
    <w:rsid w:val="008525D6"/>
    <w:rsid w:val="008525EA"/>
    <w:rsid w:val="00852B48"/>
    <w:rsid w:val="00852F92"/>
    <w:rsid w:val="00852FFB"/>
    <w:rsid w:val="00853FE2"/>
    <w:rsid w:val="00854118"/>
    <w:rsid w:val="008542CC"/>
    <w:rsid w:val="00854479"/>
    <w:rsid w:val="00854EAA"/>
    <w:rsid w:val="00854ECA"/>
    <w:rsid w:val="00855D9F"/>
    <w:rsid w:val="00855EBA"/>
    <w:rsid w:val="0085645E"/>
    <w:rsid w:val="008564C5"/>
    <w:rsid w:val="00856A3B"/>
    <w:rsid w:val="00856BCD"/>
    <w:rsid w:val="00856D1E"/>
    <w:rsid w:val="0086071E"/>
    <w:rsid w:val="00860897"/>
    <w:rsid w:val="00860E0A"/>
    <w:rsid w:val="00862A77"/>
    <w:rsid w:val="00862A7C"/>
    <w:rsid w:val="00862EE5"/>
    <w:rsid w:val="00863139"/>
    <w:rsid w:val="0086325A"/>
    <w:rsid w:val="00863264"/>
    <w:rsid w:val="008637AF"/>
    <w:rsid w:val="0086386B"/>
    <w:rsid w:val="0086391F"/>
    <w:rsid w:val="00864907"/>
    <w:rsid w:val="00864C01"/>
    <w:rsid w:val="00865517"/>
    <w:rsid w:val="00865575"/>
    <w:rsid w:val="00866098"/>
    <w:rsid w:val="00866D45"/>
    <w:rsid w:val="00866EFB"/>
    <w:rsid w:val="00867E5E"/>
    <w:rsid w:val="0087129E"/>
    <w:rsid w:val="0087138D"/>
    <w:rsid w:val="008717E9"/>
    <w:rsid w:val="00871E8A"/>
    <w:rsid w:val="008724A4"/>
    <w:rsid w:val="008726BC"/>
    <w:rsid w:val="00872B96"/>
    <w:rsid w:val="00872E78"/>
    <w:rsid w:val="00873599"/>
    <w:rsid w:val="00873E48"/>
    <w:rsid w:val="0087447D"/>
    <w:rsid w:val="008750CD"/>
    <w:rsid w:val="008753D4"/>
    <w:rsid w:val="0087574B"/>
    <w:rsid w:val="00876465"/>
    <w:rsid w:val="008766A3"/>
    <w:rsid w:val="008767FC"/>
    <w:rsid w:val="00876D22"/>
    <w:rsid w:val="00876D98"/>
    <w:rsid w:val="00876DD1"/>
    <w:rsid w:val="00876FE7"/>
    <w:rsid w:val="00877009"/>
    <w:rsid w:val="0087701E"/>
    <w:rsid w:val="008770FA"/>
    <w:rsid w:val="0087718D"/>
    <w:rsid w:val="008776E5"/>
    <w:rsid w:val="00877BB3"/>
    <w:rsid w:val="008814DD"/>
    <w:rsid w:val="00881E8F"/>
    <w:rsid w:val="0088241A"/>
    <w:rsid w:val="0088263F"/>
    <w:rsid w:val="00882726"/>
    <w:rsid w:val="00882C06"/>
    <w:rsid w:val="00882CA3"/>
    <w:rsid w:val="00883237"/>
    <w:rsid w:val="008835C0"/>
    <w:rsid w:val="00883934"/>
    <w:rsid w:val="008839E1"/>
    <w:rsid w:val="00883B0B"/>
    <w:rsid w:val="008841FB"/>
    <w:rsid w:val="00884C77"/>
    <w:rsid w:val="00884DBD"/>
    <w:rsid w:val="00884EA2"/>
    <w:rsid w:val="00885177"/>
    <w:rsid w:val="00885764"/>
    <w:rsid w:val="00886C13"/>
    <w:rsid w:val="0088729F"/>
    <w:rsid w:val="00887A91"/>
    <w:rsid w:val="00887F92"/>
    <w:rsid w:val="00890080"/>
    <w:rsid w:val="008902D0"/>
    <w:rsid w:val="00890393"/>
    <w:rsid w:val="00890662"/>
    <w:rsid w:val="008906B0"/>
    <w:rsid w:val="0089090C"/>
    <w:rsid w:val="00890BE8"/>
    <w:rsid w:val="00890CC6"/>
    <w:rsid w:val="00890E53"/>
    <w:rsid w:val="00891607"/>
    <w:rsid w:val="00891D42"/>
    <w:rsid w:val="00892776"/>
    <w:rsid w:val="00892999"/>
    <w:rsid w:val="00892D0D"/>
    <w:rsid w:val="00893876"/>
    <w:rsid w:val="00893F21"/>
    <w:rsid w:val="00894266"/>
    <w:rsid w:val="00894675"/>
    <w:rsid w:val="00894831"/>
    <w:rsid w:val="00894DA1"/>
    <w:rsid w:val="00894E27"/>
    <w:rsid w:val="00894FC3"/>
    <w:rsid w:val="00896623"/>
    <w:rsid w:val="00896E14"/>
    <w:rsid w:val="008970FE"/>
    <w:rsid w:val="00897177"/>
    <w:rsid w:val="00897210"/>
    <w:rsid w:val="00897477"/>
    <w:rsid w:val="008975E2"/>
    <w:rsid w:val="008976A3"/>
    <w:rsid w:val="008A028E"/>
    <w:rsid w:val="008A0355"/>
    <w:rsid w:val="008A05D0"/>
    <w:rsid w:val="008A06C2"/>
    <w:rsid w:val="008A07D4"/>
    <w:rsid w:val="008A0994"/>
    <w:rsid w:val="008A09F8"/>
    <w:rsid w:val="008A111B"/>
    <w:rsid w:val="008A121A"/>
    <w:rsid w:val="008A2423"/>
    <w:rsid w:val="008A279B"/>
    <w:rsid w:val="008A2DC2"/>
    <w:rsid w:val="008A3440"/>
    <w:rsid w:val="008A38D7"/>
    <w:rsid w:val="008A3EAB"/>
    <w:rsid w:val="008A478C"/>
    <w:rsid w:val="008A4F53"/>
    <w:rsid w:val="008A56C7"/>
    <w:rsid w:val="008A5E96"/>
    <w:rsid w:val="008A5FC5"/>
    <w:rsid w:val="008A6553"/>
    <w:rsid w:val="008A665D"/>
    <w:rsid w:val="008A6AAA"/>
    <w:rsid w:val="008A7128"/>
    <w:rsid w:val="008A71E6"/>
    <w:rsid w:val="008A7C32"/>
    <w:rsid w:val="008A7CC4"/>
    <w:rsid w:val="008A7DE3"/>
    <w:rsid w:val="008B048C"/>
    <w:rsid w:val="008B0EE7"/>
    <w:rsid w:val="008B1297"/>
    <w:rsid w:val="008B17D7"/>
    <w:rsid w:val="008B1CAE"/>
    <w:rsid w:val="008B1E3D"/>
    <w:rsid w:val="008B20E7"/>
    <w:rsid w:val="008B2E45"/>
    <w:rsid w:val="008B306F"/>
    <w:rsid w:val="008B3496"/>
    <w:rsid w:val="008B34F9"/>
    <w:rsid w:val="008B36B2"/>
    <w:rsid w:val="008B4463"/>
    <w:rsid w:val="008B4562"/>
    <w:rsid w:val="008B4C5B"/>
    <w:rsid w:val="008B4FE6"/>
    <w:rsid w:val="008B5A7A"/>
    <w:rsid w:val="008B65E0"/>
    <w:rsid w:val="008B694A"/>
    <w:rsid w:val="008B6B8B"/>
    <w:rsid w:val="008B6EA1"/>
    <w:rsid w:val="008B7E26"/>
    <w:rsid w:val="008C0DE0"/>
    <w:rsid w:val="008C1197"/>
    <w:rsid w:val="008C1611"/>
    <w:rsid w:val="008C1821"/>
    <w:rsid w:val="008C19D3"/>
    <w:rsid w:val="008C1B26"/>
    <w:rsid w:val="008C1F3B"/>
    <w:rsid w:val="008C213A"/>
    <w:rsid w:val="008C2E33"/>
    <w:rsid w:val="008C3495"/>
    <w:rsid w:val="008C4091"/>
    <w:rsid w:val="008C469D"/>
    <w:rsid w:val="008C4AFC"/>
    <w:rsid w:val="008C4BCC"/>
    <w:rsid w:val="008C4CE1"/>
    <w:rsid w:val="008C57C6"/>
    <w:rsid w:val="008C5AA8"/>
    <w:rsid w:val="008C5C6C"/>
    <w:rsid w:val="008C6713"/>
    <w:rsid w:val="008C67B4"/>
    <w:rsid w:val="008C6CEA"/>
    <w:rsid w:val="008C7002"/>
    <w:rsid w:val="008C72DD"/>
    <w:rsid w:val="008C73DF"/>
    <w:rsid w:val="008D015C"/>
    <w:rsid w:val="008D020E"/>
    <w:rsid w:val="008D06A6"/>
    <w:rsid w:val="008D0ADA"/>
    <w:rsid w:val="008D1889"/>
    <w:rsid w:val="008D2240"/>
    <w:rsid w:val="008D25F6"/>
    <w:rsid w:val="008D264F"/>
    <w:rsid w:val="008D309F"/>
    <w:rsid w:val="008D41DF"/>
    <w:rsid w:val="008D4565"/>
    <w:rsid w:val="008D5257"/>
    <w:rsid w:val="008D53AC"/>
    <w:rsid w:val="008D595D"/>
    <w:rsid w:val="008D5A05"/>
    <w:rsid w:val="008D5B2E"/>
    <w:rsid w:val="008D5EA8"/>
    <w:rsid w:val="008D602A"/>
    <w:rsid w:val="008D64C4"/>
    <w:rsid w:val="008D659C"/>
    <w:rsid w:val="008D65E1"/>
    <w:rsid w:val="008D6DD1"/>
    <w:rsid w:val="008D72FD"/>
    <w:rsid w:val="008D7CD4"/>
    <w:rsid w:val="008E03AE"/>
    <w:rsid w:val="008E0CA3"/>
    <w:rsid w:val="008E0FA6"/>
    <w:rsid w:val="008E1331"/>
    <w:rsid w:val="008E19E7"/>
    <w:rsid w:val="008E2679"/>
    <w:rsid w:val="008E2EC7"/>
    <w:rsid w:val="008E326B"/>
    <w:rsid w:val="008E3B46"/>
    <w:rsid w:val="008E3F2E"/>
    <w:rsid w:val="008E434E"/>
    <w:rsid w:val="008E43D9"/>
    <w:rsid w:val="008E4880"/>
    <w:rsid w:val="008E66E7"/>
    <w:rsid w:val="008E6AF5"/>
    <w:rsid w:val="008E6F46"/>
    <w:rsid w:val="008E77AE"/>
    <w:rsid w:val="008E7890"/>
    <w:rsid w:val="008E7991"/>
    <w:rsid w:val="008E7CE9"/>
    <w:rsid w:val="008E7D3A"/>
    <w:rsid w:val="008F0D5D"/>
    <w:rsid w:val="008F10F0"/>
    <w:rsid w:val="008F127E"/>
    <w:rsid w:val="008F1379"/>
    <w:rsid w:val="008F13F1"/>
    <w:rsid w:val="008F1FD9"/>
    <w:rsid w:val="008F2F9A"/>
    <w:rsid w:val="008F3A5C"/>
    <w:rsid w:val="008F3BDE"/>
    <w:rsid w:val="008F4561"/>
    <w:rsid w:val="008F4946"/>
    <w:rsid w:val="008F4CC9"/>
    <w:rsid w:val="008F50BB"/>
    <w:rsid w:val="008F54EB"/>
    <w:rsid w:val="008F56FD"/>
    <w:rsid w:val="008F58C4"/>
    <w:rsid w:val="008F619F"/>
    <w:rsid w:val="008F6945"/>
    <w:rsid w:val="008F6C8E"/>
    <w:rsid w:val="008F6DD4"/>
    <w:rsid w:val="008F7B9D"/>
    <w:rsid w:val="008F7C95"/>
    <w:rsid w:val="008F7CAF"/>
    <w:rsid w:val="008F7D82"/>
    <w:rsid w:val="00900515"/>
    <w:rsid w:val="0090053F"/>
    <w:rsid w:val="0090090F"/>
    <w:rsid w:val="00900A26"/>
    <w:rsid w:val="00900D98"/>
    <w:rsid w:val="00901AD6"/>
    <w:rsid w:val="00901D87"/>
    <w:rsid w:val="00902159"/>
    <w:rsid w:val="00902367"/>
    <w:rsid w:val="00902A25"/>
    <w:rsid w:val="009035CE"/>
    <w:rsid w:val="00904F14"/>
    <w:rsid w:val="009050AD"/>
    <w:rsid w:val="009053EF"/>
    <w:rsid w:val="009059D9"/>
    <w:rsid w:val="00905A39"/>
    <w:rsid w:val="00906001"/>
    <w:rsid w:val="00906EE8"/>
    <w:rsid w:val="00907055"/>
    <w:rsid w:val="0090710C"/>
    <w:rsid w:val="009074BE"/>
    <w:rsid w:val="00907563"/>
    <w:rsid w:val="00907783"/>
    <w:rsid w:val="00910568"/>
    <w:rsid w:val="0091062B"/>
    <w:rsid w:val="009106FD"/>
    <w:rsid w:val="0091110D"/>
    <w:rsid w:val="00911A46"/>
    <w:rsid w:val="00911BA9"/>
    <w:rsid w:val="00912323"/>
    <w:rsid w:val="00912753"/>
    <w:rsid w:val="00913D85"/>
    <w:rsid w:val="00913F47"/>
    <w:rsid w:val="009140AE"/>
    <w:rsid w:val="0091424F"/>
    <w:rsid w:val="0091460D"/>
    <w:rsid w:val="00915AEE"/>
    <w:rsid w:val="00915DC3"/>
    <w:rsid w:val="00916FEB"/>
    <w:rsid w:val="009173EE"/>
    <w:rsid w:val="00917454"/>
    <w:rsid w:val="00917E7D"/>
    <w:rsid w:val="009200DD"/>
    <w:rsid w:val="009202A5"/>
    <w:rsid w:val="0092059E"/>
    <w:rsid w:val="009205F2"/>
    <w:rsid w:val="0092146B"/>
    <w:rsid w:val="00921478"/>
    <w:rsid w:val="00921D2E"/>
    <w:rsid w:val="00921F2F"/>
    <w:rsid w:val="00921F5F"/>
    <w:rsid w:val="00922F82"/>
    <w:rsid w:val="009232FB"/>
    <w:rsid w:val="00923AB0"/>
    <w:rsid w:val="00923B50"/>
    <w:rsid w:val="00923E94"/>
    <w:rsid w:val="00924717"/>
    <w:rsid w:val="00924812"/>
    <w:rsid w:val="00924A1F"/>
    <w:rsid w:val="00924BF9"/>
    <w:rsid w:val="00924DA9"/>
    <w:rsid w:val="00925865"/>
    <w:rsid w:val="00925919"/>
    <w:rsid w:val="00925F5D"/>
    <w:rsid w:val="009264FF"/>
    <w:rsid w:val="00927623"/>
    <w:rsid w:val="00927D3B"/>
    <w:rsid w:val="009302D6"/>
    <w:rsid w:val="00930A0B"/>
    <w:rsid w:val="00930B45"/>
    <w:rsid w:val="00930C3A"/>
    <w:rsid w:val="00930DB4"/>
    <w:rsid w:val="00931458"/>
    <w:rsid w:val="00931861"/>
    <w:rsid w:val="00932249"/>
    <w:rsid w:val="009325F7"/>
    <w:rsid w:val="00932C3D"/>
    <w:rsid w:val="00932F48"/>
    <w:rsid w:val="00933D4F"/>
    <w:rsid w:val="00934118"/>
    <w:rsid w:val="0093474A"/>
    <w:rsid w:val="00934C90"/>
    <w:rsid w:val="009361A7"/>
    <w:rsid w:val="00936325"/>
    <w:rsid w:val="0093650E"/>
    <w:rsid w:val="0093693B"/>
    <w:rsid w:val="00936BEF"/>
    <w:rsid w:val="009375FD"/>
    <w:rsid w:val="0093773D"/>
    <w:rsid w:val="00937BE5"/>
    <w:rsid w:val="00937C98"/>
    <w:rsid w:val="0094037F"/>
    <w:rsid w:val="00940DD2"/>
    <w:rsid w:val="00940EAB"/>
    <w:rsid w:val="0094143E"/>
    <w:rsid w:val="00942203"/>
    <w:rsid w:val="00942387"/>
    <w:rsid w:val="00942F00"/>
    <w:rsid w:val="00942FC4"/>
    <w:rsid w:val="00943120"/>
    <w:rsid w:val="00943514"/>
    <w:rsid w:val="00943722"/>
    <w:rsid w:val="009439F3"/>
    <w:rsid w:val="00943AC3"/>
    <w:rsid w:val="0094419C"/>
    <w:rsid w:val="00944A62"/>
    <w:rsid w:val="00944F32"/>
    <w:rsid w:val="00946AF6"/>
    <w:rsid w:val="00946B8B"/>
    <w:rsid w:val="00947950"/>
    <w:rsid w:val="00947AB1"/>
    <w:rsid w:val="009501D6"/>
    <w:rsid w:val="009507D7"/>
    <w:rsid w:val="009508FD"/>
    <w:rsid w:val="00950E05"/>
    <w:rsid w:val="00951002"/>
    <w:rsid w:val="00951CC2"/>
    <w:rsid w:val="00951D75"/>
    <w:rsid w:val="009526FE"/>
    <w:rsid w:val="0095285D"/>
    <w:rsid w:val="009531FB"/>
    <w:rsid w:val="00953580"/>
    <w:rsid w:val="00953910"/>
    <w:rsid w:val="00953B49"/>
    <w:rsid w:val="00954290"/>
    <w:rsid w:val="00954A4D"/>
    <w:rsid w:val="00954D73"/>
    <w:rsid w:val="00954E3D"/>
    <w:rsid w:val="00955085"/>
    <w:rsid w:val="00955351"/>
    <w:rsid w:val="00955497"/>
    <w:rsid w:val="009556C7"/>
    <w:rsid w:val="00955AE9"/>
    <w:rsid w:val="00956493"/>
    <w:rsid w:val="009565F7"/>
    <w:rsid w:val="00956796"/>
    <w:rsid w:val="009568F4"/>
    <w:rsid w:val="009572ED"/>
    <w:rsid w:val="00957C2E"/>
    <w:rsid w:val="009604DC"/>
    <w:rsid w:val="00960B47"/>
    <w:rsid w:val="00960D35"/>
    <w:rsid w:val="00961F1F"/>
    <w:rsid w:val="009623F3"/>
    <w:rsid w:val="009625ED"/>
    <w:rsid w:val="00962906"/>
    <w:rsid w:val="00962B19"/>
    <w:rsid w:val="00962E08"/>
    <w:rsid w:val="00963252"/>
    <w:rsid w:val="009632CB"/>
    <w:rsid w:val="0096342C"/>
    <w:rsid w:val="009634EA"/>
    <w:rsid w:val="009645DA"/>
    <w:rsid w:val="0096476F"/>
    <w:rsid w:val="00964D81"/>
    <w:rsid w:val="00964EA3"/>
    <w:rsid w:val="009657E6"/>
    <w:rsid w:val="00965A04"/>
    <w:rsid w:val="00966131"/>
    <w:rsid w:val="009661C5"/>
    <w:rsid w:val="009665C3"/>
    <w:rsid w:val="00966A06"/>
    <w:rsid w:val="00966D6E"/>
    <w:rsid w:val="00967029"/>
    <w:rsid w:val="00967FEF"/>
    <w:rsid w:val="00970AE1"/>
    <w:rsid w:val="00970D5D"/>
    <w:rsid w:val="00970FE3"/>
    <w:rsid w:val="00971712"/>
    <w:rsid w:val="00971A5A"/>
    <w:rsid w:val="0097259D"/>
    <w:rsid w:val="0097368E"/>
    <w:rsid w:val="00973E6E"/>
    <w:rsid w:val="0097462D"/>
    <w:rsid w:val="009748AA"/>
    <w:rsid w:val="00975307"/>
    <w:rsid w:val="0097582F"/>
    <w:rsid w:val="00975AAC"/>
    <w:rsid w:val="00976650"/>
    <w:rsid w:val="0097693E"/>
    <w:rsid w:val="009769BC"/>
    <w:rsid w:val="009774E2"/>
    <w:rsid w:val="00977682"/>
    <w:rsid w:val="00977EE1"/>
    <w:rsid w:val="009800C1"/>
    <w:rsid w:val="00980C5C"/>
    <w:rsid w:val="00981024"/>
    <w:rsid w:val="00981A3C"/>
    <w:rsid w:val="00981FD3"/>
    <w:rsid w:val="009821B7"/>
    <w:rsid w:val="0098286D"/>
    <w:rsid w:val="009829AD"/>
    <w:rsid w:val="00982DE0"/>
    <w:rsid w:val="00982E7E"/>
    <w:rsid w:val="009845E7"/>
    <w:rsid w:val="009849E5"/>
    <w:rsid w:val="00984E79"/>
    <w:rsid w:val="00984F83"/>
    <w:rsid w:val="00985767"/>
    <w:rsid w:val="00985ED2"/>
    <w:rsid w:val="009862DF"/>
    <w:rsid w:val="00986F0C"/>
    <w:rsid w:val="009870B4"/>
    <w:rsid w:val="00987BE4"/>
    <w:rsid w:val="009909C0"/>
    <w:rsid w:val="00990AD4"/>
    <w:rsid w:val="00990C92"/>
    <w:rsid w:val="00991090"/>
    <w:rsid w:val="0099110F"/>
    <w:rsid w:val="0099114F"/>
    <w:rsid w:val="00991736"/>
    <w:rsid w:val="009929B9"/>
    <w:rsid w:val="009931B6"/>
    <w:rsid w:val="00993317"/>
    <w:rsid w:val="00993912"/>
    <w:rsid w:val="00993C62"/>
    <w:rsid w:val="0099479F"/>
    <w:rsid w:val="00994C62"/>
    <w:rsid w:val="009950A8"/>
    <w:rsid w:val="00995193"/>
    <w:rsid w:val="0099586A"/>
    <w:rsid w:val="00995C3B"/>
    <w:rsid w:val="0099605A"/>
    <w:rsid w:val="00996402"/>
    <w:rsid w:val="00996AD2"/>
    <w:rsid w:val="00996AD6"/>
    <w:rsid w:val="00996B11"/>
    <w:rsid w:val="00996EB9"/>
    <w:rsid w:val="009975BE"/>
    <w:rsid w:val="00997695"/>
    <w:rsid w:val="009A055D"/>
    <w:rsid w:val="009A0D1C"/>
    <w:rsid w:val="009A0DB9"/>
    <w:rsid w:val="009A12F0"/>
    <w:rsid w:val="009A1D97"/>
    <w:rsid w:val="009A1DAF"/>
    <w:rsid w:val="009A2058"/>
    <w:rsid w:val="009A23A6"/>
    <w:rsid w:val="009A2E20"/>
    <w:rsid w:val="009A31E3"/>
    <w:rsid w:val="009A39A3"/>
    <w:rsid w:val="009A3C12"/>
    <w:rsid w:val="009A406A"/>
    <w:rsid w:val="009A4ADD"/>
    <w:rsid w:val="009A4BA9"/>
    <w:rsid w:val="009A4CE9"/>
    <w:rsid w:val="009A5DAF"/>
    <w:rsid w:val="009A6219"/>
    <w:rsid w:val="009A69F7"/>
    <w:rsid w:val="009A6B41"/>
    <w:rsid w:val="009A6BA5"/>
    <w:rsid w:val="009A7722"/>
    <w:rsid w:val="009A78BE"/>
    <w:rsid w:val="009B0634"/>
    <w:rsid w:val="009B084C"/>
    <w:rsid w:val="009B0D6D"/>
    <w:rsid w:val="009B18E2"/>
    <w:rsid w:val="009B281C"/>
    <w:rsid w:val="009B34FD"/>
    <w:rsid w:val="009B396C"/>
    <w:rsid w:val="009B465C"/>
    <w:rsid w:val="009B4C2B"/>
    <w:rsid w:val="009B542D"/>
    <w:rsid w:val="009B5CC8"/>
    <w:rsid w:val="009B5D03"/>
    <w:rsid w:val="009B6521"/>
    <w:rsid w:val="009B66BF"/>
    <w:rsid w:val="009B6A3D"/>
    <w:rsid w:val="009B6AD4"/>
    <w:rsid w:val="009B6B42"/>
    <w:rsid w:val="009B7A36"/>
    <w:rsid w:val="009B7C03"/>
    <w:rsid w:val="009B7F63"/>
    <w:rsid w:val="009C0459"/>
    <w:rsid w:val="009C0D58"/>
    <w:rsid w:val="009C11AD"/>
    <w:rsid w:val="009C12C1"/>
    <w:rsid w:val="009C13E0"/>
    <w:rsid w:val="009C1A8F"/>
    <w:rsid w:val="009C26B9"/>
    <w:rsid w:val="009C2969"/>
    <w:rsid w:val="009C3611"/>
    <w:rsid w:val="009C3893"/>
    <w:rsid w:val="009C3A1A"/>
    <w:rsid w:val="009C3BDB"/>
    <w:rsid w:val="009C3F1E"/>
    <w:rsid w:val="009C4A81"/>
    <w:rsid w:val="009C4B03"/>
    <w:rsid w:val="009C4BE8"/>
    <w:rsid w:val="009C4F60"/>
    <w:rsid w:val="009C5E54"/>
    <w:rsid w:val="009C60BD"/>
    <w:rsid w:val="009C640D"/>
    <w:rsid w:val="009C65B1"/>
    <w:rsid w:val="009C67A2"/>
    <w:rsid w:val="009C690D"/>
    <w:rsid w:val="009C747E"/>
    <w:rsid w:val="009C75C1"/>
    <w:rsid w:val="009C7BF5"/>
    <w:rsid w:val="009D0162"/>
    <w:rsid w:val="009D0964"/>
    <w:rsid w:val="009D098D"/>
    <w:rsid w:val="009D0A94"/>
    <w:rsid w:val="009D0D51"/>
    <w:rsid w:val="009D0FBD"/>
    <w:rsid w:val="009D0FCC"/>
    <w:rsid w:val="009D151E"/>
    <w:rsid w:val="009D20E3"/>
    <w:rsid w:val="009D251A"/>
    <w:rsid w:val="009D2693"/>
    <w:rsid w:val="009D2838"/>
    <w:rsid w:val="009D29C7"/>
    <w:rsid w:val="009D2B1B"/>
    <w:rsid w:val="009D2D0B"/>
    <w:rsid w:val="009D3CD0"/>
    <w:rsid w:val="009D49BA"/>
    <w:rsid w:val="009D543E"/>
    <w:rsid w:val="009D559B"/>
    <w:rsid w:val="009D5962"/>
    <w:rsid w:val="009D5D77"/>
    <w:rsid w:val="009D68BD"/>
    <w:rsid w:val="009D68EE"/>
    <w:rsid w:val="009D7531"/>
    <w:rsid w:val="009D7736"/>
    <w:rsid w:val="009D799D"/>
    <w:rsid w:val="009D7B12"/>
    <w:rsid w:val="009E03E2"/>
    <w:rsid w:val="009E0618"/>
    <w:rsid w:val="009E0690"/>
    <w:rsid w:val="009E06B2"/>
    <w:rsid w:val="009E0CBA"/>
    <w:rsid w:val="009E0ECB"/>
    <w:rsid w:val="009E1679"/>
    <w:rsid w:val="009E1943"/>
    <w:rsid w:val="009E1A58"/>
    <w:rsid w:val="009E24EC"/>
    <w:rsid w:val="009E265F"/>
    <w:rsid w:val="009E2A34"/>
    <w:rsid w:val="009E2E24"/>
    <w:rsid w:val="009E3493"/>
    <w:rsid w:val="009E34AD"/>
    <w:rsid w:val="009E3537"/>
    <w:rsid w:val="009E356A"/>
    <w:rsid w:val="009E3673"/>
    <w:rsid w:val="009E396E"/>
    <w:rsid w:val="009E442E"/>
    <w:rsid w:val="009E4F90"/>
    <w:rsid w:val="009E59FF"/>
    <w:rsid w:val="009E5BAE"/>
    <w:rsid w:val="009E6334"/>
    <w:rsid w:val="009E6419"/>
    <w:rsid w:val="009E6525"/>
    <w:rsid w:val="009E6AEC"/>
    <w:rsid w:val="009E6C34"/>
    <w:rsid w:val="009E7335"/>
    <w:rsid w:val="009E73D1"/>
    <w:rsid w:val="009E7B16"/>
    <w:rsid w:val="009E7CB9"/>
    <w:rsid w:val="009E7DC5"/>
    <w:rsid w:val="009F00D6"/>
    <w:rsid w:val="009F0108"/>
    <w:rsid w:val="009F03D0"/>
    <w:rsid w:val="009F0A6C"/>
    <w:rsid w:val="009F0B9D"/>
    <w:rsid w:val="009F0CB4"/>
    <w:rsid w:val="009F0F21"/>
    <w:rsid w:val="009F11F2"/>
    <w:rsid w:val="009F1B4C"/>
    <w:rsid w:val="009F1F82"/>
    <w:rsid w:val="009F3B0C"/>
    <w:rsid w:val="009F4049"/>
    <w:rsid w:val="009F57A0"/>
    <w:rsid w:val="009F5E9F"/>
    <w:rsid w:val="009F67CF"/>
    <w:rsid w:val="009F6A52"/>
    <w:rsid w:val="009F6F68"/>
    <w:rsid w:val="009F7910"/>
    <w:rsid w:val="00A00B3D"/>
    <w:rsid w:val="00A01B63"/>
    <w:rsid w:val="00A01C51"/>
    <w:rsid w:val="00A01FA9"/>
    <w:rsid w:val="00A02109"/>
    <w:rsid w:val="00A02400"/>
    <w:rsid w:val="00A02BE5"/>
    <w:rsid w:val="00A03341"/>
    <w:rsid w:val="00A03531"/>
    <w:rsid w:val="00A038BC"/>
    <w:rsid w:val="00A04222"/>
    <w:rsid w:val="00A0425F"/>
    <w:rsid w:val="00A04324"/>
    <w:rsid w:val="00A04A70"/>
    <w:rsid w:val="00A04BA5"/>
    <w:rsid w:val="00A04F29"/>
    <w:rsid w:val="00A04F5A"/>
    <w:rsid w:val="00A051E4"/>
    <w:rsid w:val="00A0578D"/>
    <w:rsid w:val="00A05ACE"/>
    <w:rsid w:val="00A05FEB"/>
    <w:rsid w:val="00A0600C"/>
    <w:rsid w:val="00A06BC2"/>
    <w:rsid w:val="00A06E9B"/>
    <w:rsid w:val="00A07685"/>
    <w:rsid w:val="00A10A6D"/>
    <w:rsid w:val="00A10D86"/>
    <w:rsid w:val="00A114CE"/>
    <w:rsid w:val="00A1160E"/>
    <w:rsid w:val="00A11DE2"/>
    <w:rsid w:val="00A12C72"/>
    <w:rsid w:val="00A12DAA"/>
    <w:rsid w:val="00A138AC"/>
    <w:rsid w:val="00A13BDB"/>
    <w:rsid w:val="00A14CF5"/>
    <w:rsid w:val="00A15E38"/>
    <w:rsid w:val="00A15F22"/>
    <w:rsid w:val="00A1609D"/>
    <w:rsid w:val="00A1631F"/>
    <w:rsid w:val="00A163F9"/>
    <w:rsid w:val="00A1672D"/>
    <w:rsid w:val="00A1724B"/>
    <w:rsid w:val="00A174A2"/>
    <w:rsid w:val="00A20711"/>
    <w:rsid w:val="00A20D9C"/>
    <w:rsid w:val="00A21233"/>
    <w:rsid w:val="00A213D4"/>
    <w:rsid w:val="00A213FA"/>
    <w:rsid w:val="00A21B0B"/>
    <w:rsid w:val="00A22134"/>
    <w:rsid w:val="00A225E2"/>
    <w:rsid w:val="00A22E24"/>
    <w:rsid w:val="00A23797"/>
    <w:rsid w:val="00A23EF3"/>
    <w:rsid w:val="00A24275"/>
    <w:rsid w:val="00A2431A"/>
    <w:rsid w:val="00A24A7A"/>
    <w:rsid w:val="00A24A9D"/>
    <w:rsid w:val="00A24CF9"/>
    <w:rsid w:val="00A25A23"/>
    <w:rsid w:val="00A25BEE"/>
    <w:rsid w:val="00A265E5"/>
    <w:rsid w:val="00A26866"/>
    <w:rsid w:val="00A27016"/>
    <w:rsid w:val="00A2751A"/>
    <w:rsid w:val="00A27D85"/>
    <w:rsid w:val="00A3004A"/>
    <w:rsid w:val="00A300BA"/>
    <w:rsid w:val="00A302CE"/>
    <w:rsid w:val="00A303DF"/>
    <w:rsid w:val="00A30594"/>
    <w:rsid w:val="00A30E0A"/>
    <w:rsid w:val="00A311D1"/>
    <w:rsid w:val="00A31336"/>
    <w:rsid w:val="00A31CCC"/>
    <w:rsid w:val="00A320D4"/>
    <w:rsid w:val="00A322F9"/>
    <w:rsid w:val="00A32339"/>
    <w:rsid w:val="00A32D1E"/>
    <w:rsid w:val="00A33396"/>
    <w:rsid w:val="00A347B6"/>
    <w:rsid w:val="00A34AB7"/>
    <w:rsid w:val="00A350A9"/>
    <w:rsid w:val="00A35C80"/>
    <w:rsid w:val="00A36AD5"/>
    <w:rsid w:val="00A36E66"/>
    <w:rsid w:val="00A36EE7"/>
    <w:rsid w:val="00A37197"/>
    <w:rsid w:val="00A37B57"/>
    <w:rsid w:val="00A37F52"/>
    <w:rsid w:val="00A4083B"/>
    <w:rsid w:val="00A40946"/>
    <w:rsid w:val="00A40BE4"/>
    <w:rsid w:val="00A41026"/>
    <w:rsid w:val="00A416BF"/>
    <w:rsid w:val="00A41A6F"/>
    <w:rsid w:val="00A41DF4"/>
    <w:rsid w:val="00A4232D"/>
    <w:rsid w:val="00A42BC6"/>
    <w:rsid w:val="00A4364B"/>
    <w:rsid w:val="00A44041"/>
    <w:rsid w:val="00A445C4"/>
    <w:rsid w:val="00A44641"/>
    <w:rsid w:val="00A4473D"/>
    <w:rsid w:val="00A44813"/>
    <w:rsid w:val="00A44B70"/>
    <w:rsid w:val="00A4666C"/>
    <w:rsid w:val="00A469A7"/>
    <w:rsid w:val="00A473D9"/>
    <w:rsid w:val="00A475D1"/>
    <w:rsid w:val="00A47D71"/>
    <w:rsid w:val="00A47DF5"/>
    <w:rsid w:val="00A50064"/>
    <w:rsid w:val="00A50256"/>
    <w:rsid w:val="00A50E31"/>
    <w:rsid w:val="00A5138B"/>
    <w:rsid w:val="00A51C6A"/>
    <w:rsid w:val="00A51F48"/>
    <w:rsid w:val="00A51F75"/>
    <w:rsid w:val="00A5227C"/>
    <w:rsid w:val="00A52687"/>
    <w:rsid w:val="00A528D2"/>
    <w:rsid w:val="00A528DB"/>
    <w:rsid w:val="00A52B49"/>
    <w:rsid w:val="00A532A0"/>
    <w:rsid w:val="00A53F12"/>
    <w:rsid w:val="00A54227"/>
    <w:rsid w:val="00A542DC"/>
    <w:rsid w:val="00A5480B"/>
    <w:rsid w:val="00A54CAB"/>
    <w:rsid w:val="00A55815"/>
    <w:rsid w:val="00A55D1D"/>
    <w:rsid w:val="00A560C0"/>
    <w:rsid w:val="00A56496"/>
    <w:rsid w:val="00A565F6"/>
    <w:rsid w:val="00A5672F"/>
    <w:rsid w:val="00A57490"/>
    <w:rsid w:val="00A57D5D"/>
    <w:rsid w:val="00A603CE"/>
    <w:rsid w:val="00A60B3B"/>
    <w:rsid w:val="00A60D48"/>
    <w:rsid w:val="00A61AEE"/>
    <w:rsid w:val="00A61B47"/>
    <w:rsid w:val="00A61B7D"/>
    <w:rsid w:val="00A61BB8"/>
    <w:rsid w:val="00A61BC2"/>
    <w:rsid w:val="00A61F07"/>
    <w:rsid w:val="00A62999"/>
    <w:rsid w:val="00A62E08"/>
    <w:rsid w:val="00A63294"/>
    <w:rsid w:val="00A634E4"/>
    <w:rsid w:val="00A63645"/>
    <w:rsid w:val="00A637F0"/>
    <w:rsid w:val="00A63A3C"/>
    <w:rsid w:val="00A63C54"/>
    <w:rsid w:val="00A643C0"/>
    <w:rsid w:val="00A64476"/>
    <w:rsid w:val="00A644EA"/>
    <w:rsid w:val="00A65A74"/>
    <w:rsid w:val="00A66356"/>
    <w:rsid w:val="00A6649E"/>
    <w:rsid w:val="00A66907"/>
    <w:rsid w:val="00A6697C"/>
    <w:rsid w:val="00A679E8"/>
    <w:rsid w:val="00A7018C"/>
    <w:rsid w:val="00A702BB"/>
    <w:rsid w:val="00A7043E"/>
    <w:rsid w:val="00A709BF"/>
    <w:rsid w:val="00A71518"/>
    <w:rsid w:val="00A71613"/>
    <w:rsid w:val="00A71AB0"/>
    <w:rsid w:val="00A71DA9"/>
    <w:rsid w:val="00A72158"/>
    <w:rsid w:val="00A72727"/>
    <w:rsid w:val="00A72C1C"/>
    <w:rsid w:val="00A72E56"/>
    <w:rsid w:val="00A730B4"/>
    <w:rsid w:val="00A730F9"/>
    <w:rsid w:val="00A73134"/>
    <w:rsid w:val="00A732AE"/>
    <w:rsid w:val="00A732E5"/>
    <w:rsid w:val="00A733C9"/>
    <w:rsid w:val="00A74708"/>
    <w:rsid w:val="00A750D7"/>
    <w:rsid w:val="00A75544"/>
    <w:rsid w:val="00A757DB"/>
    <w:rsid w:val="00A75BB8"/>
    <w:rsid w:val="00A75C8A"/>
    <w:rsid w:val="00A76806"/>
    <w:rsid w:val="00A769D3"/>
    <w:rsid w:val="00A76F65"/>
    <w:rsid w:val="00A77076"/>
    <w:rsid w:val="00A77EA3"/>
    <w:rsid w:val="00A809E1"/>
    <w:rsid w:val="00A80F7E"/>
    <w:rsid w:val="00A8199D"/>
    <w:rsid w:val="00A81B64"/>
    <w:rsid w:val="00A820A4"/>
    <w:rsid w:val="00A82BAE"/>
    <w:rsid w:val="00A82F1F"/>
    <w:rsid w:val="00A8409E"/>
    <w:rsid w:val="00A840AE"/>
    <w:rsid w:val="00A842D3"/>
    <w:rsid w:val="00A84B35"/>
    <w:rsid w:val="00A85891"/>
    <w:rsid w:val="00A85D25"/>
    <w:rsid w:val="00A8612B"/>
    <w:rsid w:val="00A86BFE"/>
    <w:rsid w:val="00A87369"/>
    <w:rsid w:val="00A87595"/>
    <w:rsid w:val="00A879A9"/>
    <w:rsid w:val="00A902AF"/>
    <w:rsid w:val="00A90DDF"/>
    <w:rsid w:val="00A91429"/>
    <w:rsid w:val="00A9150D"/>
    <w:rsid w:val="00A9167B"/>
    <w:rsid w:val="00A91BBB"/>
    <w:rsid w:val="00A91ED8"/>
    <w:rsid w:val="00A931E1"/>
    <w:rsid w:val="00A93796"/>
    <w:rsid w:val="00A93BEA"/>
    <w:rsid w:val="00A93C09"/>
    <w:rsid w:val="00A93E3E"/>
    <w:rsid w:val="00A93FB2"/>
    <w:rsid w:val="00A94157"/>
    <w:rsid w:val="00A94848"/>
    <w:rsid w:val="00A95444"/>
    <w:rsid w:val="00A955DA"/>
    <w:rsid w:val="00A9564A"/>
    <w:rsid w:val="00A95AC2"/>
    <w:rsid w:val="00A96120"/>
    <w:rsid w:val="00A96739"/>
    <w:rsid w:val="00A96DE8"/>
    <w:rsid w:val="00A96F04"/>
    <w:rsid w:val="00AA11A0"/>
    <w:rsid w:val="00AA192E"/>
    <w:rsid w:val="00AA1A71"/>
    <w:rsid w:val="00AA1C70"/>
    <w:rsid w:val="00AA1EBA"/>
    <w:rsid w:val="00AA232E"/>
    <w:rsid w:val="00AA2645"/>
    <w:rsid w:val="00AA2B49"/>
    <w:rsid w:val="00AA3283"/>
    <w:rsid w:val="00AA34D8"/>
    <w:rsid w:val="00AA3662"/>
    <w:rsid w:val="00AA36B2"/>
    <w:rsid w:val="00AA3AA6"/>
    <w:rsid w:val="00AA3C64"/>
    <w:rsid w:val="00AA421A"/>
    <w:rsid w:val="00AA4543"/>
    <w:rsid w:val="00AA5407"/>
    <w:rsid w:val="00AA54AA"/>
    <w:rsid w:val="00AA56EC"/>
    <w:rsid w:val="00AA5827"/>
    <w:rsid w:val="00AA5EE7"/>
    <w:rsid w:val="00AA6A46"/>
    <w:rsid w:val="00AA7243"/>
    <w:rsid w:val="00AA7E34"/>
    <w:rsid w:val="00AB0335"/>
    <w:rsid w:val="00AB0CE9"/>
    <w:rsid w:val="00AB19EB"/>
    <w:rsid w:val="00AB2DE9"/>
    <w:rsid w:val="00AB2E2B"/>
    <w:rsid w:val="00AB3075"/>
    <w:rsid w:val="00AB3751"/>
    <w:rsid w:val="00AB3F03"/>
    <w:rsid w:val="00AB3F5B"/>
    <w:rsid w:val="00AB4169"/>
    <w:rsid w:val="00AB4628"/>
    <w:rsid w:val="00AB4B7D"/>
    <w:rsid w:val="00AB4DF8"/>
    <w:rsid w:val="00AB588F"/>
    <w:rsid w:val="00AB5A73"/>
    <w:rsid w:val="00AB608C"/>
    <w:rsid w:val="00AB6413"/>
    <w:rsid w:val="00AB6EC1"/>
    <w:rsid w:val="00AB7061"/>
    <w:rsid w:val="00AB79DB"/>
    <w:rsid w:val="00AB7F10"/>
    <w:rsid w:val="00AB7FD9"/>
    <w:rsid w:val="00AC06C6"/>
    <w:rsid w:val="00AC185A"/>
    <w:rsid w:val="00AC2369"/>
    <w:rsid w:val="00AC23A2"/>
    <w:rsid w:val="00AC2461"/>
    <w:rsid w:val="00AC29B8"/>
    <w:rsid w:val="00AC40C9"/>
    <w:rsid w:val="00AC492F"/>
    <w:rsid w:val="00AC537B"/>
    <w:rsid w:val="00AC559F"/>
    <w:rsid w:val="00AC6293"/>
    <w:rsid w:val="00AC667C"/>
    <w:rsid w:val="00AC6C6B"/>
    <w:rsid w:val="00AC6FF4"/>
    <w:rsid w:val="00AC70B5"/>
    <w:rsid w:val="00AC71C8"/>
    <w:rsid w:val="00AC7ED6"/>
    <w:rsid w:val="00AD1041"/>
    <w:rsid w:val="00AD14A6"/>
    <w:rsid w:val="00AD167C"/>
    <w:rsid w:val="00AD1728"/>
    <w:rsid w:val="00AD1989"/>
    <w:rsid w:val="00AD2751"/>
    <w:rsid w:val="00AD297F"/>
    <w:rsid w:val="00AD2A03"/>
    <w:rsid w:val="00AD2CA0"/>
    <w:rsid w:val="00AD353E"/>
    <w:rsid w:val="00AD3853"/>
    <w:rsid w:val="00AD425B"/>
    <w:rsid w:val="00AD44B4"/>
    <w:rsid w:val="00AD5872"/>
    <w:rsid w:val="00AD5A16"/>
    <w:rsid w:val="00AD6365"/>
    <w:rsid w:val="00AD649D"/>
    <w:rsid w:val="00AD6847"/>
    <w:rsid w:val="00AD687A"/>
    <w:rsid w:val="00AD6CA9"/>
    <w:rsid w:val="00AD6F56"/>
    <w:rsid w:val="00AD7FAE"/>
    <w:rsid w:val="00AE0050"/>
    <w:rsid w:val="00AE0339"/>
    <w:rsid w:val="00AE0349"/>
    <w:rsid w:val="00AE0811"/>
    <w:rsid w:val="00AE08B2"/>
    <w:rsid w:val="00AE0A47"/>
    <w:rsid w:val="00AE1A93"/>
    <w:rsid w:val="00AE1E6D"/>
    <w:rsid w:val="00AE21A1"/>
    <w:rsid w:val="00AE2710"/>
    <w:rsid w:val="00AE2721"/>
    <w:rsid w:val="00AE279F"/>
    <w:rsid w:val="00AE280F"/>
    <w:rsid w:val="00AE2826"/>
    <w:rsid w:val="00AE28DE"/>
    <w:rsid w:val="00AE2F0A"/>
    <w:rsid w:val="00AE3154"/>
    <w:rsid w:val="00AE316F"/>
    <w:rsid w:val="00AE31F6"/>
    <w:rsid w:val="00AE36CD"/>
    <w:rsid w:val="00AE3A86"/>
    <w:rsid w:val="00AE3F50"/>
    <w:rsid w:val="00AE4084"/>
    <w:rsid w:val="00AE457D"/>
    <w:rsid w:val="00AE4DD5"/>
    <w:rsid w:val="00AE523F"/>
    <w:rsid w:val="00AE53F1"/>
    <w:rsid w:val="00AE570D"/>
    <w:rsid w:val="00AE5856"/>
    <w:rsid w:val="00AE59C1"/>
    <w:rsid w:val="00AE607B"/>
    <w:rsid w:val="00AE680D"/>
    <w:rsid w:val="00AE6A00"/>
    <w:rsid w:val="00AE72A2"/>
    <w:rsid w:val="00AE7DC5"/>
    <w:rsid w:val="00AE7F7C"/>
    <w:rsid w:val="00AF0335"/>
    <w:rsid w:val="00AF0752"/>
    <w:rsid w:val="00AF14E0"/>
    <w:rsid w:val="00AF1E4D"/>
    <w:rsid w:val="00AF1FE4"/>
    <w:rsid w:val="00AF23E5"/>
    <w:rsid w:val="00AF28E4"/>
    <w:rsid w:val="00AF45EF"/>
    <w:rsid w:val="00AF4699"/>
    <w:rsid w:val="00AF49B7"/>
    <w:rsid w:val="00AF4B7C"/>
    <w:rsid w:val="00AF5178"/>
    <w:rsid w:val="00AF52C3"/>
    <w:rsid w:val="00AF59A9"/>
    <w:rsid w:val="00AF5D84"/>
    <w:rsid w:val="00AF6373"/>
    <w:rsid w:val="00AF7494"/>
    <w:rsid w:val="00AF77DF"/>
    <w:rsid w:val="00AF7C41"/>
    <w:rsid w:val="00B008C3"/>
    <w:rsid w:val="00B00D27"/>
    <w:rsid w:val="00B00EB1"/>
    <w:rsid w:val="00B01352"/>
    <w:rsid w:val="00B01F0B"/>
    <w:rsid w:val="00B024CE"/>
    <w:rsid w:val="00B02829"/>
    <w:rsid w:val="00B028BC"/>
    <w:rsid w:val="00B02CFE"/>
    <w:rsid w:val="00B03E35"/>
    <w:rsid w:val="00B0425A"/>
    <w:rsid w:val="00B04DCE"/>
    <w:rsid w:val="00B05092"/>
    <w:rsid w:val="00B05CD4"/>
    <w:rsid w:val="00B05EEA"/>
    <w:rsid w:val="00B06C11"/>
    <w:rsid w:val="00B06EDD"/>
    <w:rsid w:val="00B0717A"/>
    <w:rsid w:val="00B071A8"/>
    <w:rsid w:val="00B07937"/>
    <w:rsid w:val="00B07FDD"/>
    <w:rsid w:val="00B10B0E"/>
    <w:rsid w:val="00B10F94"/>
    <w:rsid w:val="00B11A07"/>
    <w:rsid w:val="00B13377"/>
    <w:rsid w:val="00B13475"/>
    <w:rsid w:val="00B15AAE"/>
    <w:rsid w:val="00B164CA"/>
    <w:rsid w:val="00B16D31"/>
    <w:rsid w:val="00B17AD9"/>
    <w:rsid w:val="00B17CFA"/>
    <w:rsid w:val="00B17EF8"/>
    <w:rsid w:val="00B20143"/>
    <w:rsid w:val="00B20917"/>
    <w:rsid w:val="00B221B0"/>
    <w:rsid w:val="00B22313"/>
    <w:rsid w:val="00B22847"/>
    <w:rsid w:val="00B22EB8"/>
    <w:rsid w:val="00B232EF"/>
    <w:rsid w:val="00B2342D"/>
    <w:rsid w:val="00B23D05"/>
    <w:rsid w:val="00B2442B"/>
    <w:rsid w:val="00B24FDA"/>
    <w:rsid w:val="00B257FE"/>
    <w:rsid w:val="00B2583D"/>
    <w:rsid w:val="00B2588F"/>
    <w:rsid w:val="00B25A22"/>
    <w:rsid w:val="00B25CEE"/>
    <w:rsid w:val="00B26507"/>
    <w:rsid w:val="00B2653C"/>
    <w:rsid w:val="00B26F16"/>
    <w:rsid w:val="00B27A80"/>
    <w:rsid w:val="00B27EA2"/>
    <w:rsid w:val="00B30B32"/>
    <w:rsid w:val="00B3146F"/>
    <w:rsid w:val="00B314B2"/>
    <w:rsid w:val="00B316D2"/>
    <w:rsid w:val="00B31996"/>
    <w:rsid w:val="00B32041"/>
    <w:rsid w:val="00B32229"/>
    <w:rsid w:val="00B3390B"/>
    <w:rsid w:val="00B33AD1"/>
    <w:rsid w:val="00B33CE4"/>
    <w:rsid w:val="00B33EB9"/>
    <w:rsid w:val="00B34785"/>
    <w:rsid w:val="00B348B9"/>
    <w:rsid w:val="00B34D75"/>
    <w:rsid w:val="00B34FA4"/>
    <w:rsid w:val="00B350D7"/>
    <w:rsid w:val="00B35220"/>
    <w:rsid w:val="00B35E12"/>
    <w:rsid w:val="00B3683F"/>
    <w:rsid w:val="00B369B6"/>
    <w:rsid w:val="00B3704F"/>
    <w:rsid w:val="00B3707C"/>
    <w:rsid w:val="00B3724E"/>
    <w:rsid w:val="00B373F0"/>
    <w:rsid w:val="00B377AD"/>
    <w:rsid w:val="00B3796C"/>
    <w:rsid w:val="00B40305"/>
    <w:rsid w:val="00B40BFA"/>
    <w:rsid w:val="00B40FEB"/>
    <w:rsid w:val="00B4120E"/>
    <w:rsid w:val="00B4124C"/>
    <w:rsid w:val="00B41AF0"/>
    <w:rsid w:val="00B423E2"/>
    <w:rsid w:val="00B42E83"/>
    <w:rsid w:val="00B42EA1"/>
    <w:rsid w:val="00B43001"/>
    <w:rsid w:val="00B430C4"/>
    <w:rsid w:val="00B434B0"/>
    <w:rsid w:val="00B43565"/>
    <w:rsid w:val="00B43D89"/>
    <w:rsid w:val="00B44279"/>
    <w:rsid w:val="00B44542"/>
    <w:rsid w:val="00B44A1A"/>
    <w:rsid w:val="00B45AF8"/>
    <w:rsid w:val="00B45CF5"/>
    <w:rsid w:val="00B45E3E"/>
    <w:rsid w:val="00B4626D"/>
    <w:rsid w:val="00B50062"/>
    <w:rsid w:val="00B50427"/>
    <w:rsid w:val="00B506A5"/>
    <w:rsid w:val="00B50728"/>
    <w:rsid w:val="00B50834"/>
    <w:rsid w:val="00B50B1E"/>
    <w:rsid w:val="00B50CEB"/>
    <w:rsid w:val="00B510C6"/>
    <w:rsid w:val="00B51289"/>
    <w:rsid w:val="00B5158F"/>
    <w:rsid w:val="00B52246"/>
    <w:rsid w:val="00B5242D"/>
    <w:rsid w:val="00B53240"/>
    <w:rsid w:val="00B532FC"/>
    <w:rsid w:val="00B53BD7"/>
    <w:rsid w:val="00B53D4E"/>
    <w:rsid w:val="00B5614D"/>
    <w:rsid w:val="00B561DF"/>
    <w:rsid w:val="00B56AF0"/>
    <w:rsid w:val="00B57057"/>
    <w:rsid w:val="00B57CE8"/>
    <w:rsid w:val="00B57F72"/>
    <w:rsid w:val="00B60177"/>
    <w:rsid w:val="00B6081F"/>
    <w:rsid w:val="00B60878"/>
    <w:rsid w:val="00B61238"/>
    <w:rsid w:val="00B612C2"/>
    <w:rsid w:val="00B61DF4"/>
    <w:rsid w:val="00B61ECA"/>
    <w:rsid w:val="00B6269B"/>
    <w:rsid w:val="00B6269E"/>
    <w:rsid w:val="00B62D53"/>
    <w:rsid w:val="00B63B6C"/>
    <w:rsid w:val="00B64430"/>
    <w:rsid w:val="00B6457A"/>
    <w:rsid w:val="00B648C4"/>
    <w:rsid w:val="00B65452"/>
    <w:rsid w:val="00B65C0A"/>
    <w:rsid w:val="00B65DFD"/>
    <w:rsid w:val="00B6619E"/>
    <w:rsid w:val="00B66821"/>
    <w:rsid w:val="00B66929"/>
    <w:rsid w:val="00B66E19"/>
    <w:rsid w:val="00B678D4"/>
    <w:rsid w:val="00B67E0A"/>
    <w:rsid w:val="00B700A6"/>
    <w:rsid w:val="00B700AD"/>
    <w:rsid w:val="00B703C8"/>
    <w:rsid w:val="00B711D0"/>
    <w:rsid w:val="00B7147C"/>
    <w:rsid w:val="00B714E1"/>
    <w:rsid w:val="00B714FE"/>
    <w:rsid w:val="00B71D55"/>
    <w:rsid w:val="00B7200B"/>
    <w:rsid w:val="00B721B6"/>
    <w:rsid w:val="00B724ED"/>
    <w:rsid w:val="00B7276B"/>
    <w:rsid w:val="00B7295F"/>
    <w:rsid w:val="00B72A61"/>
    <w:rsid w:val="00B72ADD"/>
    <w:rsid w:val="00B73184"/>
    <w:rsid w:val="00B737E9"/>
    <w:rsid w:val="00B73AAA"/>
    <w:rsid w:val="00B74065"/>
    <w:rsid w:val="00B74427"/>
    <w:rsid w:val="00B74979"/>
    <w:rsid w:val="00B7694A"/>
    <w:rsid w:val="00B76A9A"/>
    <w:rsid w:val="00B7778F"/>
    <w:rsid w:val="00B77919"/>
    <w:rsid w:val="00B80E32"/>
    <w:rsid w:val="00B81148"/>
    <w:rsid w:val="00B813DB"/>
    <w:rsid w:val="00B815D5"/>
    <w:rsid w:val="00B822A4"/>
    <w:rsid w:val="00B82926"/>
    <w:rsid w:val="00B82FD5"/>
    <w:rsid w:val="00B8363C"/>
    <w:rsid w:val="00B8366C"/>
    <w:rsid w:val="00B84269"/>
    <w:rsid w:val="00B84A99"/>
    <w:rsid w:val="00B84AC2"/>
    <w:rsid w:val="00B84E3E"/>
    <w:rsid w:val="00B84FA4"/>
    <w:rsid w:val="00B852E3"/>
    <w:rsid w:val="00B85B4A"/>
    <w:rsid w:val="00B8649E"/>
    <w:rsid w:val="00B865C8"/>
    <w:rsid w:val="00B86CAF"/>
    <w:rsid w:val="00B86FF0"/>
    <w:rsid w:val="00B87593"/>
    <w:rsid w:val="00B876C2"/>
    <w:rsid w:val="00B879F1"/>
    <w:rsid w:val="00B87DA1"/>
    <w:rsid w:val="00B87FFE"/>
    <w:rsid w:val="00B90D23"/>
    <w:rsid w:val="00B90D26"/>
    <w:rsid w:val="00B913FE"/>
    <w:rsid w:val="00B9187C"/>
    <w:rsid w:val="00B91D7C"/>
    <w:rsid w:val="00B92440"/>
    <w:rsid w:val="00B92C96"/>
    <w:rsid w:val="00B92DB9"/>
    <w:rsid w:val="00B931BC"/>
    <w:rsid w:val="00B93F21"/>
    <w:rsid w:val="00B94574"/>
    <w:rsid w:val="00B94A70"/>
    <w:rsid w:val="00B953D6"/>
    <w:rsid w:val="00B95877"/>
    <w:rsid w:val="00B95C02"/>
    <w:rsid w:val="00B95F61"/>
    <w:rsid w:val="00B96CC5"/>
    <w:rsid w:val="00B96F0C"/>
    <w:rsid w:val="00B96F53"/>
    <w:rsid w:val="00B971DB"/>
    <w:rsid w:val="00B97680"/>
    <w:rsid w:val="00B97D79"/>
    <w:rsid w:val="00BA1C7E"/>
    <w:rsid w:val="00BA1D2E"/>
    <w:rsid w:val="00BA1D4D"/>
    <w:rsid w:val="00BA20B2"/>
    <w:rsid w:val="00BA26F2"/>
    <w:rsid w:val="00BA2A6B"/>
    <w:rsid w:val="00BA2F37"/>
    <w:rsid w:val="00BA370E"/>
    <w:rsid w:val="00BA39BD"/>
    <w:rsid w:val="00BA3BB4"/>
    <w:rsid w:val="00BA42C6"/>
    <w:rsid w:val="00BA441A"/>
    <w:rsid w:val="00BA4606"/>
    <w:rsid w:val="00BA4A93"/>
    <w:rsid w:val="00BA50BA"/>
    <w:rsid w:val="00BA5D96"/>
    <w:rsid w:val="00BA60F3"/>
    <w:rsid w:val="00BA6DFA"/>
    <w:rsid w:val="00BA6E2D"/>
    <w:rsid w:val="00BA7726"/>
    <w:rsid w:val="00BA789A"/>
    <w:rsid w:val="00BA78EA"/>
    <w:rsid w:val="00BA7AAF"/>
    <w:rsid w:val="00BA7CA3"/>
    <w:rsid w:val="00BB0732"/>
    <w:rsid w:val="00BB0C8E"/>
    <w:rsid w:val="00BB1646"/>
    <w:rsid w:val="00BB1A82"/>
    <w:rsid w:val="00BB2083"/>
    <w:rsid w:val="00BB2450"/>
    <w:rsid w:val="00BB2BD6"/>
    <w:rsid w:val="00BB345C"/>
    <w:rsid w:val="00BB3469"/>
    <w:rsid w:val="00BB3E01"/>
    <w:rsid w:val="00BB4144"/>
    <w:rsid w:val="00BB50EC"/>
    <w:rsid w:val="00BB5655"/>
    <w:rsid w:val="00BB5B19"/>
    <w:rsid w:val="00BB5D0A"/>
    <w:rsid w:val="00BB6158"/>
    <w:rsid w:val="00BB61B9"/>
    <w:rsid w:val="00BB6251"/>
    <w:rsid w:val="00BB68F7"/>
    <w:rsid w:val="00BB6B9D"/>
    <w:rsid w:val="00BB6E31"/>
    <w:rsid w:val="00BB7939"/>
    <w:rsid w:val="00BC03B3"/>
    <w:rsid w:val="00BC045A"/>
    <w:rsid w:val="00BC0875"/>
    <w:rsid w:val="00BC0BB9"/>
    <w:rsid w:val="00BC20FC"/>
    <w:rsid w:val="00BC2419"/>
    <w:rsid w:val="00BC27D8"/>
    <w:rsid w:val="00BC2E47"/>
    <w:rsid w:val="00BC2F02"/>
    <w:rsid w:val="00BC390A"/>
    <w:rsid w:val="00BC3E73"/>
    <w:rsid w:val="00BC4C10"/>
    <w:rsid w:val="00BC517E"/>
    <w:rsid w:val="00BC6F04"/>
    <w:rsid w:val="00BC70B2"/>
    <w:rsid w:val="00BC7815"/>
    <w:rsid w:val="00BC7F2F"/>
    <w:rsid w:val="00BD0B6D"/>
    <w:rsid w:val="00BD10C9"/>
    <w:rsid w:val="00BD125E"/>
    <w:rsid w:val="00BD138F"/>
    <w:rsid w:val="00BD1436"/>
    <w:rsid w:val="00BD1687"/>
    <w:rsid w:val="00BD2A68"/>
    <w:rsid w:val="00BD309C"/>
    <w:rsid w:val="00BD3633"/>
    <w:rsid w:val="00BD390B"/>
    <w:rsid w:val="00BD434A"/>
    <w:rsid w:val="00BD45E0"/>
    <w:rsid w:val="00BD532C"/>
    <w:rsid w:val="00BD625D"/>
    <w:rsid w:val="00BD6411"/>
    <w:rsid w:val="00BD6459"/>
    <w:rsid w:val="00BD693C"/>
    <w:rsid w:val="00BD6A5D"/>
    <w:rsid w:val="00BD6EF4"/>
    <w:rsid w:val="00BD7088"/>
    <w:rsid w:val="00BD71F7"/>
    <w:rsid w:val="00BD7642"/>
    <w:rsid w:val="00BD7BC0"/>
    <w:rsid w:val="00BD7C09"/>
    <w:rsid w:val="00BE063A"/>
    <w:rsid w:val="00BE0CAB"/>
    <w:rsid w:val="00BE0EE6"/>
    <w:rsid w:val="00BE13BC"/>
    <w:rsid w:val="00BE16D7"/>
    <w:rsid w:val="00BE1FC9"/>
    <w:rsid w:val="00BE2049"/>
    <w:rsid w:val="00BE2818"/>
    <w:rsid w:val="00BE2D45"/>
    <w:rsid w:val="00BE353E"/>
    <w:rsid w:val="00BE3723"/>
    <w:rsid w:val="00BE3A56"/>
    <w:rsid w:val="00BE3BDC"/>
    <w:rsid w:val="00BE44BF"/>
    <w:rsid w:val="00BE4B52"/>
    <w:rsid w:val="00BE5172"/>
    <w:rsid w:val="00BE5781"/>
    <w:rsid w:val="00BE5A92"/>
    <w:rsid w:val="00BE5CEB"/>
    <w:rsid w:val="00BE5DCB"/>
    <w:rsid w:val="00BE5EB6"/>
    <w:rsid w:val="00BE613B"/>
    <w:rsid w:val="00BE74C5"/>
    <w:rsid w:val="00BF06DC"/>
    <w:rsid w:val="00BF0B89"/>
    <w:rsid w:val="00BF0EE6"/>
    <w:rsid w:val="00BF113F"/>
    <w:rsid w:val="00BF2326"/>
    <w:rsid w:val="00BF23AA"/>
    <w:rsid w:val="00BF26DE"/>
    <w:rsid w:val="00BF28A0"/>
    <w:rsid w:val="00BF2997"/>
    <w:rsid w:val="00BF2A1A"/>
    <w:rsid w:val="00BF39F1"/>
    <w:rsid w:val="00BF43F7"/>
    <w:rsid w:val="00BF44F6"/>
    <w:rsid w:val="00BF4C98"/>
    <w:rsid w:val="00BF4F43"/>
    <w:rsid w:val="00BF51AE"/>
    <w:rsid w:val="00BF590C"/>
    <w:rsid w:val="00BF5D89"/>
    <w:rsid w:val="00BF6090"/>
    <w:rsid w:val="00BF72BA"/>
    <w:rsid w:val="00BF7816"/>
    <w:rsid w:val="00BF7EC2"/>
    <w:rsid w:val="00BF7FFD"/>
    <w:rsid w:val="00C00149"/>
    <w:rsid w:val="00C00234"/>
    <w:rsid w:val="00C00298"/>
    <w:rsid w:val="00C003D0"/>
    <w:rsid w:val="00C009EE"/>
    <w:rsid w:val="00C00AFD"/>
    <w:rsid w:val="00C0142D"/>
    <w:rsid w:val="00C01F83"/>
    <w:rsid w:val="00C02904"/>
    <w:rsid w:val="00C029E5"/>
    <w:rsid w:val="00C02D6C"/>
    <w:rsid w:val="00C0365D"/>
    <w:rsid w:val="00C03F4F"/>
    <w:rsid w:val="00C053DC"/>
    <w:rsid w:val="00C057E0"/>
    <w:rsid w:val="00C0596E"/>
    <w:rsid w:val="00C05AF2"/>
    <w:rsid w:val="00C063B3"/>
    <w:rsid w:val="00C065FB"/>
    <w:rsid w:val="00C06944"/>
    <w:rsid w:val="00C06F1F"/>
    <w:rsid w:val="00C0705E"/>
    <w:rsid w:val="00C074F6"/>
    <w:rsid w:val="00C07CA2"/>
    <w:rsid w:val="00C10158"/>
    <w:rsid w:val="00C13254"/>
    <w:rsid w:val="00C136A3"/>
    <w:rsid w:val="00C14D28"/>
    <w:rsid w:val="00C151F3"/>
    <w:rsid w:val="00C159C0"/>
    <w:rsid w:val="00C159EC"/>
    <w:rsid w:val="00C15B3C"/>
    <w:rsid w:val="00C15DF1"/>
    <w:rsid w:val="00C15FCE"/>
    <w:rsid w:val="00C17A8E"/>
    <w:rsid w:val="00C202E3"/>
    <w:rsid w:val="00C20B4F"/>
    <w:rsid w:val="00C20F20"/>
    <w:rsid w:val="00C21409"/>
    <w:rsid w:val="00C21788"/>
    <w:rsid w:val="00C21D7A"/>
    <w:rsid w:val="00C22269"/>
    <w:rsid w:val="00C2243E"/>
    <w:rsid w:val="00C226CA"/>
    <w:rsid w:val="00C227F3"/>
    <w:rsid w:val="00C229D2"/>
    <w:rsid w:val="00C2321A"/>
    <w:rsid w:val="00C23512"/>
    <w:rsid w:val="00C23CFA"/>
    <w:rsid w:val="00C24321"/>
    <w:rsid w:val="00C24838"/>
    <w:rsid w:val="00C24BF2"/>
    <w:rsid w:val="00C25DF7"/>
    <w:rsid w:val="00C26038"/>
    <w:rsid w:val="00C26F9E"/>
    <w:rsid w:val="00C27805"/>
    <w:rsid w:val="00C279E9"/>
    <w:rsid w:val="00C30726"/>
    <w:rsid w:val="00C311E6"/>
    <w:rsid w:val="00C312CC"/>
    <w:rsid w:val="00C323BB"/>
    <w:rsid w:val="00C3263D"/>
    <w:rsid w:val="00C328EF"/>
    <w:rsid w:val="00C32E30"/>
    <w:rsid w:val="00C32E32"/>
    <w:rsid w:val="00C330EC"/>
    <w:rsid w:val="00C33886"/>
    <w:rsid w:val="00C3431E"/>
    <w:rsid w:val="00C34B34"/>
    <w:rsid w:val="00C35186"/>
    <w:rsid w:val="00C35290"/>
    <w:rsid w:val="00C35466"/>
    <w:rsid w:val="00C357FD"/>
    <w:rsid w:val="00C360CC"/>
    <w:rsid w:val="00C362A6"/>
    <w:rsid w:val="00C36425"/>
    <w:rsid w:val="00C36489"/>
    <w:rsid w:val="00C3686B"/>
    <w:rsid w:val="00C36B43"/>
    <w:rsid w:val="00C36C2A"/>
    <w:rsid w:val="00C36DF1"/>
    <w:rsid w:val="00C37358"/>
    <w:rsid w:val="00C37AB6"/>
    <w:rsid w:val="00C37C41"/>
    <w:rsid w:val="00C37CE5"/>
    <w:rsid w:val="00C405EA"/>
    <w:rsid w:val="00C40852"/>
    <w:rsid w:val="00C41C5C"/>
    <w:rsid w:val="00C41D7D"/>
    <w:rsid w:val="00C41E06"/>
    <w:rsid w:val="00C4252E"/>
    <w:rsid w:val="00C42AF1"/>
    <w:rsid w:val="00C42C47"/>
    <w:rsid w:val="00C44AE2"/>
    <w:rsid w:val="00C44E52"/>
    <w:rsid w:val="00C453D3"/>
    <w:rsid w:val="00C45BBC"/>
    <w:rsid w:val="00C45D77"/>
    <w:rsid w:val="00C4601B"/>
    <w:rsid w:val="00C46636"/>
    <w:rsid w:val="00C46DCD"/>
    <w:rsid w:val="00C476CE"/>
    <w:rsid w:val="00C476E0"/>
    <w:rsid w:val="00C477FF"/>
    <w:rsid w:val="00C479AA"/>
    <w:rsid w:val="00C47F60"/>
    <w:rsid w:val="00C50987"/>
    <w:rsid w:val="00C50A51"/>
    <w:rsid w:val="00C510C9"/>
    <w:rsid w:val="00C512E2"/>
    <w:rsid w:val="00C516D2"/>
    <w:rsid w:val="00C520F4"/>
    <w:rsid w:val="00C52AE0"/>
    <w:rsid w:val="00C530B4"/>
    <w:rsid w:val="00C53BB2"/>
    <w:rsid w:val="00C53C01"/>
    <w:rsid w:val="00C54DAE"/>
    <w:rsid w:val="00C55B6E"/>
    <w:rsid w:val="00C560F7"/>
    <w:rsid w:val="00C56177"/>
    <w:rsid w:val="00C5626D"/>
    <w:rsid w:val="00C5678A"/>
    <w:rsid w:val="00C56EA2"/>
    <w:rsid w:val="00C57052"/>
    <w:rsid w:val="00C5756D"/>
    <w:rsid w:val="00C57ACE"/>
    <w:rsid w:val="00C60452"/>
    <w:rsid w:val="00C604C3"/>
    <w:rsid w:val="00C6075E"/>
    <w:rsid w:val="00C60D85"/>
    <w:rsid w:val="00C6103B"/>
    <w:rsid w:val="00C61317"/>
    <w:rsid w:val="00C61856"/>
    <w:rsid w:val="00C618E6"/>
    <w:rsid w:val="00C61A58"/>
    <w:rsid w:val="00C61D6A"/>
    <w:rsid w:val="00C621B1"/>
    <w:rsid w:val="00C62368"/>
    <w:rsid w:val="00C6244B"/>
    <w:rsid w:val="00C625B3"/>
    <w:rsid w:val="00C62D7C"/>
    <w:rsid w:val="00C63A7E"/>
    <w:rsid w:val="00C6486E"/>
    <w:rsid w:val="00C64D6D"/>
    <w:rsid w:val="00C65118"/>
    <w:rsid w:val="00C65E14"/>
    <w:rsid w:val="00C6684D"/>
    <w:rsid w:val="00C67C16"/>
    <w:rsid w:val="00C704F6"/>
    <w:rsid w:val="00C70C6A"/>
    <w:rsid w:val="00C711B9"/>
    <w:rsid w:val="00C71316"/>
    <w:rsid w:val="00C71D4A"/>
    <w:rsid w:val="00C71E86"/>
    <w:rsid w:val="00C72098"/>
    <w:rsid w:val="00C724DA"/>
    <w:rsid w:val="00C72A93"/>
    <w:rsid w:val="00C72B73"/>
    <w:rsid w:val="00C72BA9"/>
    <w:rsid w:val="00C72C0E"/>
    <w:rsid w:val="00C72F0F"/>
    <w:rsid w:val="00C7393B"/>
    <w:rsid w:val="00C73DC0"/>
    <w:rsid w:val="00C7489A"/>
    <w:rsid w:val="00C748BC"/>
    <w:rsid w:val="00C74B02"/>
    <w:rsid w:val="00C775F9"/>
    <w:rsid w:val="00C77C20"/>
    <w:rsid w:val="00C77CCE"/>
    <w:rsid w:val="00C8043C"/>
    <w:rsid w:val="00C80646"/>
    <w:rsid w:val="00C80FAC"/>
    <w:rsid w:val="00C81407"/>
    <w:rsid w:val="00C8194A"/>
    <w:rsid w:val="00C81C76"/>
    <w:rsid w:val="00C81F5A"/>
    <w:rsid w:val="00C823F2"/>
    <w:rsid w:val="00C82985"/>
    <w:rsid w:val="00C82B76"/>
    <w:rsid w:val="00C8354D"/>
    <w:rsid w:val="00C83D6C"/>
    <w:rsid w:val="00C8416B"/>
    <w:rsid w:val="00C846B2"/>
    <w:rsid w:val="00C84B84"/>
    <w:rsid w:val="00C84D14"/>
    <w:rsid w:val="00C850F0"/>
    <w:rsid w:val="00C858C5"/>
    <w:rsid w:val="00C859A8"/>
    <w:rsid w:val="00C8619E"/>
    <w:rsid w:val="00C861FC"/>
    <w:rsid w:val="00C86D66"/>
    <w:rsid w:val="00C87660"/>
    <w:rsid w:val="00C877D2"/>
    <w:rsid w:val="00C9043D"/>
    <w:rsid w:val="00C90464"/>
    <w:rsid w:val="00C9046B"/>
    <w:rsid w:val="00C904FC"/>
    <w:rsid w:val="00C91328"/>
    <w:rsid w:val="00C913A6"/>
    <w:rsid w:val="00C916C0"/>
    <w:rsid w:val="00C9185B"/>
    <w:rsid w:val="00C91D77"/>
    <w:rsid w:val="00C91E28"/>
    <w:rsid w:val="00C9234D"/>
    <w:rsid w:val="00C9277C"/>
    <w:rsid w:val="00C92AB2"/>
    <w:rsid w:val="00C93FF3"/>
    <w:rsid w:val="00C94006"/>
    <w:rsid w:val="00C942E0"/>
    <w:rsid w:val="00C944DE"/>
    <w:rsid w:val="00C94628"/>
    <w:rsid w:val="00C949A6"/>
    <w:rsid w:val="00C94C7F"/>
    <w:rsid w:val="00C94EF0"/>
    <w:rsid w:val="00C95249"/>
    <w:rsid w:val="00C95CC0"/>
    <w:rsid w:val="00C95FAF"/>
    <w:rsid w:val="00CA1331"/>
    <w:rsid w:val="00CA1519"/>
    <w:rsid w:val="00CA1ED2"/>
    <w:rsid w:val="00CA1F53"/>
    <w:rsid w:val="00CA203D"/>
    <w:rsid w:val="00CA2FCE"/>
    <w:rsid w:val="00CA350F"/>
    <w:rsid w:val="00CA356F"/>
    <w:rsid w:val="00CA361F"/>
    <w:rsid w:val="00CA446E"/>
    <w:rsid w:val="00CA4833"/>
    <w:rsid w:val="00CA4E50"/>
    <w:rsid w:val="00CA581D"/>
    <w:rsid w:val="00CA5C38"/>
    <w:rsid w:val="00CA6376"/>
    <w:rsid w:val="00CA69AE"/>
    <w:rsid w:val="00CA69D5"/>
    <w:rsid w:val="00CA792D"/>
    <w:rsid w:val="00CB0B77"/>
    <w:rsid w:val="00CB13F8"/>
    <w:rsid w:val="00CB1AB2"/>
    <w:rsid w:val="00CB21E8"/>
    <w:rsid w:val="00CB266B"/>
    <w:rsid w:val="00CB2C33"/>
    <w:rsid w:val="00CB30D4"/>
    <w:rsid w:val="00CB3652"/>
    <w:rsid w:val="00CB3A90"/>
    <w:rsid w:val="00CB3EE9"/>
    <w:rsid w:val="00CB4488"/>
    <w:rsid w:val="00CB44E0"/>
    <w:rsid w:val="00CB49B9"/>
    <w:rsid w:val="00CB4C5C"/>
    <w:rsid w:val="00CB5055"/>
    <w:rsid w:val="00CB5370"/>
    <w:rsid w:val="00CB5EF2"/>
    <w:rsid w:val="00CB61D2"/>
    <w:rsid w:val="00CB6EE1"/>
    <w:rsid w:val="00CB7239"/>
    <w:rsid w:val="00CB7733"/>
    <w:rsid w:val="00CC02DF"/>
    <w:rsid w:val="00CC0D8F"/>
    <w:rsid w:val="00CC0DD7"/>
    <w:rsid w:val="00CC1B2B"/>
    <w:rsid w:val="00CC20B3"/>
    <w:rsid w:val="00CC2708"/>
    <w:rsid w:val="00CC336F"/>
    <w:rsid w:val="00CC3983"/>
    <w:rsid w:val="00CC4EF4"/>
    <w:rsid w:val="00CC5273"/>
    <w:rsid w:val="00CC66FC"/>
    <w:rsid w:val="00CC736B"/>
    <w:rsid w:val="00CC76D9"/>
    <w:rsid w:val="00CC7ED0"/>
    <w:rsid w:val="00CD048A"/>
    <w:rsid w:val="00CD05B6"/>
    <w:rsid w:val="00CD1BFA"/>
    <w:rsid w:val="00CD255C"/>
    <w:rsid w:val="00CD2B5C"/>
    <w:rsid w:val="00CD2FBB"/>
    <w:rsid w:val="00CD364C"/>
    <w:rsid w:val="00CD3B87"/>
    <w:rsid w:val="00CD3FD9"/>
    <w:rsid w:val="00CD42E5"/>
    <w:rsid w:val="00CD5395"/>
    <w:rsid w:val="00CD57B1"/>
    <w:rsid w:val="00CD592A"/>
    <w:rsid w:val="00CD5F58"/>
    <w:rsid w:val="00CD6320"/>
    <w:rsid w:val="00CD6696"/>
    <w:rsid w:val="00CD6A88"/>
    <w:rsid w:val="00CD6ED3"/>
    <w:rsid w:val="00CD6FA2"/>
    <w:rsid w:val="00CD70CB"/>
    <w:rsid w:val="00CD7501"/>
    <w:rsid w:val="00CD7706"/>
    <w:rsid w:val="00CD77EE"/>
    <w:rsid w:val="00CD78B4"/>
    <w:rsid w:val="00CD7EB8"/>
    <w:rsid w:val="00CD7F7E"/>
    <w:rsid w:val="00CE067F"/>
    <w:rsid w:val="00CE0D47"/>
    <w:rsid w:val="00CE115E"/>
    <w:rsid w:val="00CE13BA"/>
    <w:rsid w:val="00CE1408"/>
    <w:rsid w:val="00CE149E"/>
    <w:rsid w:val="00CE2666"/>
    <w:rsid w:val="00CE2B85"/>
    <w:rsid w:val="00CE30F2"/>
    <w:rsid w:val="00CE342C"/>
    <w:rsid w:val="00CE3F4D"/>
    <w:rsid w:val="00CE3FBC"/>
    <w:rsid w:val="00CE4258"/>
    <w:rsid w:val="00CE480E"/>
    <w:rsid w:val="00CE4F53"/>
    <w:rsid w:val="00CE5003"/>
    <w:rsid w:val="00CE53D0"/>
    <w:rsid w:val="00CE5628"/>
    <w:rsid w:val="00CE6C40"/>
    <w:rsid w:val="00CE7151"/>
    <w:rsid w:val="00CE7570"/>
    <w:rsid w:val="00CE79CD"/>
    <w:rsid w:val="00CE7CE5"/>
    <w:rsid w:val="00CF01A8"/>
    <w:rsid w:val="00CF05AD"/>
    <w:rsid w:val="00CF09E3"/>
    <w:rsid w:val="00CF0F1D"/>
    <w:rsid w:val="00CF155D"/>
    <w:rsid w:val="00CF17BA"/>
    <w:rsid w:val="00CF1BFF"/>
    <w:rsid w:val="00CF2147"/>
    <w:rsid w:val="00CF22F4"/>
    <w:rsid w:val="00CF24A0"/>
    <w:rsid w:val="00CF2B9E"/>
    <w:rsid w:val="00CF2E81"/>
    <w:rsid w:val="00CF36EF"/>
    <w:rsid w:val="00CF3873"/>
    <w:rsid w:val="00CF42FA"/>
    <w:rsid w:val="00CF46F5"/>
    <w:rsid w:val="00CF4B5F"/>
    <w:rsid w:val="00CF5332"/>
    <w:rsid w:val="00CF5B96"/>
    <w:rsid w:val="00CF6063"/>
    <w:rsid w:val="00CF644D"/>
    <w:rsid w:val="00CF6504"/>
    <w:rsid w:val="00CF72FF"/>
    <w:rsid w:val="00CF773A"/>
    <w:rsid w:val="00CF7C91"/>
    <w:rsid w:val="00CF7C9D"/>
    <w:rsid w:val="00D000EF"/>
    <w:rsid w:val="00D0043D"/>
    <w:rsid w:val="00D00570"/>
    <w:rsid w:val="00D0070A"/>
    <w:rsid w:val="00D00B6A"/>
    <w:rsid w:val="00D00B72"/>
    <w:rsid w:val="00D00C49"/>
    <w:rsid w:val="00D011B1"/>
    <w:rsid w:val="00D01B67"/>
    <w:rsid w:val="00D022E3"/>
    <w:rsid w:val="00D028B9"/>
    <w:rsid w:val="00D02BB2"/>
    <w:rsid w:val="00D02C17"/>
    <w:rsid w:val="00D02C82"/>
    <w:rsid w:val="00D02D83"/>
    <w:rsid w:val="00D0311F"/>
    <w:rsid w:val="00D035FF"/>
    <w:rsid w:val="00D047EB"/>
    <w:rsid w:val="00D052B9"/>
    <w:rsid w:val="00D06226"/>
    <w:rsid w:val="00D0635C"/>
    <w:rsid w:val="00D066A6"/>
    <w:rsid w:val="00D07531"/>
    <w:rsid w:val="00D10084"/>
    <w:rsid w:val="00D102BE"/>
    <w:rsid w:val="00D106DE"/>
    <w:rsid w:val="00D10724"/>
    <w:rsid w:val="00D10F86"/>
    <w:rsid w:val="00D10F8F"/>
    <w:rsid w:val="00D112CE"/>
    <w:rsid w:val="00D117AB"/>
    <w:rsid w:val="00D1188F"/>
    <w:rsid w:val="00D11FD9"/>
    <w:rsid w:val="00D123E1"/>
    <w:rsid w:val="00D125ED"/>
    <w:rsid w:val="00D127E5"/>
    <w:rsid w:val="00D128EE"/>
    <w:rsid w:val="00D12C41"/>
    <w:rsid w:val="00D1376B"/>
    <w:rsid w:val="00D13E2D"/>
    <w:rsid w:val="00D142EF"/>
    <w:rsid w:val="00D14324"/>
    <w:rsid w:val="00D1496E"/>
    <w:rsid w:val="00D149BC"/>
    <w:rsid w:val="00D1509B"/>
    <w:rsid w:val="00D1598D"/>
    <w:rsid w:val="00D1657F"/>
    <w:rsid w:val="00D16B6F"/>
    <w:rsid w:val="00D1740C"/>
    <w:rsid w:val="00D176F1"/>
    <w:rsid w:val="00D20C3C"/>
    <w:rsid w:val="00D21238"/>
    <w:rsid w:val="00D21C39"/>
    <w:rsid w:val="00D220C0"/>
    <w:rsid w:val="00D2255F"/>
    <w:rsid w:val="00D22D13"/>
    <w:rsid w:val="00D2307D"/>
    <w:rsid w:val="00D23528"/>
    <w:rsid w:val="00D2406A"/>
    <w:rsid w:val="00D26315"/>
    <w:rsid w:val="00D275EC"/>
    <w:rsid w:val="00D277B6"/>
    <w:rsid w:val="00D3061F"/>
    <w:rsid w:val="00D30CEC"/>
    <w:rsid w:val="00D30EE6"/>
    <w:rsid w:val="00D31E6A"/>
    <w:rsid w:val="00D3289B"/>
    <w:rsid w:val="00D33008"/>
    <w:rsid w:val="00D33863"/>
    <w:rsid w:val="00D33FBF"/>
    <w:rsid w:val="00D34D1F"/>
    <w:rsid w:val="00D35032"/>
    <w:rsid w:val="00D3551F"/>
    <w:rsid w:val="00D35B0D"/>
    <w:rsid w:val="00D36118"/>
    <w:rsid w:val="00D3658A"/>
    <w:rsid w:val="00D36885"/>
    <w:rsid w:val="00D36979"/>
    <w:rsid w:val="00D37416"/>
    <w:rsid w:val="00D37996"/>
    <w:rsid w:val="00D40104"/>
    <w:rsid w:val="00D40782"/>
    <w:rsid w:val="00D40F08"/>
    <w:rsid w:val="00D41032"/>
    <w:rsid w:val="00D41527"/>
    <w:rsid w:val="00D41B1F"/>
    <w:rsid w:val="00D41DC8"/>
    <w:rsid w:val="00D42088"/>
    <w:rsid w:val="00D424C5"/>
    <w:rsid w:val="00D430AD"/>
    <w:rsid w:val="00D431E2"/>
    <w:rsid w:val="00D43AFF"/>
    <w:rsid w:val="00D44161"/>
    <w:rsid w:val="00D4551A"/>
    <w:rsid w:val="00D458AB"/>
    <w:rsid w:val="00D45B97"/>
    <w:rsid w:val="00D45D40"/>
    <w:rsid w:val="00D466EE"/>
    <w:rsid w:val="00D468F0"/>
    <w:rsid w:val="00D46E3D"/>
    <w:rsid w:val="00D470B1"/>
    <w:rsid w:val="00D47234"/>
    <w:rsid w:val="00D5024E"/>
    <w:rsid w:val="00D505AF"/>
    <w:rsid w:val="00D50BD1"/>
    <w:rsid w:val="00D51309"/>
    <w:rsid w:val="00D5132A"/>
    <w:rsid w:val="00D514FD"/>
    <w:rsid w:val="00D5189F"/>
    <w:rsid w:val="00D51A84"/>
    <w:rsid w:val="00D51CC8"/>
    <w:rsid w:val="00D51E66"/>
    <w:rsid w:val="00D52626"/>
    <w:rsid w:val="00D52D61"/>
    <w:rsid w:val="00D5303F"/>
    <w:rsid w:val="00D53042"/>
    <w:rsid w:val="00D5347C"/>
    <w:rsid w:val="00D54DE2"/>
    <w:rsid w:val="00D550A5"/>
    <w:rsid w:val="00D55381"/>
    <w:rsid w:val="00D557CC"/>
    <w:rsid w:val="00D55E08"/>
    <w:rsid w:val="00D55E26"/>
    <w:rsid w:val="00D5673C"/>
    <w:rsid w:val="00D56B38"/>
    <w:rsid w:val="00D57FA5"/>
    <w:rsid w:val="00D6059F"/>
    <w:rsid w:val="00D60EBC"/>
    <w:rsid w:val="00D60F39"/>
    <w:rsid w:val="00D60FDB"/>
    <w:rsid w:val="00D618B6"/>
    <w:rsid w:val="00D619CA"/>
    <w:rsid w:val="00D61F0E"/>
    <w:rsid w:val="00D621C3"/>
    <w:rsid w:val="00D62519"/>
    <w:rsid w:val="00D6272C"/>
    <w:rsid w:val="00D62803"/>
    <w:rsid w:val="00D63075"/>
    <w:rsid w:val="00D63A85"/>
    <w:rsid w:val="00D63EF0"/>
    <w:rsid w:val="00D64571"/>
    <w:rsid w:val="00D6490E"/>
    <w:rsid w:val="00D6498C"/>
    <w:rsid w:val="00D64E64"/>
    <w:rsid w:val="00D65E62"/>
    <w:rsid w:val="00D66174"/>
    <w:rsid w:val="00D66C6E"/>
    <w:rsid w:val="00D671E5"/>
    <w:rsid w:val="00D67715"/>
    <w:rsid w:val="00D677C9"/>
    <w:rsid w:val="00D6790D"/>
    <w:rsid w:val="00D67CB6"/>
    <w:rsid w:val="00D67D92"/>
    <w:rsid w:val="00D67E5C"/>
    <w:rsid w:val="00D70F0A"/>
    <w:rsid w:val="00D71267"/>
    <w:rsid w:val="00D719FE"/>
    <w:rsid w:val="00D71DD9"/>
    <w:rsid w:val="00D72A38"/>
    <w:rsid w:val="00D72B6C"/>
    <w:rsid w:val="00D72D78"/>
    <w:rsid w:val="00D72F6B"/>
    <w:rsid w:val="00D73098"/>
    <w:rsid w:val="00D7333A"/>
    <w:rsid w:val="00D7401F"/>
    <w:rsid w:val="00D74959"/>
    <w:rsid w:val="00D74CE7"/>
    <w:rsid w:val="00D751F9"/>
    <w:rsid w:val="00D7634F"/>
    <w:rsid w:val="00D76589"/>
    <w:rsid w:val="00D76CA7"/>
    <w:rsid w:val="00D77EA1"/>
    <w:rsid w:val="00D8079F"/>
    <w:rsid w:val="00D80835"/>
    <w:rsid w:val="00D80C0A"/>
    <w:rsid w:val="00D8109A"/>
    <w:rsid w:val="00D826A0"/>
    <w:rsid w:val="00D82BC7"/>
    <w:rsid w:val="00D82F35"/>
    <w:rsid w:val="00D83AA8"/>
    <w:rsid w:val="00D84B85"/>
    <w:rsid w:val="00D8508F"/>
    <w:rsid w:val="00D85171"/>
    <w:rsid w:val="00D8519E"/>
    <w:rsid w:val="00D851AF"/>
    <w:rsid w:val="00D852C6"/>
    <w:rsid w:val="00D85473"/>
    <w:rsid w:val="00D85A14"/>
    <w:rsid w:val="00D85B67"/>
    <w:rsid w:val="00D85FE9"/>
    <w:rsid w:val="00D8633A"/>
    <w:rsid w:val="00D86931"/>
    <w:rsid w:val="00D869B7"/>
    <w:rsid w:val="00D879AF"/>
    <w:rsid w:val="00D87A89"/>
    <w:rsid w:val="00D900E7"/>
    <w:rsid w:val="00D901E1"/>
    <w:rsid w:val="00D9076B"/>
    <w:rsid w:val="00D90B89"/>
    <w:rsid w:val="00D90D04"/>
    <w:rsid w:val="00D910BD"/>
    <w:rsid w:val="00D91387"/>
    <w:rsid w:val="00D91814"/>
    <w:rsid w:val="00D919C0"/>
    <w:rsid w:val="00D9246C"/>
    <w:rsid w:val="00D9285B"/>
    <w:rsid w:val="00D92C8F"/>
    <w:rsid w:val="00D936F8"/>
    <w:rsid w:val="00D936FC"/>
    <w:rsid w:val="00D9383A"/>
    <w:rsid w:val="00D93A53"/>
    <w:rsid w:val="00D9400E"/>
    <w:rsid w:val="00D9439D"/>
    <w:rsid w:val="00D944FF"/>
    <w:rsid w:val="00D94CE3"/>
    <w:rsid w:val="00D9566D"/>
    <w:rsid w:val="00D957A5"/>
    <w:rsid w:val="00D96E77"/>
    <w:rsid w:val="00D970DF"/>
    <w:rsid w:val="00D9726A"/>
    <w:rsid w:val="00D973FC"/>
    <w:rsid w:val="00D9772D"/>
    <w:rsid w:val="00DA12AC"/>
    <w:rsid w:val="00DA1542"/>
    <w:rsid w:val="00DA1616"/>
    <w:rsid w:val="00DA1CA1"/>
    <w:rsid w:val="00DA2087"/>
    <w:rsid w:val="00DA287E"/>
    <w:rsid w:val="00DA288D"/>
    <w:rsid w:val="00DA2B90"/>
    <w:rsid w:val="00DA3C92"/>
    <w:rsid w:val="00DA3D6D"/>
    <w:rsid w:val="00DA431F"/>
    <w:rsid w:val="00DA5308"/>
    <w:rsid w:val="00DA5C5E"/>
    <w:rsid w:val="00DA5E78"/>
    <w:rsid w:val="00DA647C"/>
    <w:rsid w:val="00DA64F8"/>
    <w:rsid w:val="00DA7AE4"/>
    <w:rsid w:val="00DB0907"/>
    <w:rsid w:val="00DB0943"/>
    <w:rsid w:val="00DB0ABF"/>
    <w:rsid w:val="00DB1081"/>
    <w:rsid w:val="00DB15B6"/>
    <w:rsid w:val="00DB197A"/>
    <w:rsid w:val="00DB1C16"/>
    <w:rsid w:val="00DB21F8"/>
    <w:rsid w:val="00DB26F1"/>
    <w:rsid w:val="00DB2F55"/>
    <w:rsid w:val="00DB37D9"/>
    <w:rsid w:val="00DB3C1C"/>
    <w:rsid w:val="00DB3C2C"/>
    <w:rsid w:val="00DB42DC"/>
    <w:rsid w:val="00DB44BA"/>
    <w:rsid w:val="00DB462A"/>
    <w:rsid w:val="00DB50B4"/>
    <w:rsid w:val="00DB52C8"/>
    <w:rsid w:val="00DB610A"/>
    <w:rsid w:val="00DB68FC"/>
    <w:rsid w:val="00DB770D"/>
    <w:rsid w:val="00DB789A"/>
    <w:rsid w:val="00DB795D"/>
    <w:rsid w:val="00DC0C12"/>
    <w:rsid w:val="00DC0FD2"/>
    <w:rsid w:val="00DC1232"/>
    <w:rsid w:val="00DC1419"/>
    <w:rsid w:val="00DC191E"/>
    <w:rsid w:val="00DC2016"/>
    <w:rsid w:val="00DC2347"/>
    <w:rsid w:val="00DC2590"/>
    <w:rsid w:val="00DC2707"/>
    <w:rsid w:val="00DC2F30"/>
    <w:rsid w:val="00DC3001"/>
    <w:rsid w:val="00DC3370"/>
    <w:rsid w:val="00DC35FE"/>
    <w:rsid w:val="00DC3619"/>
    <w:rsid w:val="00DC37A2"/>
    <w:rsid w:val="00DC52CA"/>
    <w:rsid w:val="00DC57F4"/>
    <w:rsid w:val="00DC585D"/>
    <w:rsid w:val="00DC6228"/>
    <w:rsid w:val="00DC6672"/>
    <w:rsid w:val="00DC69E3"/>
    <w:rsid w:val="00DC6DD7"/>
    <w:rsid w:val="00DC6E91"/>
    <w:rsid w:val="00DC75CA"/>
    <w:rsid w:val="00DC7DA7"/>
    <w:rsid w:val="00DD0BCE"/>
    <w:rsid w:val="00DD11BA"/>
    <w:rsid w:val="00DD1C73"/>
    <w:rsid w:val="00DD1F39"/>
    <w:rsid w:val="00DD23BC"/>
    <w:rsid w:val="00DD23C6"/>
    <w:rsid w:val="00DD2458"/>
    <w:rsid w:val="00DD2A6A"/>
    <w:rsid w:val="00DD2C48"/>
    <w:rsid w:val="00DD3070"/>
    <w:rsid w:val="00DD3650"/>
    <w:rsid w:val="00DD3E71"/>
    <w:rsid w:val="00DD4999"/>
    <w:rsid w:val="00DD5CD8"/>
    <w:rsid w:val="00DD6076"/>
    <w:rsid w:val="00DD633D"/>
    <w:rsid w:val="00DD657B"/>
    <w:rsid w:val="00DD6907"/>
    <w:rsid w:val="00DD6A28"/>
    <w:rsid w:val="00DE0473"/>
    <w:rsid w:val="00DE0A06"/>
    <w:rsid w:val="00DE154A"/>
    <w:rsid w:val="00DE1F00"/>
    <w:rsid w:val="00DE27B4"/>
    <w:rsid w:val="00DE280E"/>
    <w:rsid w:val="00DE2C3A"/>
    <w:rsid w:val="00DE3ACE"/>
    <w:rsid w:val="00DE3C54"/>
    <w:rsid w:val="00DE420B"/>
    <w:rsid w:val="00DE42EB"/>
    <w:rsid w:val="00DE436A"/>
    <w:rsid w:val="00DE43AE"/>
    <w:rsid w:val="00DE4EFF"/>
    <w:rsid w:val="00DE55AA"/>
    <w:rsid w:val="00DE55BE"/>
    <w:rsid w:val="00DE55F4"/>
    <w:rsid w:val="00DE595F"/>
    <w:rsid w:val="00DE6296"/>
    <w:rsid w:val="00DE76E7"/>
    <w:rsid w:val="00DE7A57"/>
    <w:rsid w:val="00DE7F56"/>
    <w:rsid w:val="00DF03AC"/>
    <w:rsid w:val="00DF03B0"/>
    <w:rsid w:val="00DF041E"/>
    <w:rsid w:val="00DF06BB"/>
    <w:rsid w:val="00DF0BD3"/>
    <w:rsid w:val="00DF0C9C"/>
    <w:rsid w:val="00DF1094"/>
    <w:rsid w:val="00DF1764"/>
    <w:rsid w:val="00DF24CF"/>
    <w:rsid w:val="00DF2CC8"/>
    <w:rsid w:val="00DF37B4"/>
    <w:rsid w:val="00DF3C38"/>
    <w:rsid w:val="00DF4444"/>
    <w:rsid w:val="00DF4535"/>
    <w:rsid w:val="00DF46D0"/>
    <w:rsid w:val="00DF5211"/>
    <w:rsid w:val="00DF55F8"/>
    <w:rsid w:val="00DF6653"/>
    <w:rsid w:val="00DF68E4"/>
    <w:rsid w:val="00DF6FD6"/>
    <w:rsid w:val="00DF6FE2"/>
    <w:rsid w:val="00DF7E76"/>
    <w:rsid w:val="00DF7F0C"/>
    <w:rsid w:val="00E00482"/>
    <w:rsid w:val="00E01375"/>
    <w:rsid w:val="00E013DA"/>
    <w:rsid w:val="00E014A4"/>
    <w:rsid w:val="00E01990"/>
    <w:rsid w:val="00E019AF"/>
    <w:rsid w:val="00E01B86"/>
    <w:rsid w:val="00E01D1B"/>
    <w:rsid w:val="00E01DD2"/>
    <w:rsid w:val="00E02949"/>
    <w:rsid w:val="00E02BB8"/>
    <w:rsid w:val="00E02DD8"/>
    <w:rsid w:val="00E031AD"/>
    <w:rsid w:val="00E0402C"/>
    <w:rsid w:val="00E04DAD"/>
    <w:rsid w:val="00E05213"/>
    <w:rsid w:val="00E059B9"/>
    <w:rsid w:val="00E06521"/>
    <w:rsid w:val="00E069EC"/>
    <w:rsid w:val="00E072A7"/>
    <w:rsid w:val="00E07403"/>
    <w:rsid w:val="00E0748B"/>
    <w:rsid w:val="00E0768C"/>
    <w:rsid w:val="00E07ADF"/>
    <w:rsid w:val="00E108C5"/>
    <w:rsid w:val="00E10B7E"/>
    <w:rsid w:val="00E10BD0"/>
    <w:rsid w:val="00E11094"/>
    <w:rsid w:val="00E11175"/>
    <w:rsid w:val="00E114B7"/>
    <w:rsid w:val="00E1167D"/>
    <w:rsid w:val="00E11949"/>
    <w:rsid w:val="00E130C0"/>
    <w:rsid w:val="00E130C7"/>
    <w:rsid w:val="00E14278"/>
    <w:rsid w:val="00E14507"/>
    <w:rsid w:val="00E146E5"/>
    <w:rsid w:val="00E148C7"/>
    <w:rsid w:val="00E14DFF"/>
    <w:rsid w:val="00E152B5"/>
    <w:rsid w:val="00E154EA"/>
    <w:rsid w:val="00E157F6"/>
    <w:rsid w:val="00E158A4"/>
    <w:rsid w:val="00E15AC0"/>
    <w:rsid w:val="00E15B0D"/>
    <w:rsid w:val="00E15E79"/>
    <w:rsid w:val="00E16234"/>
    <w:rsid w:val="00E16E8B"/>
    <w:rsid w:val="00E16FB9"/>
    <w:rsid w:val="00E17591"/>
    <w:rsid w:val="00E17608"/>
    <w:rsid w:val="00E17B5B"/>
    <w:rsid w:val="00E17BC7"/>
    <w:rsid w:val="00E2004F"/>
    <w:rsid w:val="00E202D0"/>
    <w:rsid w:val="00E20740"/>
    <w:rsid w:val="00E2096B"/>
    <w:rsid w:val="00E224F1"/>
    <w:rsid w:val="00E22586"/>
    <w:rsid w:val="00E225E9"/>
    <w:rsid w:val="00E23AD8"/>
    <w:rsid w:val="00E2416E"/>
    <w:rsid w:val="00E24A76"/>
    <w:rsid w:val="00E24DC0"/>
    <w:rsid w:val="00E2502F"/>
    <w:rsid w:val="00E25658"/>
    <w:rsid w:val="00E25EB6"/>
    <w:rsid w:val="00E26E9D"/>
    <w:rsid w:val="00E270A2"/>
    <w:rsid w:val="00E27A19"/>
    <w:rsid w:val="00E27E02"/>
    <w:rsid w:val="00E30010"/>
    <w:rsid w:val="00E303FF"/>
    <w:rsid w:val="00E30A71"/>
    <w:rsid w:val="00E31004"/>
    <w:rsid w:val="00E31290"/>
    <w:rsid w:val="00E31478"/>
    <w:rsid w:val="00E31485"/>
    <w:rsid w:val="00E32489"/>
    <w:rsid w:val="00E32686"/>
    <w:rsid w:val="00E32E60"/>
    <w:rsid w:val="00E333B5"/>
    <w:rsid w:val="00E33B71"/>
    <w:rsid w:val="00E341BE"/>
    <w:rsid w:val="00E343DD"/>
    <w:rsid w:val="00E34E0C"/>
    <w:rsid w:val="00E351F0"/>
    <w:rsid w:val="00E3555E"/>
    <w:rsid w:val="00E3564F"/>
    <w:rsid w:val="00E36665"/>
    <w:rsid w:val="00E372A9"/>
    <w:rsid w:val="00E37EC6"/>
    <w:rsid w:val="00E40316"/>
    <w:rsid w:val="00E404A7"/>
    <w:rsid w:val="00E40EC5"/>
    <w:rsid w:val="00E41171"/>
    <w:rsid w:val="00E41640"/>
    <w:rsid w:val="00E41C48"/>
    <w:rsid w:val="00E420FF"/>
    <w:rsid w:val="00E42C9F"/>
    <w:rsid w:val="00E42EC0"/>
    <w:rsid w:val="00E4356F"/>
    <w:rsid w:val="00E43ADE"/>
    <w:rsid w:val="00E43C98"/>
    <w:rsid w:val="00E43DC6"/>
    <w:rsid w:val="00E44283"/>
    <w:rsid w:val="00E44847"/>
    <w:rsid w:val="00E44D1E"/>
    <w:rsid w:val="00E45144"/>
    <w:rsid w:val="00E455A6"/>
    <w:rsid w:val="00E46054"/>
    <w:rsid w:val="00E463DC"/>
    <w:rsid w:val="00E46A2D"/>
    <w:rsid w:val="00E46B1B"/>
    <w:rsid w:val="00E47675"/>
    <w:rsid w:val="00E47894"/>
    <w:rsid w:val="00E5079B"/>
    <w:rsid w:val="00E508F2"/>
    <w:rsid w:val="00E509CB"/>
    <w:rsid w:val="00E510D6"/>
    <w:rsid w:val="00E515E6"/>
    <w:rsid w:val="00E51CB0"/>
    <w:rsid w:val="00E52089"/>
    <w:rsid w:val="00E5253A"/>
    <w:rsid w:val="00E52F0D"/>
    <w:rsid w:val="00E53C65"/>
    <w:rsid w:val="00E54BF5"/>
    <w:rsid w:val="00E556CA"/>
    <w:rsid w:val="00E55C4B"/>
    <w:rsid w:val="00E55E8F"/>
    <w:rsid w:val="00E5649C"/>
    <w:rsid w:val="00E57355"/>
    <w:rsid w:val="00E57CC1"/>
    <w:rsid w:val="00E600A3"/>
    <w:rsid w:val="00E60456"/>
    <w:rsid w:val="00E60489"/>
    <w:rsid w:val="00E60513"/>
    <w:rsid w:val="00E607B0"/>
    <w:rsid w:val="00E607D5"/>
    <w:rsid w:val="00E609E6"/>
    <w:rsid w:val="00E61640"/>
    <w:rsid w:val="00E6189A"/>
    <w:rsid w:val="00E61DC9"/>
    <w:rsid w:val="00E61E2C"/>
    <w:rsid w:val="00E62C14"/>
    <w:rsid w:val="00E62DF4"/>
    <w:rsid w:val="00E6307F"/>
    <w:rsid w:val="00E6315E"/>
    <w:rsid w:val="00E63234"/>
    <w:rsid w:val="00E6369C"/>
    <w:rsid w:val="00E63703"/>
    <w:rsid w:val="00E63803"/>
    <w:rsid w:val="00E63A82"/>
    <w:rsid w:val="00E6402E"/>
    <w:rsid w:val="00E64111"/>
    <w:rsid w:val="00E64260"/>
    <w:rsid w:val="00E6484D"/>
    <w:rsid w:val="00E649DA"/>
    <w:rsid w:val="00E64F8B"/>
    <w:rsid w:val="00E65B10"/>
    <w:rsid w:val="00E67448"/>
    <w:rsid w:val="00E67DAA"/>
    <w:rsid w:val="00E67E4D"/>
    <w:rsid w:val="00E702A8"/>
    <w:rsid w:val="00E70ECE"/>
    <w:rsid w:val="00E71097"/>
    <w:rsid w:val="00E710BD"/>
    <w:rsid w:val="00E71169"/>
    <w:rsid w:val="00E7178C"/>
    <w:rsid w:val="00E71EB7"/>
    <w:rsid w:val="00E72574"/>
    <w:rsid w:val="00E72B11"/>
    <w:rsid w:val="00E72BA3"/>
    <w:rsid w:val="00E72E00"/>
    <w:rsid w:val="00E73BB4"/>
    <w:rsid w:val="00E740C2"/>
    <w:rsid w:val="00E74974"/>
    <w:rsid w:val="00E74B51"/>
    <w:rsid w:val="00E74BAB"/>
    <w:rsid w:val="00E74CD1"/>
    <w:rsid w:val="00E74E9B"/>
    <w:rsid w:val="00E7573A"/>
    <w:rsid w:val="00E75E5D"/>
    <w:rsid w:val="00E7600E"/>
    <w:rsid w:val="00E76568"/>
    <w:rsid w:val="00E77DB5"/>
    <w:rsid w:val="00E8012F"/>
    <w:rsid w:val="00E80A35"/>
    <w:rsid w:val="00E80C3F"/>
    <w:rsid w:val="00E80E65"/>
    <w:rsid w:val="00E81642"/>
    <w:rsid w:val="00E816E7"/>
    <w:rsid w:val="00E818AC"/>
    <w:rsid w:val="00E81C36"/>
    <w:rsid w:val="00E821A1"/>
    <w:rsid w:val="00E82244"/>
    <w:rsid w:val="00E82884"/>
    <w:rsid w:val="00E82B86"/>
    <w:rsid w:val="00E82C00"/>
    <w:rsid w:val="00E82CE2"/>
    <w:rsid w:val="00E82CEE"/>
    <w:rsid w:val="00E82F37"/>
    <w:rsid w:val="00E83129"/>
    <w:rsid w:val="00E833D2"/>
    <w:rsid w:val="00E834ED"/>
    <w:rsid w:val="00E83B72"/>
    <w:rsid w:val="00E83DFD"/>
    <w:rsid w:val="00E841B8"/>
    <w:rsid w:val="00E848C1"/>
    <w:rsid w:val="00E84C3C"/>
    <w:rsid w:val="00E8706B"/>
    <w:rsid w:val="00E8767A"/>
    <w:rsid w:val="00E87B78"/>
    <w:rsid w:val="00E87E7F"/>
    <w:rsid w:val="00E87F73"/>
    <w:rsid w:val="00E90616"/>
    <w:rsid w:val="00E90917"/>
    <w:rsid w:val="00E91380"/>
    <w:rsid w:val="00E91598"/>
    <w:rsid w:val="00E91653"/>
    <w:rsid w:val="00E91ABB"/>
    <w:rsid w:val="00E91F48"/>
    <w:rsid w:val="00E92393"/>
    <w:rsid w:val="00E92448"/>
    <w:rsid w:val="00E924EA"/>
    <w:rsid w:val="00E92833"/>
    <w:rsid w:val="00E93188"/>
    <w:rsid w:val="00E93332"/>
    <w:rsid w:val="00E93671"/>
    <w:rsid w:val="00E93789"/>
    <w:rsid w:val="00E93912"/>
    <w:rsid w:val="00E93932"/>
    <w:rsid w:val="00E93D4E"/>
    <w:rsid w:val="00E93DF4"/>
    <w:rsid w:val="00E94E6E"/>
    <w:rsid w:val="00E95C59"/>
    <w:rsid w:val="00E95CCD"/>
    <w:rsid w:val="00E9606B"/>
    <w:rsid w:val="00E9683C"/>
    <w:rsid w:val="00E9684A"/>
    <w:rsid w:val="00E96B19"/>
    <w:rsid w:val="00E96EF6"/>
    <w:rsid w:val="00E97374"/>
    <w:rsid w:val="00EA00A4"/>
    <w:rsid w:val="00EA02F2"/>
    <w:rsid w:val="00EA0607"/>
    <w:rsid w:val="00EA0FFD"/>
    <w:rsid w:val="00EA13D6"/>
    <w:rsid w:val="00EA1780"/>
    <w:rsid w:val="00EA1FCA"/>
    <w:rsid w:val="00EA2580"/>
    <w:rsid w:val="00EA2A5D"/>
    <w:rsid w:val="00EA300A"/>
    <w:rsid w:val="00EA3087"/>
    <w:rsid w:val="00EA31ED"/>
    <w:rsid w:val="00EA3656"/>
    <w:rsid w:val="00EA3679"/>
    <w:rsid w:val="00EA3846"/>
    <w:rsid w:val="00EA3985"/>
    <w:rsid w:val="00EA497A"/>
    <w:rsid w:val="00EA4A12"/>
    <w:rsid w:val="00EA4A7C"/>
    <w:rsid w:val="00EA4F35"/>
    <w:rsid w:val="00EA5A34"/>
    <w:rsid w:val="00EA5C71"/>
    <w:rsid w:val="00EA6658"/>
    <w:rsid w:val="00EA6693"/>
    <w:rsid w:val="00EA68F4"/>
    <w:rsid w:val="00EA6E6B"/>
    <w:rsid w:val="00EA7199"/>
    <w:rsid w:val="00EA77F1"/>
    <w:rsid w:val="00EB0D0E"/>
    <w:rsid w:val="00EB1281"/>
    <w:rsid w:val="00EB1A8F"/>
    <w:rsid w:val="00EB1DEB"/>
    <w:rsid w:val="00EB2095"/>
    <w:rsid w:val="00EB2186"/>
    <w:rsid w:val="00EB2840"/>
    <w:rsid w:val="00EB2899"/>
    <w:rsid w:val="00EB2A2B"/>
    <w:rsid w:val="00EB3062"/>
    <w:rsid w:val="00EB3335"/>
    <w:rsid w:val="00EB3A49"/>
    <w:rsid w:val="00EB3B2D"/>
    <w:rsid w:val="00EB3EC5"/>
    <w:rsid w:val="00EB4AB9"/>
    <w:rsid w:val="00EB4E1C"/>
    <w:rsid w:val="00EB669B"/>
    <w:rsid w:val="00EB6732"/>
    <w:rsid w:val="00EB70BF"/>
    <w:rsid w:val="00EB7135"/>
    <w:rsid w:val="00EB74BA"/>
    <w:rsid w:val="00EB7977"/>
    <w:rsid w:val="00EB7B5B"/>
    <w:rsid w:val="00EB7C9C"/>
    <w:rsid w:val="00EC0548"/>
    <w:rsid w:val="00EC084B"/>
    <w:rsid w:val="00EC0B16"/>
    <w:rsid w:val="00EC1000"/>
    <w:rsid w:val="00EC1642"/>
    <w:rsid w:val="00EC1C15"/>
    <w:rsid w:val="00EC20DB"/>
    <w:rsid w:val="00EC2CCA"/>
    <w:rsid w:val="00EC37A8"/>
    <w:rsid w:val="00EC3ADF"/>
    <w:rsid w:val="00EC3B72"/>
    <w:rsid w:val="00EC41C8"/>
    <w:rsid w:val="00EC5117"/>
    <w:rsid w:val="00EC5233"/>
    <w:rsid w:val="00EC5750"/>
    <w:rsid w:val="00EC59DE"/>
    <w:rsid w:val="00EC5AD6"/>
    <w:rsid w:val="00EC636B"/>
    <w:rsid w:val="00EC63D3"/>
    <w:rsid w:val="00EC6521"/>
    <w:rsid w:val="00EC66B7"/>
    <w:rsid w:val="00EC67FF"/>
    <w:rsid w:val="00EC6887"/>
    <w:rsid w:val="00EC797C"/>
    <w:rsid w:val="00EC7C6D"/>
    <w:rsid w:val="00ED0A18"/>
    <w:rsid w:val="00ED0D35"/>
    <w:rsid w:val="00ED1C3B"/>
    <w:rsid w:val="00ED1E63"/>
    <w:rsid w:val="00ED2A1E"/>
    <w:rsid w:val="00ED2F11"/>
    <w:rsid w:val="00ED3815"/>
    <w:rsid w:val="00ED4B8C"/>
    <w:rsid w:val="00ED4C92"/>
    <w:rsid w:val="00ED4FD6"/>
    <w:rsid w:val="00ED5650"/>
    <w:rsid w:val="00ED5FA9"/>
    <w:rsid w:val="00ED74F3"/>
    <w:rsid w:val="00ED79DC"/>
    <w:rsid w:val="00ED7E7C"/>
    <w:rsid w:val="00EE0453"/>
    <w:rsid w:val="00EE0900"/>
    <w:rsid w:val="00EE090E"/>
    <w:rsid w:val="00EE1BE6"/>
    <w:rsid w:val="00EE25B2"/>
    <w:rsid w:val="00EE27C5"/>
    <w:rsid w:val="00EE28D3"/>
    <w:rsid w:val="00EE2EC4"/>
    <w:rsid w:val="00EE3858"/>
    <w:rsid w:val="00EE3C89"/>
    <w:rsid w:val="00EE3F01"/>
    <w:rsid w:val="00EE56E2"/>
    <w:rsid w:val="00EE6107"/>
    <w:rsid w:val="00EE61D9"/>
    <w:rsid w:val="00EE6376"/>
    <w:rsid w:val="00EE6A1B"/>
    <w:rsid w:val="00EE7B1C"/>
    <w:rsid w:val="00EE7E1C"/>
    <w:rsid w:val="00EF11B3"/>
    <w:rsid w:val="00EF2860"/>
    <w:rsid w:val="00EF2A78"/>
    <w:rsid w:val="00EF2F78"/>
    <w:rsid w:val="00EF3016"/>
    <w:rsid w:val="00EF3307"/>
    <w:rsid w:val="00EF346E"/>
    <w:rsid w:val="00EF39D9"/>
    <w:rsid w:val="00EF3DDF"/>
    <w:rsid w:val="00EF43DC"/>
    <w:rsid w:val="00EF4EC7"/>
    <w:rsid w:val="00EF4F97"/>
    <w:rsid w:val="00EF5F7F"/>
    <w:rsid w:val="00EF601D"/>
    <w:rsid w:val="00EF6714"/>
    <w:rsid w:val="00EF681A"/>
    <w:rsid w:val="00EF7C3B"/>
    <w:rsid w:val="00EF7F5F"/>
    <w:rsid w:val="00F0011B"/>
    <w:rsid w:val="00F003FE"/>
    <w:rsid w:val="00F006A4"/>
    <w:rsid w:val="00F011F8"/>
    <w:rsid w:val="00F012CE"/>
    <w:rsid w:val="00F013F3"/>
    <w:rsid w:val="00F015C5"/>
    <w:rsid w:val="00F01658"/>
    <w:rsid w:val="00F01D4E"/>
    <w:rsid w:val="00F02391"/>
    <w:rsid w:val="00F028EB"/>
    <w:rsid w:val="00F02ADD"/>
    <w:rsid w:val="00F03008"/>
    <w:rsid w:val="00F03795"/>
    <w:rsid w:val="00F03F6D"/>
    <w:rsid w:val="00F0414A"/>
    <w:rsid w:val="00F04F2E"/>
    <w:rsid w:val="00F052CA"/>
    <w:rsid w:val="00F05515"/>
    <w:rsid w:val="00F0605E"/>
    <w:rsid w:val="00F0631B"/>
    <w:rsid w:val="00F06653"/>
    <w:rsid w:val="00F067C3"/>
    <w:rsid w:val="00F06893"/>
    <w:rsid w:val="00F06E28"/>
    <w:rsid w:val="00F072BC"/>
    <w:rsid w:val="00F07826"/>
    <w:rsid w:val="00F07C88"/>
    <w:rsid w:val="00F07E34"/>
    <w:rsid w:val="00F07FAF"/>
    <w:rsid w:val="00F10B8E"/>
    <w:rsid w:val="00F10D7B"/>
    <w:rsid w:val="00F11186"/>
    <w:rsid w:val="00F1189E"/>
    <w:rsid w:val="00F121AD"/>
    <w:rsid w:val="00F1221A"/>
    <w:rsid w:val="00F12726"/>
    <w:rsid w:val="00F1272F"/>
    <w:rsid w:val="00F128CD"/>
    <w:rsid w:val="00F12F32"/>
    <w:rsid w:val="00F13FF1"/>
    <w:rsid w:val="00F14100"/>
    <w:rsid w:val="00F16257"/>
    <w:rsid w:val="00F175C7"/>
    <w:rsid w:val="00F17BA5"/>
    <w:rsid w:val="00F17C4A"/>
    <w:rsid w:val="00F20021"/>
    <w:rsid w:val="00F2014A"/>
    <w:rsid w:val="00F206EB"/>
    <w:rsid w:val="00F20D50"/>
    <w:rsid w:val="00F21059"/>
    <w:rsid w:val="00F22422"/>
    <w:rsid w:val="00F224C3"/>
    <w:rsid w:val="00F22967"/>
    <w:rsid w:val="00F22E7E"/>
    <w:rsid w:val="00F23117"/>
    <w:rsid w:val="00F23B16"/>
    <w:rsid w:val="00F25149"/>
    <w:rsid w:val="00F25597"/>
    <w:rsid w:val="00F2560B"/>
    <w:rsid w:val="00F25A66"/>
    <w:rsid w:val="00F25BA3"/>
    <w:rsid w:val="00F25D39"/>
    <w:rsid w:val="00F26A5A"/>
    <w:rsid w:val="00F26B7A"/>
    <w:rsid w:val="00F27505"/>
    <w:rsid w:val="00F27ABE"/>
    <w:rsid w:val="00F27C28"/>
    <w:rsid w:val="00F3077D"/>
    <w:rsid w:val="00F30791"/>
    <w:rsid w:val="00F30B25"/>
    <w:rsid w:val="00F311E8"/>
    <w:rsid w:val="00F314A3"/>
    <w:rsid w:val="00F31584"/>
    <w:rsid w:val="00F31844"/>
    <w:rsid w:val="00F31896"/>
    <w:rsid w:val="00F322BC"/>
    <w:rsid w:val="00F32C1A"/>
    <w:rsid w:val="00F3355A"/>
    <w:rsid w:val="00F3358D"/>
    <w:rsid w:val="00F33989"/>
    <w:rsid w:val="00F3415A"/>
    <w:rsid w:val="00F34799"/>
    <w:rsid w:val="00F36008"/>
    <w:rsid w:val="00F36853"/>
    <w:rsid w:val="00F36B08"/>
    <w:rsid w:val="00F36EBA"/>
    <w:rsid w:val="00F3718E"/>
    <w:rsid w:val="00F37932"/>
    <w:rsid w:val="00F412FA"/>
    <w:rsid w:val="00F41668"/>
    <w:rsid w:val="00F416E4"/>
    <w:rsid w:val="00F41DF0"/>
    <w:rsid w:val="00F42131"/>
    <w:rsid w:val="00F4291B"/>
    <w:rsid w:val="00F430BD"/>
    <w:rsid w:val="00F439EC"/>
    <w:rsid w:val="00F43A25"/>
    <w:rsid w:val="00F43CFD"/>
    <w:rsid w:val="00F449C1"/>
    <w:rsid w:val="00F44A87"/>
    <w:rsid w:val="00F44D8F"/>
    <w:rsid w:val="00F44EF2"/>
    <w:rsid w:val="00F45060"/>
    <w:rsid w:val="00F45179"/>
    <w:rsid w:val="00F45496"/>
    <w:rsid w:val="00F46176"/>
    <w:rsid w:val="00F461B2"/>
    <w:rsid w:val="00F46242"/>
    <w:rsid w:val="00F46B8F"/>
    <w:rsid w:val="00F46D71"/>
    <w:rsid w:val="00F47575"/>
    <w:rsid w:val="00F47D4B"/>
    <w:rsid w:val="00F47E32"/>
    <w:rsid w:val="00F47FA4"/>
    <w:rsid w:val="00F5015E"/>
    <w:rsid w:val="00F50E3B"/>
    <w:rsid w:val="00F50E5F"/>
    <w:rsid w:val="00F51174"/>
    <w:rsid w:val="00F51539"/>
    <w:rsid w:val="00F51886"/>
    <w:rsid w:val="00F51BEE"/>
    <w:rsid w:val="00F523FD"/>
    <w:rsid w:val="00F5248C"/>
    <w:rsid w:val="00F525FB"/>
    <w:rsid w:val="00F52D4B"/>
    <w:rsid w:val="00F53DA9"/>
    <w:rsid w:val="00F540A4"/>
    <w:rsid w:val="00F558D8"/>
    <w:rsid w:val="00F56C99"/>
    <w:rsid w:val="00F5713A"/>
    <w:rsid w:val="00F57409"/>
    <w:rsid w:val="00F575C3"/>
    <w:rsid w:val="00F57CAC"/>
    <w:rsid w:val="00F57F97"/>
    <w:rsid w:val="00F60373"/>
    <w:rsid w:val="00F605B0"/>
    <w:rsid w:val="00F61190"/>
    <w:rsid w:val="00F61211"/>
    <w:rsid w:val="00F61A64"/>
    <w:rsid w:val="00F61A6B"/>
    <w:rsid w:val="00F61D83"/>
    <w:rsid w:val="00F622FC"/>
    <w:rsid w:val="00F625BD"/>
    <w:rsid w:val="00F62C3A"/>
    <w:rsid w:val="00F63C47"/>
    <w:rsid w:val="00F63E19"/>
    <w:rsid w:val="00F640FB"/>
    <w:rsid w:val="00F64368"/>
    <w:rsid w:val="00F64AB9"/>
    <w:rsid w:val="00F64B35"/>
    <w:rsid w:val="00F64F71"/>
    <w:rsid w:val="00F6557D"/>
    <w:rsid w:val="00F65D12"/>
    <w:rsid w:val="00F65EFC"/>
    <w:rsid w:val="00F66890"/>
    <w:rsid w:val="00F66B1C"/>
    <w:rsid w:val="00F66D43"/>
    <w:rsid w:val="00F67058"/>
    <w:rsid w:val="00F67769"/>
    <w:rsid w:val="00F70327"/>
    <w:rsid w:val="00F7047F"/>
    <w:rsid w:val="00F711F3"/>
    <w:rsid w:val="00F71699"/>
    <w:rsid w:val="00F717B2"/>
    <w:rsid w:val="00F71B0C"/>
    <w:rsid w:val="00F71CE8"/>
    <w:rsid w:val="00F72513"/>
    <w:rsid w:val="00F72782"/>
    <w:rsid w:val="00F72DA3"/>
    <w:rsid w:val="00F730F0"/>
    <w:rsid w:val="00F732C3"/>
    <w:rsid w:val="00F7334A"/>
    <w:rsid w:val="00F73356"/>
    <w:rsid w:val="00F736B3"/>
    <w:rsid w:val="00F73F85"/>
    <w:rsid w:val="00F741A8"/>
    <w:rsid w:val="00F74809"/>
    <w:rsid w:val="00F74886"/>
    <w:rsid w:val="00F74A14"/>
    <w:rsid w:val="00F74B5A"/>
    <w:rsid w:val="00F74BAC"/>
    <w:rsid w:val="00F74DD4"/>
    <w:rsid w:val="00F75459"/>
    <w:rsid w:val="00F75651"/>
    <w:rsid w:val="00F75FB1"/>
    <w:rsid w:val="00F76379"/>
    <w:rsid w:val="00F76FAA"/>
    <w:rsid w:val="00F77A08"/>
    <w:rsid w:val="00F80503"/>
    <w:rsid w:val="00F8101D"/>
    <w:rsid w:val="00F81EF1"/>
    <w:rsid w:val="00F8382F"/>
    <w:rsid w:val="00F83BCB"/>
    <w:rsid w:val="00F84304"/>
    <w:rsid w:val="00F845A4"/>
    <w:rsid w:val="00F845C3"/>
    <w:rsid w:val="00F84718"/>
    <w:rsid w:val="00F850FC"/>
    <w:rsid w:val="00F85DCA"/>
    <w:rsid w:val="00F86885"/>
    <w:rsid w:val="00F869F7"/>
    <w:rsid w:val="00F86AF8"/>
    <w:rsid w:val="00F86EBD"/>
    <w:rsid w:val="00F86F38"/>
    <w:rsid w:val="00F87656"/>
    <w:rsid w:val="00F8767F"/>
    <w:rsid w:val="00F9151C"/>
    <w:rsid w:val="00F918BC"/>
    <w:rsid w:val="00F92CF3"/>
    <w:rsid w:val="00F931AD"/>
    <w:rsid w:val="00F93A8B"/>
    <w:rsid w:val="00F93FE3"/>
    <w:rsid w:val="00F94FB0"/>
    <w:rsid w:val="00F95422"/>
    <w:rsid w:val="00F95ACC"/>
    <w:rsid w:val="00F95D41"/>
    <w:rsid w:val="00F95E55"/>
    <w:rsid w:val="00F96B29"/>
    <w:rsid w:val="00F96D0A"/>
    <w:rsid w:val="00F97214"/>
    <w:rsid w:val="00F97A47"/>
    <w:rsid w:val="00F97A58"/>
    <w:rsid w:val="00F97A70"/>
    <w:rsid w:val="00F97A93"/>
    <w:rsid w:val="00F97CE5"/>
    <w:rsid w:val="00FA00AE"/>
    <w:rsid w:val="00FA03A9"/>
    <w:rsid w:val="00FA0C48"/>
    <w:rsid w:val="00FA0D9C"/>
    <w:rsid w:val="00FA1CEC"/>
    <w:rsid w:val="00FA2772"/>
    <w:rsid w:val="00FA388A"/>
    <w:rsid w:val="00FA3FD7"/>
    <w:rsid w:val="00FA4103"/>
    <w:rsid w:val="00FA47C9"/>
    <w:rsid w:val="00FA51CD"/>
    <w:rsid w:val="00FA52A9"/>
    <w:rsid w:val="00FA53A7"/>
    <w:rsid w:val="00FA576A"/>
    <w:rsid w:val="00FA5E4A"/>
    <w:rsid w:val="00FA6058"/>
    <w:rsid w:val="00FA6083"/>
    <w:rsid w:val="00FA6DF3"/>
    <w:rsid w:val="00FA70E6"/>
    <w:rsid w:val="00FA7235"/>
    <w:rsid w:val="00FA72DC"/>
    <w:rsid w:val="00FA7CF7"/>
    <w:rsid w:val="00FA7E8B"/>
    <w:rsid w:val="00FA7E99"/>
    <w:rsid w:val="00FB0405"/>
    <w:rsid w:val="00FB0B1C"/>
    <w:rsid w:val="00FB0D51"/>
    <w:rsid w:val="00FB11C9"/>
    <w:rsid w:val="00FB14AF"/>
    <w:rsid w:val="00FB16B6"/>
    <w:rsid w:val="00FB1910"/>
    <w:rsid w:val="00FB1A43"/>
    <w:rsid w:val="00FB2009"/>
    <w:rsid w:val="00FB268B"/>
    <w:rsid w:val="00FB3BFF"/>
    <w:rsid w:val="00FB4BB5"/>
    <w:rsid w:val="00FB5058"/>
    <w:rsid w:val="00FB590F"/>
    <w:rsid w:val="00FB5984"/>
    <w:rsid w:val="00FB59DE"/>
    <w:rsid w:val="00FB5B88"/>
    <w:rsid w:val="00FB5C7F"/>
    <w:rsid w:val="00FB7130"/>
    <w:rsid w:val="00FB79F5"/>
    <w:rsid w:val="00FB7BA3"/>
    <w:rsid w:val="00FC01AE"/>
    <w:rsid w:val="00FC0348"/>
    <w:rsid w:val="00FC03FB"/>
    <w:rsid w:val="00FC0F6E"/>
    <w:rsid w:val="00FC143B"/>
    <w:rsid w:val="00FC156A"/>
    <w:rsid w:val="00FC1E64"/>
    <w:rsid w:val="00FC2254"/>
    <w:rsid w:val="00FC242A"/>
    <w:rsid w:val="00FC2642"/>
    <w:rsid w:val="00FC284E"/>
    <w:rsid w:val="00FC2C5A"/>
    <w:rsid w:val="00FC2ECA"/>
    <w:rsid w:val="00FC3402"/>
    <w:rsid w:val="00FC48F8"/>
    <w:rsid w:val="00FC4E94"/>
    <w:rsid w:val="00FC5E04"/>
    <w:rsid w:val="00FC5EBC"/>
    <w:rsid w:val="00FC637A"/>
    <w:rsid w:val="00FC649C"/>
    <w:rsid w:val="00FC680D"/>
    <w:rsid w:val="00FC69E3"/>
    <w:rsid w:val="00FC6F07"/>
    <w:rsid w:val="00FC70FA"/>
    <w:rsid w:val="00FC71E1"/>
    <w:rsid w:val="00FC737C"/>
    <w:rsid w:val="00FC77F3"/>
    <w:rsid w:val="00FD03D2"/>
    <w:rsid w:val="00FD0A2C"/>
    <w:rsid w:val="00FD0B28"/>
    <w:rsid w:val="00FD0D1E"/>
    <w:rsid w:val="00FD1473"/>
    <w:rsid w:val="00FD155C"/>
    <w:rsid w:val="00FD2979"/>
    <w:rsid w:val="00FD2CEC"/>
    <w:rsid w:val="00FD2E73"/>
    <w:rsid w:val="00FD3310"/>
    <w:rsid w:val="00FD3A58"/>
    <w:rsid w:val="00FD438C"/>
    <w:rsid w:val="00FD4B92"/>
    <w:rsid w:val="00FD4CDD"/>
    <w:rsid w:val="00FD4CEC"/>
    <w:rsid w:val="00FD4D72"/>
    <w:rsid w:val="00FD5913"/>
    <w:rsid w:val="00FD5B8F"/>
    <w:rsid w:val="00FD67C0"/>
    <w:rsid w:val="00FD6BE4"/>
    <w:rsid w:val="00FD6DE9"/>
    <w:rsid w:val="00FD7317"/>
    <w:rsid w:val="00FD7773"/>
    <w:rsid w:val="00FE00DB"/>
    <w:rsid w:val="00FE0C65"/>
    <w:rsid w:val="00FE1007"/>
    <w:rsid w:val="00FE1633"/>
    <w:rsid w:val="00FE2188"/>
    <w:rsid w:val="00FE23BC"/>
    <w:rsid w:val="00FE31C4"/>
    <w:rsid w:val="00FE3510"/>
    <w:rsid w:val="00FE3920"/>
    <w:rsid w:val="00FE39BA"/>
    <w:rsid w:val="00FE40DB"/>
    <w:rsid w:val="00FE419B"/>
    <w:rsid w:val="00FE4261"/>
    <w:rsid w:val="00FE4BE9"/>
    <w:rsid w:val="00FE4C0C"/>
    <w:rsid w:val="00FE55BE"/>
    <w:rsid w:val="00FE6015"/>
    <w:rsid w:val="00FE6933"/>
    <w:rsid w:val="00FE6CE4"/>
    <w:rsid w:val="00FE7325"/>
    <w:rsid w:val="00FE7AC2"/>
    <w:rsid w:val="00FE7F5D"/>
    <w:rsid w:val="00FF03BF"/>
    <w:rsid w:val="00FF0762"/>
    <w:rsid w:val="00FF0B85"/>
    <w:rsid w:val="00FF0EB7"/>
    <w:rsid w:val="00FF19EA"/>
    <w:rsid w:val="00FF21A2"/>
    <w:rsid w:val="00FF28BB"/>
    <w:rsid w:val="00FF3154"/>
    <w:rsid w:val="00FF34E5"/>
    <w:rsid w:val="00FF356E"/>
    <w:rsid w:val="00FF36CB"/>
    <w:rsid w:val="00FF4015"/>
    <w:rsid w:val="00FF4420"/>
    <w:rsid w:val="00FF4967"/>
    <w:rsid w:val="00FF50C3"/>
    <w:rsid w:val="00FF51C5"/>
    <w:rsid w:val="00FF5A8E"/>
    <w:rsid w:val="00FF5B57"/>
    <w:rsid w:val="00FF6651"/>
    <w:rsid w:val="00FF7040"/>
    <w:rsid w:val="00FF7887"/>
    <w:rsid w:val="00FF7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D3C62"/>
  <w15:chartTrackingRefBased/>
  <w15:docId w15:val="{EC5D8DBC-B874-4231-BB68-9CF4FF48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5C0"/>
    <w:rPr>
      <w:rFonts w:ascii="Arial" w:hAnsi="Arial"/>
      <w:lang w:eastAsia="en-US"/>
    </w:rPr>
  </w:style>
  <w:style w:type="paragraph" w:styleId="Heading1">
    <w:name w:val="heading 1"/>
    <w:basedOn w:val="Normal"/>
    <w:next w:val="Normal"/>
    <w:qFormat/>
    <w:rsid w:val="0051446E"/>
    <w:pPr>
      <w:keepNext/>
      <w:numPr>
        <w:numId w:val="1"/>
      </w:numPr>
      <w:spacing w:before="480" w:after="240"/>
      <w:outlineLvl w:val="0"/>
    </w:pPr>
    <w:rPr>
      <w:rFonts w:ascii="Arial Black" w:hAnsi="Arial Black"/>
      <w:sz w:val="48"/>
    </w:rPr>
  </w:style>
  <w:style w:type="paragraph" w:styleId="Heading2">
    <w:name w:val="heading 2"/>
    <w:basedOn w:val="Normal"/>
    <w:next w:val="Normal"/>
    <w:autoRedefine/>
    <w:qFormat/>
    <w:rsid w:val="0051446E"/>
    <w:pPr>
      <w:keepNext/>
      <w:numPr>
        <w:ilvl w:val="1"/>
        <w:numId w:val="1"/>
      </w:numPr>
      <w:spacing w:before="240"/>
      <w:outlineLvl w:val="1"/>
    </w:pPr>
    <w:rPr>
      <w:rFonts w:ascii="Arial Black" w:hAnsi="Arial Black"/>
      <w:sz w:val="24"/>
    </w:rPr>
  </w:style>
  <w:style w:type="paragraph" w:styleId="Heading3">
    <w:name w:val="heading 3"/>
    <w:basedOn w:val="Heading2"/>
    <w:next w:val="Normal"/>
    <w:qFormat/>
    <w:rsid w:val="0051446E"/>
    <w:pPr>
      <w:keepLines/>
      <w:numPr>
        <w:ilvl w:val="2"/>
        <w:numId w:val="2"/>
      </w:numPr>
      <w:suppressLineNumbers/>
      <w:tabs>
        <w:tab w:val="left" w:pos="2880"/>
      </w:tabs>
      <w:outlineLvl w:val="2"/>
    </w:pPr>
    <w:rPr>
      <w:kern w:val="48"/>
      <w:sz w:val="19"/>
    </w:rPr>
  </w:style>
  <w:style w:type="paragraph" w:styleId="Heading4">
    <w:name w:val="heading 4"/>
    <w:basedOn w:val="Heading3"/>
    <w:next w:val="Normal"/>
    <w:qFormat/>
    <w:pPr>
      <w:tabs>
        <w:tab w:val="left" w:pos="2016"/>
      </w:tabs>
      <w:outlineLvl w:val="3"/>
    </w:pPr>
    <w:rPr>
      <w:sz w:val="32"/>
    </w:rPr>
  </w:style>
  <w:style w:type="paragraph" w:styleId="Heading5">
    <w:name w:val="heading 5"/>
    <w:basedOn w:val="Normal"/>
    <w:next w:val="Normal"/>
    <w:qFormat/>
    <w:pPr>
      <w:widowControl w:val="0"/>
      <w:spacing w:before="240" w:after="240"/>
      <w:jc w:val="both"/>
      <w:outlineLvl w:val="4"/>
    </w:pPr>
    <w:rPr>
      <w:i/>
    </w:rPr>
  </w:style>
  <w:style w:type="paragraph" w:styleId="Heading6">
    <w:name w:val="heading 6"/>
    <w:aliases w:val="Appendix"/>
    <w:basedOn w:val="Normal"/>
    <w:qFormat/>
    <w:pPr>
      <w:widowControl w:val="0"/>
      <w:jc w:val="both"/>
      <w:outlineLvl w:val="5"/>
    </w:pPr>
    <w:rPr>
      <w:b/>
    </w:rPr>
  </w:style>
  <w:style w:type="paragraph" w:styleId="Heading7">
    <w:name w:val="heading 7"/>
    <w:basedOn w:val="Normal"/>
    <w:qFormat/>
    <w:pPr>
      <w:widowControl w:val="0"/>
      <w:jc w:val="both"/>
      <w:outlineLvl w:val="6"/>
    </w:pPr>
  </w:style>
  <w:style w:type="paragraph" w:styleId="Heading8">
    <w:name w:val="heading 8"/>
    <w:basedOn w:val="Normal"/>
    <w:qFormat/>
    <w:pPr>
      <w:widowControl w:val="0"/>
      <w:jc w:val="both"/>
      <w:outlineLvl w:val="7"/>
    </w:pPr>
  </w:style>
  <w:style w:type="paragraph" w:styleId="Heading9">
    <w:name w:val="heading 9"/>
    <w:basedOn w:val="Normal"/>
    <w:next w:val="Normal"/>
    <w:qFormat/>
    <w:pPr>
      <w:widowControl w:val="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sh1">
    <w:name w:val="Dash 1"/>
    <w:basedOn w:val="Normal"/>
    <w:rsid w:val="001D2B4A"/>
    <w:pPr>
      <w:widowControl w:val="0"/>
      <w:numPr>
        <w:numId w:val="6"/>
      </w:numPr>
    </w:pPr>
  </w:style>
  <w:style w:type="paragraph" w:customStyle="1" w:styleId="Dash2">
    <w:name w:val="Dash2"/>
    <w:basedOn w:val="Dash1"/>
    <w:rsid w:val="001D2B4A"/>
    <w:pPr>
      <w:numPr>
        <w:numId w:val="7"/>
      </w:numPr>
      <w:spacing w:before="240" w:after="240"/>
    </w:pPr>
  </w:style>
  <w:style w:type="character" w:styleId="FollowedHyperlink">
    <w:name w:val="FollowedHyperlink"/>
    <w:rPr>
      <w:rFonts w:ascii="Arial" w:hAnsi="Arial"/>
      <w:color w:val="800080"/>
      <w:u w:val="single"/>
    </w:rPr>
  </w:style>
  <w:style w:type="paragraph" w:styleId="Footer">
    <w:name w:val="footer"/>
    <w:basedOn w:val="Normal"/>
    <w:pPr>
      <w:widowControl w:val="0"/>
      <w:tabs>
        <w:tab w:val="center" w:pos="4320"/>
        <w:tab w:val="right" w:pos="8640"/>
      </w:tabs>
      <w:jc w:val="both"/>
    </w:pPr>
  </w:style>
  <w:style w:type="paragraph" w:styleId="Header">
    <w:name w:val="header"/>
    <w:basedOn w:val="Normal"/>
    <w:link w:val="HeaderChar"/>
    <w:uiPriority w:val="99"/>
    <w:pPr>
      <w:widowControl w:val="0"/>
      <w:tabs>
        <w:tab w:val="center" w:pos="4320"/>
        <w:tab w:val="right" w:pos="8640"/>
      </w:tabs>
      <w:jc w:val="both"/>
    </w:pPr>
  </w:style>
  <w:style w:type="character" w:styleId="Hyperlink">
    <w:name w:val="Hyperlink"/>
    <w:rPr>
      <w:rFonts w:ascii="Arial" w:hAnsi="Arial"/>
      <w:color w:val="0000FF"/>
      <w:u w:val="single"/>
    </w:rPr>
  </w:style>
  <w:style w:type="paragraph" w:styleId="List5">
    <w:name w:val="List 5"/>
    <w:basedOn w:val="Normal"/>
    <w:pPr>
      <w:widowControl w:val="0"/>
      <w:ind w:left="1415" w:hanging="283"/>
      <w:jc w:val="both"/>
    </w:pPr>
  </w:style>
  <w:style w:type="paragraph" w:styleId="ListBullet">
    <w:name w:val="List Bullet"/>
    <w:basedOn w:val="Normal"/>
    <w:rsid w:val="0049061F"/>
    <w:pPr>
      <w:widowControl w:val="0"/>
      <w:numPr>
        <w:numId w:val="8"/>
      </w:numPr>
    </w:pPr>
  </w:style>
  <w:style w:type="paragraph" w:styleId="ListBullet2">
    <w:name w:val="List Bullet 2"/>
    <w:basedOn w:val="Normal"/>
    <w:autoRedefine/>
    <w:rsid w:val="00EE3858"/>
    <w:pPr>
      <w:widowControl w:val="0"/>
      <w:numPr>
        <w:numId w:val="10"/>
      </w:numPr>
      <w:tabs>
        <w:tab w:val="left" w:pos="567"/>
      </w:tabs>
      <w:spacing w:after="240"/>
    </w:pPr>
  </w:style>
  <w:style w:type="paragraph" w:styleId="ListBullet3">
    <w:name w:val="List Bullet 3"/>
    <w:basedOn w:val="Normal"/>
    <w:autoRedefine/>
    <w:rsid w:val="00EE3858"/>
    <w:pPr>
      <w:widowControl w:val="0"/>
      <w:numPr>
        <w:numId w:val="11"/>
      </w:numPr>
      <w:tabs>
        <w:tab w:val="left" w:pos="851"/>
      </w:tabs>
    </w:pPr>
  </w:style>
  <w:style w:type="paragraph" w:styleId="ListBullet4">
    <w:name w:val="List Bullet 4"/>
    <w:basedOn w:val="Normal"/>
    <w:autoRedefine/>
    <w:rsid w:val="00AE523F"/>
    <w:pPr>
      <w:widowControl w:val="0"/>
      <w:numPr>
        <w:numId w:val="16"/>
      </w:numPr>
      <w:tabs>
        <w:tab w:val="clear" w:pos="1209"/>
        <w:tab w:val="num" w:pos="546"/>
        <w:tab w:val="left" w:pos="851"/>
      </w:tabs>
      <w:spacing w:after="240"/>
      <w:ind w:left="546" w:hanging="546"/>
    </w:pPr>
    <w:rPr>
      <w:b/>
    </w:rPr>
  </w:style>
  <w:style w:type="paragraph" w:styleId="ListNumber">
    <w:name w:val="List Number"/>
    <w:basedOn w:val="Normal"/>
    <w:rsid w:val="0049061F"/>
    <w:pPr>
      <w:widowControl w:val="0"/>
      <w:numPr>
        <w:numId w:val="9"/>
      </w:numPr>
    </w:pPr>
  </w:style>
  <w:style w:type="paragraph" w:styleId="ListNumber2">
    <w:name w:val="List Number 2"/>
    <w:basedOn w:val="Normal"/>
    <w:rsid w:val="00C35466"/>
    <w:pPr>
      <w:widowControl w:val="0"/>
      <w:numPr>
        <w:numId w:val="3"/>
      </w:numPr>
      <w:spacing w:before="240"/>
    </w:pPr>
  </w:style>
  <w:style w:type="paragraph" w:styleId="ListNumber3">
    <w:name w:val="List Number 3"/>
    <w:basedOn w:val="Normal"/>
    <w:rsid w:val="00C35466"/>
    <w:pPr>
      <w:widowControl w:val="0"/>
      <w:numPr>
        <w:numId w:val="4"/>
      </w:numPr>
    </w:pPr>
  </w:style>
  <w:style w:type="paragraph" w:styleId="ListNumber4">
    <w:name w:val="List Number 4"/>
    <w:basedOn w:val="Normal"/>
    <w:rsid w:val="00C35466"/>
    <w:pPr>
      <w:widowControl w:val="0"/>
      <w:numPr>
        <w:numId w:val="5"/>
      </w:numPr>
      <w:spacing w:before="240"/>
    </w:pPr>
  </w:style>
  <w:style w:type="paragraph" w:styleId="NormalIndent">
    <w:name w:val="Normal Indent"/>
    <w:basedOn w:val="Normal"/>
    <w:pPr>
      <w:ind w:left="567"/>
    </w:pPr>
  </w:style>
  <w:style w:type="paragraph" w:customStyle="1" w:styleId="Normalindent2">
    <w:name w:val="Normal indent2"/>
    <w:basedOn w:val="Normal"/>
    <w:pPr>
      <w:ind w:left="851"/>
    </w:pPr>
  </w:style>
  <w:style w:type="paragraph" w:styleId="TOC1">
    <w:name w:val="toc 1"/>
    <w:basedOn w:val="Normal"/>
    <w:next w:val="Normal"/>
    <w:autoRedefine/>
    <w:semiHidden/>
    <w:pPr>
      <w:tabs>
        <w:tab w:val="left" w:pos="1134"/>
        <w:tab w:val="right" w:pos="9072"/>
      </w:tabs>
      <w:spacing w:after="240"/>
      <w:ind w:left="1134" w:hanging="1134"/>
    </w:pPr>
    <w:rPr>
      <w:sz w:val="23"/>
    </w:rPr>
  </w:style>
  <w:style w:type="paragraph" w:styleId="TOC2">
    <w:name w:val="toc 2"/>
    <w:basedOn w:val="Normal"/>
    <w:next w:val="Normal"/>
    <w:autoRedefine/>
    <w:semiHidden/>
    <w:pPr>
      <w:tabs>
        <w:tab w:val="left" w:pos="1134"/>
        <w:tab w:val="right" w:pos="9072"/>
      </w:tabs>
      <w:spacing w:after="240"/>
      <w:ind w:left="1134" w:hanging="1134"/>
    </w:pPr>
    <w:rPr>
      <w:sz w:val="23"/>
    </w:rPr>
  </w:style>
  <w:style w:type="paragraph" w:styleId="TOC3">
    <w:name w:val="toc 3"/>
    <w:basedOn w:val="Normal"/>
    <w:autoRedefine/>
    <w:semiHidden/>
    <w:pPr>
      <w:spacing w:before="240" w:after="240"/>
    </w:pPr>
    <w:rPr>
      <w:sz w:val="23"/>
    </w:rPr>
  </w:style>
  <w:style w:type="character" w:styleId="PageNumber">
    <w:name w:val="page number"/>
    <w:basedOn w:val="DefaultParagraphFont"/>
    <w:rsid w:val="001A1644"/>
  </w:style>
  <w:style w:type="paragraph" w:customStyle="1" w:styleId="Tabletext9pt">
    <w:name w:val="Table:text:9pt"/>
    <w:rsid w:val="00CB49B9"/>
    <w:pPr>
      <w:keepLines/>
      <w:spacing w:before="40" w:after="40" w:line="240" w:lineRule="exact"/>
    </w:pPr>
    <w:rPr>
      <w:rFonts w:ascii="Arial" w:hAnsi="Arial"/>
      <w:sz w:val="18"/>
      <w:lang w:val="en-AU" w:eastAsia="en-US"/>
    </w:rPr>
  </w:style>
  <w:style w:type="character" w:customStyle="1" w:styleId="Tablecharbold9pt">
    <w:name w:val="Table:char bold 9 pt"/>
    <w:rsid w:val="00CB49B9"/>
    <w:rPr>
      <w:rFonts w:ascii="Arial" w:hAnsi="Arial"/>
      <w:b/>
      <w:sz w:val="18"/>
    </w:rPr>
  </w:style>
  <w:style w:type="character" w:customStyle="1" w:styleId="Tablecharitalics9pt">
    <w:name w:val="Table:char italics 9pt"/>
    <w:rsid w:val="0087718D"/>
    <w:rPr>
      <w:rFonts w:ascii="Arial" w:hAnsi="Arial"/>
      <w:i/>
      <w:sz w:val="18"/>
    </w:rPr>
  </w:style>
  <w:style w:type="paragraph" w:customStyle="1" w:styleId="Tabletext8pt">
    <w:name w:val="Table:text:8pt"/>
    <w:rsid w:val="00A93E3E"/>
    <w:pPr>
      <w:keepLines/>
      <w:spacing w:before="40" w:after="40"/>
    </w:pPr>
    <w:rPr>
      <w:rFonts w:ascii="Arial" w:hAnsi="Arial"/>
      <w:sz w:val="16"/>
      <w:lang w:val="en-AU" w:eastAsia="en-US"/>
    </w:rPr>
  </w:style>
  <w:style w:type="paragraph" w:styleId="BodyText">
    <w:name w:val="Body Text"/>
    <w:basedOn w:val="Normal"/>
    <w:semiHidden/>
    <w:rsid w:val="008136B1"/>
    <w:pPr>
      <w:spacing w:before="80" w:after="120"/>
    </w:pPr>
    <w:rPr>
      <w:rFonts w:ascii="Times New Roman" w:hAnsi="Times New Roman"/>
      <w:szCs w:val="24"/>
    </w:rPr>
  </w:style>
  <w:style w:type="paragraph" w:customStyle="1" w:styleId="KPMGSmalllogo">
    <w:name w:val="KPMG Small logo"/>
    <w:basedOn w:val="Normal"/>
    <w:rsid w:val="00E455A6"/>
    <w:pPr>
      <w:overflowPunct w:val="0"/>
      <w:autoSpaceDE w:val="0"/>
      <w:autoSpaceDN w:val="0"/>
      <w:adjustRightInd w:val="0"/>
      <w:spacing w:before="360"/>
      <w:textAlignment w:val="baseline"/>
    </w:pPr>
    <w:rPr>
      <w:rFonts w:ascii="KPMG Logos V0.92" w:hAnsi="KPMG Logos V0.92"/>
    </w:rPr>
  </w:style>
  <w:style w:type="table" w:styleId="TableGrid">
    <w:name w:val="Table Grid"/>
    <w:basedOn w:val="TableNormal"/>
    <w:rsid w:val="00A57D5D"/>
    <w:tblPr/>
  </w:style>
  <w:style w:type="paragraph" w:styleId="BalloonText">
    <w:name w:val="Balloon Text"/>
    <w:basedOn w:val="Normal"/>
    <w:semiHidden/>
    <w:rsid w:val="00EF2A78"/>
    <w:rPr>
      <w:rFonts w:ascii="Tahoma" w:hAnsi="Tahoma" w:cs="Tahoma"/>
      <w:sz w:val="16"/>
      <w:szCs w:val="16"/>
    </w:rPr>
  </w:style>
  <w:style w:type="paragraph" w:styleId="FootnoteText">
    <w:name w:val="footnote text"/>
    <w:basedOn w:val="Normal"/>
    <w:link w:val="FootnoteTextChar"/>
    <w:rsid w:val="009C1A8F"/>
    <w:pPr>
      <w:spacing w:after="200" w:line="276" w:lineRule="auto"/>
    </w:pPr>
    <w:rPr>
      <w:rFonts w:ascii="Calibri" w:hAnsi="Calibri"/>
      <w:lang w:val="x-none"/>
    </w:rPr>
  </w:style>
  <w:style w:type="character" w:customStyle="1" w:styleId="FootnoteTextChar">
    <w:name w:val="Footnote Text Char"/>
    <w:link w:val="FootnoteText"/>
    <w:rsid w:val="009C1A8F"/>
    <w:rPr>
      <w:rFonts w:ascii="Calibri" w:hAnsi="Calibri"/>
      <w:lang w:eastAsia="en-US"/>
    </w:rPr>
  </w:style>
  <w:style w:type="character" w:styleId="FootnoteReference">
    <w:name w:val="footnote reference"/>
    <w:rsid w:val="009C1A8F"/>
    <w:rPr>
      <w:rFonts w:cs="Times New Roman"/>
      <w:vertAlign w:val="superscript"/>
    </w:rPr>
  </w:style>
  <w:style w:type="paragraph" w:styleId="ListParagraph">
    <w:name w:val="List Paragraph"/>
    <w:basedOn w:val="Normal"/>
    <w:uiPriority w:val="1"/>
    <w:qFormat/>
    <w:rsid w:val="008A478C"/>
    <w:pPr>
      <w:ind w:left="567"/>
    </w:pPr>
  </w:style>
  <w:style w:type="paragraph" w:customStyle="1" w:styleId="CharCharCharChar">
    <w:name w:val="Char Char Char Char"/>
    <w:basedOn w:val="Normal"/>
    <w:rsid w:val="008A6AAA"/>
    <w:pPr>
      <w:spacing w:after="160" w:line="240" w:lineRule="exact"/>
    </w:pPr>
    <w:rPr>
      <w:rFonts w:ascii="Tahoma" w:hAnsi="Tahoma"/>
      <w:lang w:val="en-US"/>
    </w:rPr>
  </w:style>
  <w:style w:type="paragraph" w:styleId="NoSpacing">
    <w:name w:val="No Spacing"/>
    <w:aliases w:val="GEP Normal No Spacing"/>
    <w:link w:val="NoSpacingChar"/>
    <w:uiPriority w:val="1"/>
    <w:qFormat/>
    <w:rsid w:val="00642FE2"/>
    <w:rPr>
      <w:rFonts w:ascii="Calibri" w:eastAsia="Calibri" w:hAnsi="Calibri"/>
      <w:sz w:val="22"/>
      <w:szCs w:val="22"/>
      <w:lang w:eastAsia="en-US"/>
    </w:rPr>
  </w:style>
  <w:style w:type="paragraph" w:customStyle="1" w:styleId="Default">
    <w:name w:val="Default"/>
    <w:rsid w:val="00642FE2"/>
    <w:pPr>
      <w:autoSpaceDE w:val="0"/>
      <w:autoSpaceDN w:val="0"/>
      <w:adjustRightInd w:val="0"/>
    </w:pPr>
    <w:rPr>
      <w:rFonts w:ascii="Lato" w:eastAsia="Calibri" w:hAnsi="Lato" w:cs="Lato"/>
      <w:color w:val="000000"/>
      <w:sz w:val="24"/>
      <w:szCs w:val="24"/>
      <w:lang w:eastAsia="en-US"/>
    </w:rPr>
  </w:style>
  <w:style w:type="character" w:customStyle="1" w:styleId="HeaderChar">
    <w:name w:val="Header Char"/>
    <w:link w:val="Header"/>
    <w:uiPriority w:val="99"/>
    <w:rsid w:val="004B5877"/>
    <w:rPr>
      <w:rFonts w:ascii="Arial" w:hAnsi="Arial"/>
      <w:lang w:eastAsia="en-US"/>
    </w:rPr>
  </w:style>
  <w:style w:type="paragraph" w:styleId="NormalWeb">
    <w:name w:val="Normal (Web)"/>
    <w:basedOn w:val="Normal"/>
    <w:uiPriority w:val="99"/>
    <w:unhideWhenUsed/>
    <w:rsid w:val="00721958"/>
    <w:pPr>
      <w:spacing w:before="100" w:beforeAutospacing="1" w:after="100" w:afterAutospacing="1"/>
    </w:pPr>
    <w:rPr>
      <w:rFonts w:ascii="Calibri" w:eastAsia="Calibri" w:hAnsi="Calibri" w:cs="Calibri"/>
      <w:sz w:val="22"/>
      <w:szCs w:val="22"/>
      <w:lang w:eastAsia="en-GB"/>
    </w:rPr>
  </w:style>
  <w:style w:type="character" w:styleId="UnresolvedMention">
    <w:name w:val="Unresolved Mention"/>
    <w:uiPriority w:val="99"/>
    <w:semiHidden/>
    <w:unhideWhenUsed/>
    <w:rsid w:val="00F1272F"/>
    <w:rPr>
      <w:color w:val="605E5C"/>
      <w:shd w:val="clear" w:color="auto" w:fill="E1DFDD"/>
    </w:rPr>
  </w:style>
  <w:style w:type="character" w:customStyle="1" w:styleId="NoSpacingChar">
    <w:name w:val="No Spacing Char"/>
    <w:aliases w:val="GEP Normal No Spacing Char"/>
    <w:link w:val="NoSpacing"/>
    <w:uiPriority w:val="1"/>
    <w:locked/>
    <w:rsid w:val="00E510D6"/>
    <w:rPr>
      <w:rFonts w:ascii="Calibri" w:eastAsia="Calibri" w:hAnsi="Calibri"/>
      <w:sz w:val="22"/>
      <w:szCs w:val="22"/>
      <w:lang w:eastAsia="en-US"/>
    </w:rPr>
  </w:style>
  <w:style w:type="character" w:styleId="CommentReference">
    <w:name w:val="annotation reference"/>
    <w:unhideWhenUsed/>
    <w:rsid w:val="00F640FB"/>
    <w:rPr>
      <w:sz w:val="16"/>
      <w:szCs w:val="16"/>
    </w:rPr>
  </w:style>
  <w:style w:type="paragraph" w:styleId="CommentText">
    <w:name w:val="annotation text"/>
    <w:basedOn w:val="Normal"/>
    <w:link w:val="CommentTextChar"/>
    <w:unhideWhenUsed/>
    <w:rsid w:val="00F640FB"/>
  </w:style>
  <w:style w:type="character" w:customStyle="1" w:styleId="CommentTextChar">
    <w:name w:val="Comment Text Char"/>
    <w:link w:val="CommentText"/>
    <w:rsid w:val="00F640FB"/>
    <w:rPr>
      <w:rFonts w:ascii="Arial" w:hAnsi="Arial"/>
      <w:lang w:eastAsia="en-US"/>
    </w:rPr>
  </w:style>
  <w:style w:type="paragraph" w:styleId="CommentSubject">
    <w:name w:val="annotation subject"/>
    <w:basedOn w:val="CommentText"/>
    <w:next w:val="CommentText"/>
    <w:link w:val="CommentSubjectChar"/>
    <w:rsid w:val="005E7E73"/>
    <w:rPr>
      <w:b/>
      <w:bCs/>
    </w:rPr>
  </w:style>
  <w:style w:type="character" w:customStyle="1" w:styleId="CommentSubjectChar">
    <w:name w:val="Comment Subject Char"/>
    <w:link w:val="CommentSubject"/>
    <w:rsid w:val="005E7E73"/>
    <w:rPr>
      <w:rFonts w:ascii="Arial" w:hAnsi="Arial"/>
      <w:b/>
      <w:bCs/>
      <w:lang w:eastAsia="en-US"/>
    </w:rPr>
  </w:style>
  <w:style w:type="paragraph" w:styleId="Revision">
    <w:name w:val="Revision"/>
    <w:hidden/>
    <w:uiPriority w:val="99"/>
    <w:semiHidden/>
    <w:rsid w:val="001959E2"/>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003">
      <w:bodyDiv w:val="1"/>
      <w:marLeft w:val="0"/>
      <w:marRight w:val="0"/>
      <w:marTop w:val="0"/>
      <w:marBottom w:val="0"/>
      <w:divBdr>
        <w:top w:val="none" w:sz="0" w:space="0" w:color="auto"/>
        <w:left w:val="none" w:sz="0" w:space="0" w:color="auto"/>
        <w:bottom w:val="none" w:sz="0" w:space="0" w:color="auto"/>
        <w:right w:val="none" w:sz="0" w:space="0" w:color="auto"/>
      </w:divBdr>
    </w:div>
    <w:div w:id="70740829">
      <w:bodyDiv w:val="1"/>
      <w:marLeft w:val="0"/>
      <w:marRight w:val="0"/>
      <w:marTop w:val="0"/>
      <w:marBottom w:val="0"/>
      <w:divBdr>
        <w:top w:val="none" w:sz="0" w:space="0" w:color="auto"/>
        <w:left w:val="none" w:sz="0" w:space="0" w:color="auto"/>
        <w:bottom w:val="none" w:sz="0" w:space="0" w:color="auto"/>
        <w:right w:val="none" w:sz="0" w:space="0" w:color="auto"/>
      </w:divBdr>
    </w:div>
    <w:div w:id="76098138">
      <w:bodyDiv w:val="1"/>
      <w:marLeft w:val="0"/>
      <w:marRight w:val="0"/>
      <w:marTop w:val="0"/>
      <w:marBottom w:val="0"/>
      <w:divBdr>
        <w:top w:val="none" w:sz="0" w:space="0" w:color="auto"/>
        <w:left w:val="none" w:sz="0" w:space="0" w:color="auto"/>
        <w:bottom w:val="none" w:sz="0" w:space="0" w:color="auto"/>
        <w:right w:val="none" w:sz="0" w:space="0" w:color="auto"/>
      </w:divBdr>
    </w:div>
    <w:div w:id="198011257">
      <w:bodyDiv w:val="1"/>
      <w:marLeft w:val="0"/>
      <w:marRight w:val="0"/>
      <w:marTop w:val="0"/>
      <w:marBottom w:val="0"/>
      <w:divBdr>
        <w:top w:val="none" w:sz="0" w:space="0" w:color="auto"/>
        <w:left w:val="none" w:sz="0" w:space="0" w:color="auto"/>
        <w:bottom w:val="none" w:sz="0" w:space="0" w:color="auto"/>
        <w:right w:val="none" w:sz="0" w:space="0" w:color="auto"/>
      </w:divBdr>
    </w:div>
    <w:div w:id="212622242">
      <w:bodyDiv w:val="1"/>
      <w:marLeft w:val="0"/>
      <w:marRight w:val="0"/>
      <w:marTop w:val="0"/>
      <w:marBottom w:val="0"/>
      <w:divBdr>
        <w:top w:val="none" w:sz="0" w:space="0" w:color="auto"/>
        <w:left w:val="none" w:sz="0" w:space="0" w:color="auto"/>
        <w:bottom w:val="none" w:sz="0" w:space="0" w:color="auto"/>
        <w:right w:val="none" w:sz="0" w:space="0" w:color="auto"/>
      </w:divBdr>
    </w:div>
    <w:div w:id="312179334">
      <w:bodyDiv w:val="1"/>
      <w:marLeft w:val="0"/>
      <w:marRight w:val="0"/>
      <w:marTop w:val="0"/>
      <w:marBottom w:val="0"/>
      <w:divBdr>
        <w:top w:val="none" w:sz="0" w:space="0" w:color="auto"/>
        <w:left w:val="none" w:sz="0" w:space="0" w:color="auto"/>
        <w:bottom w:val="none" w:sz="0" w:space="0" w:color="auto"/>
        <w:right w:val="none" w:sz="0" w:space="0" w:color="auto"/>
      </w:divBdr>
    </w:div>
    <w:div w:id="493688965">
      <w:bodyDiv w:val="1"/>
      <w:marLeft w:val="0"/>
      <w:marRight w:val="0"/>
      <w:marTop w:val="0"/>
      <w:marBottom w:val="0"/>
      <w:divBdr>
        <w:top w:val="none" w:sz="0" w:space="0" w:color="auto"/>
        <w:left w:val="none" w:sz="0" w:space="0" w:color="auto"/>
        <w:bottom w:val="none" w:sz="0" w:space="0" w:color="auto"/>
        <w:right w:val="none" w:sz="0" w:space="0" w:color="auto"/>
      </w:divBdr>
    </w:div>
    <w:div w:id="512577918">
      <w:bodyDiv w:val="1"/>
      <w:marLeft w:val="0"/>
      <w:marRight w:val="0"/>
      <w:marTop w:val="0"/>
      <w:marBottom w:val="0"/>
      <w:divBdr>
        <w:top w:val="none" w:sz="0" w:space="0" w:color="auto"/>
        <w:left w:val="none" w:sz="0" w:space="0" w:color="auto"/>
        <w:bottom w:val="none" w:sz="0" w:space="0" w:color="auto"/>
        <w:right w:val="none" w:sz="0" w:space="0" w:color="auto"/>
      </w:divBdr>
    </w:div>
    <w:div w:id="520437880">
      <w:bodyDiv w:val="1"/>
      <w:marLeft w:val="0"/>
      <w:marRight w:val="0"/>
      <w:marTop w:val="0"/>
      <w:marBottom w:val="0"/>
      <w:divBdr>
        <w:top w:val="none" w:sz="0" w:space="0" w:color="auto"/>
        <w:left w:val="none" w:sz="0" w:space="0" w:color="auto"/>
        <w:bottom w:val="none" w:sz="0" w:space="0" w:color="auto"/>
        <w:right w:val="none" w:sz="0" w:space="0" w:color="auto"/>
      </w:divBdr>
    </w:div>
    <w:div w:id="565383882">
      <w:bodyDiv w:val="1"/>
      <w:marLeft w:val="0"/>
      <w:marRight w:val="0"/>
      <w:marTop w:val="0"/>
      <w:marBottom w:val="0"/>
      <w:divBdr>
        <w:top w:val="none" w:sz="0" w:space="0" w:color="auto"/>
        <w:left w:val="none" w:sz="0" w:space="0" w:color="auto"/>
        <w:bottom w:val="none" w:sz="0" w:space="0" w:color="auto"/>
        <w:right w:val="none" w:sz="0" w:space="0" w:color="auto"/>
      </w:divBdr>
    </w:div>
    <w:div w:id="597299805">
      <w:bodyDiv w:val="1"/>
      <w:marLeft w:val="0"/>
      <w:marRight w:val="0"/>
      <w:marTop w:val="0"/>
      <w:marBottom w:val="0"/>
      <w:divBdr>
        <w:top w:val="none" w:sz="0" w:space="0" w:color="auto"/>
        <w:left w:val="none" w:sz="0" w:space="0" w:color="auto"/>
        <w:bottom w:val="none" w:sz="0" w:space="0" w:color="auto"/>
        <w:right w:val="none" w:sz="0" w:space="0" w:color="auto"/>
      </w:divBdr>
    </w:div>
    <w:div w:id="659773455">
      <w:bodyDiv w:val="1"/>
      <w:marLeft w:val="0"/>
      <w:marRight w:val="0"/>
      <w:marTop w:val="0"/>
      <w:marBottom w:val="0"/>
      <w:divBdr>
        <w:top w:val="none" w:sz="0" w:space="0" w:color="auto"/>
        <w:left w:val="none" w:sz="0" w:space="0" w:color="auto"/>
        <w:bottom w:val="none" w:sz="0" w:space="0" w:color="auto"/>
        <w:right w:val="none" w:sz="0" w:space="0" w:color="auto"/>
      </w:divBdr>
    </w:div>
    <w:div w:id="688794021">
      <w:bodyDiv w:val="1"/>
      <w:marLeft w:val="0"/>
      <w:marRight w:val="0"/>
      <w:marTop w:val="0"/>
      <w:marBottom w:val="0"/>
      <w:divBdr>
        <w:top w:val="none" w:sz="0" w:space="0" w:color="auto"/>
        <w:left w:val="none" w:sz="0" w:space="0" w:color="auto"/>
        <w:bottom w:val="none" w:sz="0" w:space="0" w:color="auto"/>
        <w:right w:val="none" w:sz="0" w:space="0" w:color="auto"/>
      </w:divBdr>
    </w:div>
    <w:div w:id="760029635">
      <w:bodyDiv w:val="1"/>
      <w:marLeft w:val="0"/>
      <w:marRight w:val="0"/>
      <w:marTop w:val="0"/>
      <w:marBottom w:val="0"/>
      <w:divBdr>
        <w:top w:val="none" w:sz="0" w:space="0" w:color="auto"/>
        <w:left w:val="none" w:sz="0" w:space="0" w:color="auto"/>
        <w:bottom w:val="none" w:sz="0" w:space="0" w:color="auto"/>
        <w:right w:val="none" w:sz="0" w:space="0" w:color="auto"/>
      </w:divBdr>
    </w:div>
    <w:div w:id="788739449">
      <w:bodyDiv w:val="1"/>
      <w:marLeft w:val="0"/>
      <w:marRight w:val="0"/>
      <w:marTop w:val="0"/>
      <w:marBottom w:val="0"/>
      <w:divBdr>
        <w:top w:val="none" w:sz="0" w:space="0" w:color="auto"/>
        <w:left w:val="none" w:sz="0" w:space="0" w:color="auto"/>
        <w:bottom w:val="none" w:sz="0" w:space="0" w:color="auto"/>
        <w:right w:val="none" w:sz="0" w:space="0" w:color="auto"/>
      </w:divBdr>
    </w:div>
    <w:div w:id="828909307">
      <w:bodyDiv w:val="1"/>
      <w:marLeft w:val="0"/>
      <w:marRight w:val="0"/>
      <w:marTop w:val="0"/>
      <w:marBottom w:val="0"/>
      <w:divBdr>
        <w:top w:val="none" w:sz="0" w:space="0" w:color="auto"/>
        <w:left w:val="none" w:sz="0" w:space="0" w:color="auto"/>
        <w:bottom w:val="none" w:sz="0" w:space="0" w:color="auto"/>
        <w:right w:val="none" w:sz="0" w:space="0" w:color="auto"/>
      </w:divBdr>
    </w:div>
    <w:div w:id="834107830">
      <w:bodyDiv w:val="1"/>
      <w:marLeft w:val="0"/>
      <w:marRight w:val="0"/>
      <w:marTop w:val="0"/>
      <w:marBottom w:val="0"/>
      <w:divBdr>
        <w:top w:val="none" w:sz="0" w:space="0" w:color="auto"/>
        <w:left w:val="none" w:sz="0" w:space="0" w:color="auto"/>
        <w:bottom w:val="none" w:sz="0" w:space="0" w:color="auto"/>
        <w:right w:val="none" w:sz="0" w:space="0" w:color="auto"/>
      </w:divBdr>
    </w:div>
    <w:div w:id="886650190">
      <w:bodyDiv w:val="1"/>
      <w:marLeft w:val="0"/>
      <w:marRight w:val="0"/>
      <w:marTop w:val="0"/>
      <w:marBottom w:val="0"/>
      <w:divBdr>
        <w:top w:val="none" w:sz="0" w:space="0" w:color="auto"/>
        <w:left w:val="none" w:sz="0" w:space="0" w:color="auto"/>
        <w:bottom w:val="none" w:sz="0" w:space="0" w:color="auto"/>
        <w:right w:val="none" w:sz="0" w:space="0" w:color="auto"/>
      </w:divBdr>
    </w:div>
    <w:div w:id="890196159">
      <w:bodyDiv w:val="1"/>
      <w:marLeft w:val="0"/>
      <w:marRight w:val="0"/>
      <w:marTop w:val="0"/>
      <w:marBottom w:val="0"/>
      <w:divBdr>
        <w:top w:val="none" w:sz="0" w:space="0" w:color="auto"/>
        <w:left w:val="none" w:sz="0" w:space="0" w:color="auto"/>
        <w:bottom w:val="none" w:sz="0" w:space="0" w:color="auto"/>
        <w:right w:val="none" w:sz="0" w:space="0" w:color="auto"/>
      </w:divBdr>
    </w:div>
    <w:div w:id="943419735">
      <w:bodyDiv w:val="1"/>
      <w:marLeft w:val="0"/>
      <w:marRight w:val="0"/>
      <w:marTop w:val="0"/>
      <w:marBottom w:val="0"/>
      <w:divBdr>
        <w:top w:val="none" w:sz="0" w:space="0" w:color="auto"/>
        <w:left w:val="none" w:sz="0" w:space="0" w:color="auto"/>
        <w:bottom w:val="none" w:sz="0" w:space="0" w:color="auto"/>
        <w:right w:val="none" w:sz="0" w:space="0" w:color="auto"/>
      </w:divBdr>
    </w:div>
    <w:div w:id="966473140">
      <w:bodyDiv w:val="1"/>
      <w:marLeft w:val="0"/>
      <w:marRight w:val="0"/>
      <w:marTop w:val="0"/>
      <w:marBottom w:val="0"/>
      <w:divBdr>
        <w:top w:val="none" w:sz="0" w:space="0" w:color="auto"/>
        <w:left w:val="none" w:sz="0" w:space="0" w:color="auto"/>
        <w:bottom w:val="none" w:sz="0" w:space="0" w:color="auto"/>
        <w:right w:val="none" w:sz="0" w:space="0" w:color="auto"/>
      </w:divBdr>
    </w:div>
    <w:div w:id="989092880">
      <w:bodyDiv w:val="1"/>
      <w:marLeft w:val="0"/>
      <w:marRight w:val="0"/>
      <w:marTop w:val="0"/>
      <w:marBottom w:val="0"/>
      <w:divBdr>
        <w:top w:val="none" w:sz="0" w:space="0" w:color="auto"/>
        <w:left w:val="none" w:sz="0" w:space="0" w:color="auto"/>
        <w:bottom w:val="none" w:sz="0" w:space="0" w:color="auto"/>
        <w:right w:val="none" w:sz="0" w:space="0" w:color="auto"/>
      </w:divBdr>
    </w:div>
    <w:div w:id="993948965">
      <w:bodyDiv w:val="1"/>
      <w:marLeft w:val="0"/>
      <w:marRight w:val="0"/>
      <w:marTop w:val="0"/>
      <w:marBottom w:val="0"/>
      <w:divBdr>
        <w:top w:val="none" w:sz="0" w:space="0" w:color="auto"/>
        <w:left w:val="none" w:sz="0" w:space="0" w:color="auto"/>
        <w:bottom w:val="none" w:sz="0" w:space="0" w:color="auto"/>
        <w:right w:val="none" w:sz="0" w:space="0" w:color="auto"/>
      </w:divBdr>
    </w:div>
    <w:div w:id="1007711724">
      <w:bodyDiv w:val="1"/>
      <w:marLeft w:val="0"/>
      <w:marRight w:val="0"/>
      <w:marTop w:val="0"/>
      <w:marBottom w:val="0"/>
      <w:divBdr>
        <w:top w:val="none" w:sz="0" w:space="0" w:color="auto"/>
        <w:left w:val="none" w:sz="0" w:space="0" w:color="auto"/>
        <w:bottom w:val="none" w:sz="0" w:space="0" w:color="auto"/>
        <w:right w:val="none" w:sz="0" w:space="0" w:color="auto"/>
      </w:divBdr>
    </w:div>
    <w:div w:id="1041246899">
      <w:bodyDiv w:val="1"/>
      <w:marLeft w:val="0"/>
      <w:marRight w:val="0"/>
      <w:marTop w:val="0"/>
      <w:marBottom w:val="0"/>
      <w:divBdr>
        <w:top w:val="none" w:sz="0" w:space="0" w:color="auto"/>
        <w:left w:val="none" w:sz="0" w:space="0" w:color="auto"/>
        <w:bottom w:val="none" w:sz="0" w:space="0" w:color="auto"/>
        <w:right w:val="none" w:sz="0" w:space="0" w:color="auto"/>
      </w:divBdr>
    </w:div>
    <w:div w:id="1084912371">
      <w:bodyDiv w:val="1"/>
      <w:marLeft w:val="0"/>
      <w:marRight w:val="0"/>
      <w:marTop w:val="0"/>
      <w:marBottom w:val="0"/>
      <w:divBdr>
        <w:top w:val="none" w:sz="0" w:space="0" w:color="auto"/>
        <w:left w:val="none" w:sz="0" w:space="0" w:color="auto"/>
        <w:bottom w:val="none" w:sz="0" w:space="0" w:color="auto"/>
        <w:right w:val="none" w:sz="0" w:space="0" w:color="auto"/>
      </w:divBdr>
    </w:div>
    <w:div w:id="1232423444">
      <w:bodyDiv w:val="1"/>
      <w:marLeft w:val="0"/>
      <w:marRight w:val="0"/>
      <w:marTop w:val="0"/>
      <w:marBottom w:val="0"/>
      <w:divBdr>
        <w:top w:val="none" w:sz="0" w:space="0" w:color="auto"/>
        <w:left w:val="none" w:sz="0" w:space="0" w:color="auto"/>
        <w:bottom w:val="none" w:sz="0" w:space="0" w:color="auto"/>
        <w:right w:val="none" w:sz="0" w:space="0" w:color="auto"/>
      </w:divBdr>
    </w:div>
    <w:div w:id="1268464498">
      <w:bodyDiv w:val="1"/>
      <w:marLeft w:val="0"/>
      <w:marRight w:val="0"/>
      <w:marTop w:val="0"/>
      <w:marBottom w:val="0"/>
      <w:divBdr>
        <w:top w:val="none" w:sz="0" w:space="0" w:color="auto"/>
        <w:left w:val="none" w:sz="0" w:space="0" w:color="auto"/>
        <w:bottom w:val="none" w:sz="0" w:space="0" w:color="auto"/>
        <w:right w:val="none" w:sz="0" w:space="0" w:color="auto"/>
      </w:divBdr>
    </w:div>
    <w:div w:id="1303341512">
      <w:bodyDiv w:val="1"/>
      <w:marLeft w:val="0"/>
      <w:marRight w:val="0"/>
      <w:marTop w:val="0"/>
      <w:marBottom w:val="0"/>
      <w:divBdr>
        <w:top w:val="none" w:sz="0" w:space="0" w:color="auto"/>
        <w:left w:val="none" w:sz="0" w:space="0" w:color="auto"/>
        <w:bottom w:val="none" w:sz="0" w:space="0" w:color="auto"/>
        <w:right w:val="none" w:sz="0" w:space="0" w:color="auto"/>
      </w:divBdr>
    </w:div>
    <w:div w:id="1328022543">
      <w:bodyDiv w:val="1"/>
      <w:marLeft w:val="0"/>
      <w:marRight w:val="0"/>
      <w:marTop w:val="0"/>
      <w:marBottom w:val="0"/>
      <w:divBdr>
        <w:top w:val="none" w:sz="0" w:space="0" w:color="auto"/>
        <w:left w:val="none" w:sz="0" w:space="0" w:color="auto"/>
        <w:bottom w:val="none" w:sz="0" w:space="0" w:color="auto"/>
        <w:right w:val="none" w:sz="0" w:space="0" w:color="auto"/>
      </w:divBdr>
    </w:div>
    <w:div w:id="1358895944">
      <w:bodyDiv w:val="1"/>
      <w:marLeft w:val="0"/>
      <w:marRight w:val="0"/>
      <w:marTop w:val="0"/>
      <w:marBottom w:val="0"/>
      <w:divBdr>
        <w:top w:val="none" w:sz="0" w:space="0" w:color="auto"/>
        <w:left w:val="none" w:sz="0" w:space="0" w:color="auto"/>
        <w:bottom w:val="none" w:sz="0" w:space="0" w:color="auto"/>
        <w:right w:val="none" w:sz="0" w:space="0" w:color="auto"/>
      </w:divBdr>
    </w:div>
    <w:div w:id="1410998812">
      <w:bodyDiv w:val="1"/>
      <w:marLeft w:val="0"/>
      <w:marRight w:val="0"/>
      <w:marTop w:val="0"/>
      <w:marBottom w:val="0"/>
      <w:divBdr>
        <w:top w:val="none" w:sz="0" w:space="0" w:color="auto"/>
        <w:left w:val="none" w:sz="0" w:space="0" w:color="auto"/>
        <w:bottom w:val="none" w:sz="0" w:space="0" w:color="auto"/>
        <w:right w:val="none" w:sz="0" w:space="0" w:color="auto"/>
      </w:divBdr>
    </w:div>
    <w:div w:id="1452088278">
      <w:bodyDiv w:val="1"/>
      <w:marLeft w:val="0"/>
      <w:marRight w:val="0"/>
      <w:marTop w:val="0"/>
      <w:marBottom w:val="0"/>
      <w:divBdr>
        <w:top w:val="none" w:sz="0" w:space="0" w:color="auto"/>
        <w:left w:val="none" w:sz="0" w:space="0" w:color="auto"/>
        <w:bottom w:val="none" w:sz="0" w:space="0" w:color="auto"/>
        <w:right w:val="none" w:sz="0" w:space="0" w:color="auto"/>
      </w:divBdr>
    </w:div>
    <w:div w:id="1474567975">
      <w:bodyDiv w:val="1"/>
      <w:marLeft w:val="0"/>
      <w:marRight w:val="0"/>
      <w:marTop w:val="0"/>
      <w:marBottom w:val="0"/>
      <w:divBdr>
        <w:top w:val="none" w:sz="0" w:space="0" w:color="auto"/>
        <w:left w:val="none" w:sz="0" w:space="0" w:color="auto"/>
        <w:bottom w:val="none" w:sz="0" w:space="0" w:color="auto"/>
        <w:right w:val="none" w:sz="0" w:space="0" w:color="auto"/>
      </w:divBdr>
    </w:div>
    <w:div w:id="1475180443">
      <w:bodyDiv w:val="1"/>
      <w:marLeft w:val="0"/>
      <w:marRight w:val="0"/>
      <w:marTop w:val="0"/>
      <w:marBottom w:val="0"/>
      <w:divBdr>
        <w:top w:val="none" w:sz="0" w:space="0" w:color="auto"/>
        <w:left w:val="none" w:sz="0" w:space="0" w:color="auto"/>
        <w:bottom w:val="none" w:sz="0" w:space="0" w:color="auto"/>
        <w:right w:val="none" w:sz="0" w:space="0" w:color="auto"/>
      </w:divBdr>
    </w:div>
    <w:div w:id="1511022718">
      <w:bodyDiv w:val="1"/>
      <w:marLeft w:val="0"/>
      <w:marRight w:val="0"/>
      <w:marTop w:val="0"/>
      <w:marBottom w:val="0"/>
      <w:divBdr>
        <w:top w:val="none" w:sz="0" w:space="0" w:color="auto"/>
        <w:left w:val="none" w:sz="0" w:space="0" w:color="auto"/>
        <w:bottom w:val="none" w:sz="0" w:space="0" w:color="auto"/>
        <w:right w:val="none" w:sz="0" w:space="0" w:color="auto"/>
      </w:divBdr>
    </w:div>
    <w:div w:id="1528790539">
      <w:bodyDiv w:val="1"/>
      <w:marLeft w:val="0"/>
      <w:marRight w:val="0"/>
      <w:marTop w:val="0"/>
      <w:marBottom w:val="0"/>
      <w:divBdr>
        <w:top w:val="none" w:sz="0" w:space="0" w:color="auto"/>
        <w:left w:val="none" w:sz="0" w:space="0" w:color="auto"/>
        <w:bottom w:val="none" w:sz="0" w:space="0" w:color="auto"/>
        <w:right w:val="none" w:sz="0" w:space="0" w:color="auto"/>
      </w:divBdr>
    </w:div>
    <w:div w:id="1553925820">
      <w:bodyDiv w:val="1"/>
      <w:marLeft w:val="0"/>
      <w:marRight w:val="0"/>
      <w:marTop w:val="0"/>
      <w:marBottom w:val="0"/>
      <w:divBdr>
        <w:top w:val="none" w:sz="0" w:space="0" w:color="auto"/>
        <w:left w:val="none" w:sz="0" w:space="0" w:color="auto"/>
        <w:bottom w:val="none" w:sz="0" w:space="0" w:color="auto"/>
        <w:right w:val="none" w:sz="0" w:space="0" w:color="auto"/>
      </w:divBdr>
    </w:div>
    <w:div w:id="1555660418">
      <w:bodyDiv w:val="1"/>
      <w:marLeft w:val="0"/>
      <w:marRight w:val="0"/>
      <w:marTop w:val="0"/>
      <w:marBottom w:val="0"/>
      <w:divBdr>
        <w:top w:val="none" w:sz="0" w:space="0" w:color="auto"/>
        <w:left w:val="none" w:sz="0" w:space="0" w:color="auto"/>
        <w:bottom w:val="none" w:sz="0" w:space="0" w:color="auto"/>
        <w:right w:val="none" w:sz="0" w:space="0" w:color="auto"/>
      </w:divBdr>
    </w:div>
    <w:div w:id="1561017875">
      <w:bodyDiv w:val="1"/>
      <w:marLeft w:val="0"/>
      <w:marRight w:val="0"/>
      <w:marTop w:val="0"/>
      <w:marBottom w:val="0"/>
      <w:divBdr>
        <w:top w:val="none" w:sz="0" w:space="0" w:color="auto"/>
        <w:left w:val="none" w:sz="0" w:space="0" w:color="auto"/>
        <w:bottom w:val="none" w:sz="0" w:space="0" w:color="auto"/>
        <w:right w:val="none" w:sz="0" w:space="0" w:color="auto"/>
      </w:divBdr>
    </w:div>
    <w:div w:id="1599673864">
      <w:bodyDiv w:val="1"/>
      <w:marLeft w:val="0"/>
      <w:marRight w:val="0"/>
      <w:marTop w:val="0"/>
      <w:marBottom w:val="0"/>
      <w:divBdr>
        <w:top w:val="none" w:sz="0" w:space="0" w:color="auto"/>
        <w:left w:val="none" w:sz="0" w:space="0" w:color="auto"/>
        <w:bottom w:val="none" w:sz="0" w:space="0" w:color="auto"/>
        <w:right w:val="none" w:sz="0" w:space="0" w:color="auto"/>
      </w:divBdr>
    </w:div>
    <w:div w:id="1715616683">
      <w:bodyDiv w:val="1"/>
      <w:marLeft w:val="0"/>
      <w:marRight w:val="0"/>
      <w:marTop w:val="0"/>
      <w:marBottom w:val="0"/>
      <w:divBdr>
        <w:top w:val="none" w:sz="0" w:space="0" w:color="auto"/>
        <w:left w:val="none" w:sz="0" w:space="0" w:color="auto"/>
        <w:bottom w:val="none" w:sz="0" w:space="0" w:color="auto"/>
        <w:right w:val="none" w:sz="0" w:space="0" w:color="auto"/>
      </w:divBdr>
    </w:div>
    <w:div w:id="1768233676">
      <w:bodyDiv w:val="1"/>
      <w:marLeft w:val="0"/>
      <w:marRight w:val="0"/>
      <w:marTop w:val="0"/>
      <w:marBottom w:val="0"/>
      <w:divBdr>
        <w:top w:val="none" w:sz="0" w:space="0" w:color="auto"/>
        <w:left w:val="none" w:sz="0" w:space="0" w:color="auto"/>
        <w:bottom w:val="none" w:sz="0" w:space="0" w:color="auto"/>
        <w:right w:val="none" w:sz="0" w:space="0" w:color="auto"/>
      </w:divBdr>
    </w:div>
    <w:div w:id="1802378175">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
    <w:div w:id="1867593076">
      <w:bodyDiv w:val="1"/>
      <w:marLeft w:val="0"/>
      <w:marRight w:val="0"/>
      <w:marTop w:val="0"/>
      <w:marBottom w:val="0"/>
      <w:divBdr>
        <w:top w:val="none" w:sz="0" w:space="0" w:color="auto"/>
        <w:left w:val="none" w:sz="0" w:space="0" w:color="auto"/>
        <w:bottom w:val="none" w:sz="0" w:space="0" w:color="auto"/>
        <w:right w:val="none" w:sz="0" w:space="0" w:color="auto"/>
      </w:divBdr>
    </w:div>
    <w:div w:id="1956643292">
      <w:bodyDiv w:val="1"/>
      <w:marLeft w:val="0"/>
      <w:marRight w:val="0"/>
      <w:marTop w:val="0"/>
      <w:marBottom w:val="0"/>
      <w:divBdr>
        <w:top w:val="none" w:sz="0" w:space="0" w:color="auto"/>
        <w:left w:val="none" w:sz="0" w:space="0" w:color="auto"/>
        <w:bottom w:val="none" w:sz="0" w:space="0" w:color="auto"/>
        <w:right w:val="none" w:sz="0" w:space="0" w:color="auto"/>
      </w:divBdr>
    </w:div>
    <w:div w:id="1981423566">
      <w:bodyDiv w:val="1"/>
      <w:marLeft w:val="0"/>
      <w:marRight w:val="0"/>
      <w:marTop w:val="0"/>
      <w:marBottom w:val="0"/>
      <w:divBdr>
        <w:top w:val="none" w:sz="0" w:space="0" w:color="auto"/>
        <w:left w:val="none" w:sz="0" w:space="0" w:color="auto"/>
        <w:bottom w:val="none" w:sz="0" w:space="0" w:color="auto"/>
        <w:right w:val="none" w:sz="0" w:space="0" w:color="auto"/>
      </w:divBdr>
    </w:div>
    <w:div w:id="2018269754">
      <w:bodyDiv w:val="1"/>
      <w:marLeft w:val="0"/>
      <w:marRight w:val="0"/>
      <w:marTop w:val="0"/>
      <w:marBottom w:val="0"/>
      <w:divBdr>
        <w:top w:val="none" w:sz="0" w:space="0" w:color="auto"/>
        <w:left w:val="none" w:sz="0" w:space="0" w:color="auto"/>
        <w:bottom w:val="none" w:sz="0" w:space="0" w:color="auto"/>
        <w:right w:val="none" w:sz="0" w:space="0" w:color="auto"/>
      </w:divBdr>
    </w:div>
    <w:div w:id="2045401915">
      <w:bodyDiv w:val="1"/>
      <w:marLeft w:val="0"/>
      <w:marRight w:val="0"/>
      <w:marTop w:val="0"/>
      <w:marBottom w:val="0"/>
      <w:divBdr>
        <w:top w:val="none" w:sz="0" w:space="0" w:color="auto"/>
        <w:left w:val="none" w:sz="0" w:space="0" w:color="auto"/>
        <w:bottom w:val="none" w:sz="0" w:space="0" w:color="auto"/>
        <w:right w:val="none" w:sz="0" w:space="0" w:color="auto"/>
      </w:divBdr>
    </w:div>
    <w:div w:id="21016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www.edinburghtour.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yperlink" Target="http://www.lothianbuse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edinburghtrams.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www.lothianbuses.com" TargetMode="Externa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yperlink" Target="http://www.eastcoastbuses.co.uk"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6B77E7A33B464D8A4853FB0B261BF2" ma:contentTypeVersion="4" ma:contentTypeDescription="Create a new document." ma:contentTypeScope="" ma:versionID="e670ead03c8bf0cd3683cdf612144196">
  <xsd:schema xmlns:xsd="http://www.w3.org/2001/XMLSchema" xmlns:xs="http://www.w3.org/2001/XMLSchema" xmlns:p="http://schemas.microsoft.com/office/2006/metadata/properties" xmlns:ns2="e3eed012-0453-493a-b008-d59d3357d757" targetNamespace="http://schemas.microsoft.com/office/2006/metadata/properties" ma:root="true" ma:fieldsID="2071c1f5f3fb9a49deb5c9dc8b11311d" ns2:_="">
    <xsd:import namespace="e3eed012-0453-493a-b008-d59d3357d7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ed012-0453-493a-b008-d59d3357d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86F92-3A66-4F27-B9E8-5A099C0D6A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FEED3D-CE59-4FB9-A289-CBC0AA6D3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ed012-0453-493a-b008-d59d3357d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AF1C4-7247-447A-8D45-B64B3440C176}">
  <ds:schemaRefs>
    <ds:schemaRef ds:uri="http://schemas.microsoft.com/sharepoint/v3/contenttype/forms"/>
  </ds:schemaRefs>
</ds:datastoreItem>
</file>

<file path=customXml/itemProps4.xml><?xml version="1.0" encoding="utf-8"?>
<ds:datastoreItem xmlns:ds="http://schemas.openxmlformats.org/officeDocument/2006/customXml" ds:itemID="{112D36D8-322C-4E95-AB1A-0F4C27372FAC}">
  <ds:schemaRefs>
    <ds:schemaRef ds:uri="http://schemas.openxmlformats.org/officeDocument/2006/bibliography"/>
  </ds:schemaRefs>
</ds:datastoreItem>
</file>

<file path=docMetadata/LabelInfo.xml><?xml version="1.0" encoding="utf-8"?>
<clbl:labelList xmlns:clbl="http://schemas.microsoft.com/office/2020/mipLabelMetadata">
  <clbl:label id="{dacb513f-3030-4a8b-a5dd-10fb4af8262f}" enabled="0" method="" siteId="{dacb513f-3030-4a8b-a5dd-10fb4af8262f}" removed="1"/>
</clbl:labelList>
</file>

<file path=docProps/app.xml><?xml version="1.0" encoding="utf-8"?>
<Properties xmlns="http://schemas.openxmlformats.org/officeDocument/2006/extended-properties" xmlns:vt="http://schemas.openxmlformats.org/officeDocument/2006/docPropsVTypes">
  <Template>Normal</Template>
  <TotalTime>1</TotalTime>
  <Pages>73</Pages>
  <Words>29926</Words>
  <Characters>170579</Characters>
  <Application>Microsoft Office Word</Application>
  <DocSecurity>0</DocSecurity>
  <Lines>1421</Lines>
  <Paragraphs>400</Paragraphs>
  <ScaleCrop>false</ScaleCrop>
  <HeadingPairs>
    <vt:vector size="2" baseType="variant">
      <vt:variant>
        <vt:lpstr>Title</vt:lpstr>
      </vt:variant>
      <vt:variant>
        <vt:i4>1</vt:i4>
      </vt:variant>
    </vt:vector>
  </HeadingPairs>
  <TitlesOfParts>
    <vt:vector size="1" baseType="lpstr">
      <vt:lpstr>TFE 2014 Consolidated Accounts Draft (080415)</vt:lpstr>
    </vt:vector>
  </TitlesOfParts>
  <Company>Lothian Buses plc</Company>
  <LinksUpToDate>false</LinksUpToDate>
  <CharactersWithSpaces>200105</CharactersWithSpaces>
  <SharedDoc>false</SharedDoc>
  <HLinks>
    <vt:vector size="30" baseType="variant">
      <vt:variant>
        <vt:i4>4194333</vt:i4>
      </vt:variant>
      <vt:variant>
        <vt:i4>12</vt:i4>
      </vt:variant>
      <vt:variant>
        <vt:i4>0</vt:i4>
      </vt:variant>
      <vt:variant>
        <vt:i4>5</vt:i4>
      </vt:variant>
      <vt:variant>
        <vt:lpwstr>http://www.eastcoastbuses.co.uk/</vt:lpwstr>
      </vt:variant>
      <vt:variant>
        <vt:lpwstr/>
      </vt:variant>
      <vt:variant>
        <vt:i4>4980744</vt:i4>
      </vt:variant>
      <vt:variant>
        <vt:i4>9</vt:i4>
      </vt:variant>
      <vt:variant>
        <vt:i4>0</vt:i4>
      </vt:variant>
      <vt:variant>
        <vt:i4>5</vt:i4>
      </vt:variant>
      <vt:variant>
        <vt:lpwstr>http://www.edinburghtour.com/</vt:lpwstr>
      </vt:variant>
      <vt:variant>
        <vt:lpwstr/>
      </vt:variant>
      <vt:variant>
        <vt:i4>4849754</vt:i4>
      </vt:variant>
      <vt:variant>
        <vt:i4>6</vt:i4>
      </vt:variant>
      <vt:variant>
        <vt:i4>0</vt:i4>
      </vt:variant>
      <vt:variant>
        <vt:i4>5</vt:i4>
      </vt:variant>
      <vt:variant>
        <vt:lpwstr>http://www.lothianbuses.com/</vt:lpwstr>
      </vt:variant>
      <vt:variant>
        <vt:lpwstr/>
      </vt:variant>
      <vt:variant>
        <vt:i4>3014688</vt:i4>
      </vt:variant>
      <vt:variant>
        <vt:i4>3</vt:i4>
      </vt:variant>
      <vt:variant>
        <vt:i4>0</vt:i4>
      </vt:variant>
      <vt:variant>
        <vt:i4>5</vt:i4>
      </vt:variant>
      <vt:variant>
        <vt:lpwstr>http://www.edinburghtrams.com/</vt:lpwstr>
      </vt:variant>
      <vt:variant>
        <vt:lpwstr/>
      </vt:variant>
      <vt:variant>
        <vt:i4>4849754</vt:i4>
      </vt:variant>
      <vt:variant>
        <vt:i4>0</vt:i4>
      </vt:variant>
      <vt:variant>
        <vt:i4>0</vt:i4>
      </vt:variant>
      <vt:variant>
        <vt:i4>5</vt:i4>
      </vt:variant>
      <vt:variant>
        <vt:lpwstr>http://www.lothianbuses.com/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TFE 2014 Consolidated Accounts Draft (080415)</dc:title>
  <dc:subject/>
  <dc:creator>AZT</dc:creator>
  <cp:keywords/>
  <dc:description>Title, Author and Company generated from SaveAs information</dc:description>
  <cp:lastModifiedBy>Erin Dow</cp:lastModifiedBy>
  <cp:revision>2</cp:revision>
  <cp:lastPrinted>2025-09-24T12:32:00Z</cp:lastPrinted>
  <dcterms:created xsi:type="dcterms:W3CDTF">2026-02-16T06:33:00Z</dcterms:created>
  <dcterms:modified xsi:type="dcterms:W3CDTF">2026-02-16T06:33:00Z</dcterms:modified>
</cp:coreProperties>
</file>