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177C" w14:textId="6D7AA5A2" w:rsidR="00A15B48" w:rsidRPr="00B93DC4" w:rsidRDefault="00A15B48" w:rsidP="00B93D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93DC4">
        <w:rPr>
          <w:rFonts w:ascii="Arial" w:hAnsi="Arial" w:cs="Arial"/>
          <w:b/>
          <w:bCs/>
          <w:sz w:val="32"/>
          <w:szCs w:val="32"/>
        </w:rPr>
        <w:t xml:space="preserve">Co-option </w:t>
      </w:r>
      <w:r w:rsidR="006602CD">
        <w:rPr>
          <w:rFonts w:ascii="Arial" w:hAnsi="Arial" w:cs="Arial"/>
          <w:b/>
          <w:bCs/>
          <w:sz w:val="32"/>
          <w:szCs w:val="32"/>
        </w:rPr>
        <w:t>Pro</w:t>
      </w:r>
      <w:r w:rsidR="00656D82">
        <w:rPr>
          <w:rFonts w:ascii="Arial" w:hAnsi="Arial" w:cs="Arial"/>
          <w:b/>
          <w:bCs/>
          <w:sz w:val="32"/>
          <w:szCs w:val="32"/>
        </w:rPr>
        <w:t>-F</w:t>
      </w:r>
      <w:r w:rsidR="006602CD">
        <w:rPr>
          <w:rFonts w:ascii="Arial" w:hAnsi="Arial" w:cs="Arial"/>
          <w:b/>
          <w:bCs/>
          <w:sz w:val="32"/>
          <w:szCs w:val="32"/>
        </w:rPr>
        <w:t>orma</w:t>
      </w: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6663"/>
        <w:gridCol w:w="9072"/>
      </w:tblGrid>
      <w:tr w:rsidR="00A15B48" w:rsidRPr="00B93DC4" w14:paraId="28F9423D" w14:textId="77777777" w:rsidTr="006B6D46">
        <w:tc>
          <w:tcPr>
            <w:tcW w:w="6663" w:type="dxa"/>
          </w:tcPr>
          <w:p w14:paraId="0402E15B" w14:textId="77777777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Community Council Name</w:t>
            </w:r>
          </w:p>
          <w:p w14:paraId="74832616" w14:textId="77777777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61E2ED" w14:textId="7E643E76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0D4B9E01" w14:textId="77777777" w:rsidR="00A15B48" w:rsidRPr="00B93DC4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48" w:rsidRPr="00B93DC4" w14:paraId="51583D19" w14:textId="77777777" w:rsidTr="006B6D46">
        <w:tc>
          <w:tcPr>
            <w:tcW w:w="6663" w:type="dxa"/>
          </w:tcPr>
          <w:p w14:paraId="608F8B76" w14:textId="41783483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Date of meeting when co-option was approved</w:t>
            </w:r>
          </w:p>
          <w:p w14:paraId="7BEBC91C" w14:textId="77777777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1F8F23AC" w14:textId="77777777" w:rsidR="00A15B48" w:rsidRPr="00B93DC4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48" w:rsidRPr="00B93DC4" w14:paraId="78AA795C" w14:textId="77777777" w:rsidTr="006B6D46">
        <w:tc>
          <w:tcPr>
            <w:tcW w:w="6663" w:type="dxa"/>
          </w:tcPr>
          <w:p w14:paraId="339E2883" w14:textId="544F875E" w:rsidR="006B6D46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Co-opted Community Councillor</w:t>
            </w:r>
            <w:r w:rsidR="009636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  <w:p w14:paraId="17353AB4" w14:textId="77777777" w:rsid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(forename and surname)</w:t>
            </w:r>
          </w:p>
          <w:p w14:paraId="7D6EE8A3" w14:textId="45323EC0" w:rsidR="009636E5" w:rsidRPr="00B93DC4" w:rsidRDefault="009636E5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22DFA430" w14:textId="77777777" w:rsidR="00A15B48" w:rsidRPr="00B93DC4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48" w:rsidRPr="00B93DC4" w14:paraId="573AFB24" w14:textId="77777777" w:rsidTr="006B6D46">
        <w:tc>
          <w:tcPr>
            <w:tcW w:w="6663" w:type="dxa"/>
          </w:tcPr>
          <w:p w14:paraId="78AB7A01" w14:textId="522E479C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Home address o</w:t>
            </w:r>
            <w:r w:rsidR="00E23C9A"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f Co-opted Community Councillor</w:t>
            </w:r>
          </w:p>
          <w:p w14:paraId="4916765A" w14:textId="77777777" w:rsidR="00A15B48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(including postcode)</w:t>
            </w:r>
          </w:p>
          <w:p w14:paraId="0585575B" w14:textId="77777777" w:rsidR="006B6D46" w:rsidRDefault="006B6D46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77D0F0" w14:textId="7D160BED" w:rsidR="006B6D46" w:rsidRPr="00B93DC4" w:rsidRDefault="006B6D46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check if an address falls within a community </w:t>
            </w:r>
            <w:r w:rsidR="00656D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council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boundary please use the ‘</w:t>
            </w:r>
            <w:hyperlink r:id="rId7" w:history="1">
              <w:r w:rsidRPr="006B6D4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Find My Community Council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’ tool available on our public webpages at </w:t>
            </w:r>
            <w:hyperlink r:id="rId8" w:history="1">
              <w:r w:rsidRPr="006B6D4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https://www.edinburgh.gov.uk/community-planning/community-councils/1</w:t>
              </w:r>
            </w:hyperlink>
          </w:p>
        </w:tc>
        <w:tc>
          <w:tcPr>
            <w:tcW w:w="9072" w:type="dxa"/>
          </w:tcPr>
          <w:p w14:paraId="740158B1" w14:textId="77777777" w:rsidR="00A15B48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E62535" w14:textId="77777777" w:rsidR="006602CD" w:rsidRDefault="006602CD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97739D" w14:textId="77777777" w:rsidR="006602CD" w:rsidRPr="00B93DC4" w:rsidRDefault="006602CD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48" w:rsidRPr="00B93DC4" w14:paraId="632DB12D" w14:textId="77777777" w:rsidTr="006B6D46">
        <w:tc>
          <w:tcPr>
            <w:tcW w:w="6663" w:type="dxa"/>
          </w:tcPr>
          <w:p w14:paraId="7B6022C2" w14:textId="243B8A4E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Email address for co-opted Community Councillor</w:t>
            </w:r>
          </w:p>
          <w:p w14:paraId="4D8670AC" w14:textId="7D16ADDC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0E9D0CB0" w14:textId="77777777" w:rsidR="00A15B48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371399" w14:textId="77777777" w:rsidR="006602CD" w:rsidRDefault="006602CD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9D50B3" w14:textId="77777777" w:rsidR="006602CD" w:rsidRPr="00B93DC4" w:rsidRDefault="006602CD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48" w:rsidRPr="00B93DC4" w14:paraId="14A04964" w14:textId="77777777" w:rsidTr="006B6D46">
        <w:tc>
          <w:tcPr>
            <w:tcW w:w="6663" w:type="dxa"/>
          </w:tcPr>
          <w:p w14:paraId="324EA718" w14:textId="501485F6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Proposer 1</w:t>
            </w:r>
          </w:p>
          <w:p w14:paraId="1E204220" w14:textId="5587A6BD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  <w:p w14:paraId="3EFEB9E7" w14:textId="6B02017A" w:rsidR="00A15B48" w:rsidRPr="00B93DC4" w:rsidRDefault="00A15B48" w:rsidP="00A15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(forename and surname)</w:t>
            </w:r>
          </w:p>
        </w:tc>
        <w:tc>
          <w:tcPr>
            <w:tcW w:w="9072" w:type="dxa"/>
          </w:tcPr>
          <w:p w14:paraId="4D2EB9F2" w14:textId="77777777" w:rsidR="00A15B48" w:rsidRPr="00B93DC4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48" w:rsidRPr="00B93DC4" w14:paraId="22C57807" w14:textId="77777777" w:rsidTr="006B6D46">
        <w:tc>
          <w:tcPr>
            <w:tcW w:w="6663" w:type="dxa"/>
          </w:tcPr>
          <w:p w14:paraId="666F9766" w14:textId="3E641E63" w:rsidR="00B93DC4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Proposer 1</w:t>
            </w:r>
          </w:p>
          <w:p w14:paraId="6654B8B0" w14:textId="7584ACE0" w:rsidR="00B93DC4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address </w:t>
            </w:r>
          </w:p>
          <w:p w14:paraId="642C37F3" w14:textId="7B765F45" w:rsidR="00A15B48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(including postcode)</w:t>
            </w:r>
          </w:p>
        </w:tc>
        <w:tc>
          <w:tcPr>
            <w:tcW w:w="9072" w:type="dxa"/>
          </w:tcPr>
          <w:p w14:paraId="0F6B4F14" w14:textId="77777777" w:rsidR="00A15B48" w:rsidRPr="00B93DC4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48" w:rsidRPr="00B93DC4" w14:paraId="23DB19CA" w14:textId="77777777" w:rsidTr="006B6D46">
        <w:tc>
          <w:tcPr>
            <w:tcW w:w="6663" w:type="dxa"/>
          </w:tcPr>
          <w:p w14:paraId="292D002D" w14:textId="7C203AA2" w:rsidR="00B93DC4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Proposer 2</w:t>
            </w:r>
          </w:p>
          <w:p w14:paraId="6206D56F" w14:textId="77777777" w:rsidR="00B93DC4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</w:p>
          <w:p w14:paraId="0C9A5C25" w14:textId="45506917" w:rsidR="00A15B48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(forename and surname)</w:t>
            </w:r>
          </w:p>
        </w:tc>
        <w:tc>
          <w:tcPr>
            <w:tcW w:w="9072" w:type="dxa"/>
          </w:tcPr>
          <w:p w14:paraId="18CDA261" w14:textId="77777777" w:rsidR="00A15B48" w:rsidRPr="00B93DC4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15B48" w:rsidRPr="00B93DC4" w14:paraId="07417D7E" w14:textId="77777777" w:rsidTr="006B6D46">
        <w:tc>
          <w:tcPr>
            <w:tcW w:w="6663" w:type="dxa"/>
          </w:tcPr>
          <w:p w14:paraId="59C5A163" w14:textId="1D26157A" w:rsidR="00B93DC4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Proposer </w:t>
            </w:r>
            <w:r w:rsidR="006602C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0DCD3174" w14:textId="77777777" w:rsidR="00B93DC4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address </w:t>
            </w:r>
          </w:p>
          <w:p w14:paraId="277916DA" w14:textId="13EEE47E" w:rsidR="00A15B48" w:rsidRPr="00B93DC4" w:rsidRDefault="00B93DC4" w:rsidP="00B93D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DC4">
              <w:rPr>
                <w:rFonts w:ascii="Arial" w:hAnsi="Arial" w:cs="Arial"/>
                <w:b/>
                <w:bCs/>
                <w:sz w:val="24"/>
                <w:szCs w:val="24"/>
              </w:rPr>
              <w:t>(including postcode)</w:t>
            </w:r>
          </w:p>
        </w:tc>
        <w:tc>
          <w:tcPr>
            <w:tcW w:w="9072" w:type="dxa"/>
          </w:tcPr>
          <w:p w14:paraId="6B6E7313" w14:textId="77777777" w:rsidR="00A15B48" w:rsidRPr="00B93DC4" w:rsidRDefault="00A15B48" w:rsidP="005F44C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21673A" w14:textId="77777777" w:rsidR="00B93DC4" w:rsidRDefault="00B93DC4" w:rsidP="00A70F0E">
      <w:pPr>
        <w:rPr>
          <w:rFonts w:ascii="Arial" w:hAnsi="Arial" w:cs="Arial"/>
          <w:sz w:val="24"/>
          <w:szCs w:val="24"/>
        </w:rPr>
      </w:pPr>
    </w:p>
    <w:p w14:paraId="43205F3B" w14:textId="2A57EB75" w:rsidR="006602CD" w:rsidRDefault="00FC5897" w:rsidP="00FC58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refer to </w:t>
      </w:r>
      <w:hyperlink r:id="rId9" w:history="1">
        <w:r w:rsidRPr="006602CD">
          <w:rPr>
            <w:rStyle w:val="Hyperlink"/>
            <w:rFonts w:ascii="Arial" w:hAnsi="Arial" w:cs="Arial"/>
            <w:sz w:val="24"/>
            <w:szCs w:val="24"/>
          </w:rPr>
          <w:t xml:space="preserve">The </w:t>
        </w:r>
        <w:r w:rsidR="00B93DC4" w:rsidRPr="006602CD">
          <w:rPr>
            <w:rStyle w:val="Hyperlink"/>
            <w:rFonts w:ascii="Arial" w:hAnsi="Arial" w:cs="Arial"/>
            <w:sz w:val="24"/>
            <w:szCs w:val="24"/>
          </w:rPr>
          <w:t>Scheme for Community Councils</w:t>
        </w:r>
      </w:hyperlink>
      <w:r w:rsidR="00B93DC4" w:rsidRPr="00B93D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further information relating to co-option</w:t>
      </w:r>
      <w:r w:rsidR="007A553B">
        <w:rPr>
          <w:rFonts w:ascii="Arial" w:hAnsi="Arial" w:cs="Arial"/>
          <w:sz w:val="24"/>
          <w:szCs w:val="24"/>
        </w:rPr>
        <w:t xml:space="preserve"> and membership of community councils</w:t>
      </w:r>
      <w:r>
        <w:rPr>
          <w:rFonts w:ascii="Arial" w:hAnsi="Arial" w:cs="Arial"/>
          <w:sz w:val="24"/>
          <w:szCs w:val="24"/>
        </w:rPr>
        <w:t xml:space="preserve">.  Please also note </w:t>
      </w:r>
      <w:proofErr w:type="gramStart"/>
      <w:r>
        <w:rPr>
          <w:rFonts w:ascii="Arial" w:hAnsi="Arial" w:cs="Arial"/>
          <w:sz w:val="24"/>
          <w:szCs w:val="24"/>
        </w:rPr>
        <w:t>that;</w:t>
      </w:r>
      <w:proofErr w:type="gramEnd"/>
    </w:p>
    <w:p w14:paraId="65B2531F" w14:textId="641D67CF" w:rsidR="00B93DC4" w:rsidRPr="00FC5897" w:rsidRDefault="00B93DC4" w:rsidP="00FC589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C5897">
        <w:rPr>
          <w:rFonts w:ascii="Arial" w:hAnsi="Arial" w:cs="Arial"/>
          <w:sz w:val="24"/>
          <w:szCs w:val="24"/>
        </w:rPr>
        <w:t>Members who are co-opted through the vacancy process must be eligible for membership of the community counci</w:t>
      </w:r>
      <w:r w:rsidR="006602CD">
        <w:rPr>
          <w:rFonts w:ascii="Arial" w:hAnsi="Arial" w:cs="Arial"/>
          <w:sz w:val="24"/>
          <w:szCs w:val="24"/>
        </w:rPr>
        <w:t xml:space="preserve">l </w:t>
      </w:r>
      <w:r w:rsidR="006B6D46">
        <w:rPr>
          <w:rFonts w:ascii="Arial" w:hAnsi="Arial" w:cs="Arial"/>
          <w:sz w:val="24"/>
          <w:szCs w:val="24"/>
        </w:rPr>
        <w:t xml:space="preserve">(e.g. candidates </w:t>
      </w:r>
      <w:r w:rsidR="006602CD">
        <w:rPr>
          <w:rFonts w:ascii="Arial" w:hAnsi="Arial" w:cs="Arial"/>
          <w:sz w:val="24"/>
          <w:szCs w:val="24"/>
        </w:rPr>
        <w:t>must</w:t>
      </w:r>
      <w:r w:rsidR="006B6D46">
        <w:rPr>
          <w:rFonts w:ascii="Arial" w:hAnsi="Arial" w:cs="Arial"/>
          <w:sz w:val="24"/>
          <w:szCs w:val="24"/>
        </w:rPr>
        <w:t xml:space="preserve"> reside in the community council boundary area and be named on the Electoral Register and be 16 years and older).</w:t>
      </w:r>
    </w:p>
    <w:p w14:paraId="7BABEA45" w14:textId="52E8F81D" w:rsidR="00B93DC4" w:rsidRDefault="00092B16" w:rsidP="00B93DC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who are co-opted</w:t>
      </w:r>
      <w:r w:rsidR="00B93DC4" w:rsidRPr="00B93DC4">
        <w:rPr>
          <w:rFonts w:ascii="Arial" w:hAnsi="Arial" w:cs="Arial"/>
          <w:sz w:val="24"/>
          <w:szCs w:val="24"/>
        </w:rPr>
        <w:t xml:space="preserve"> must be elected </w:t>
      </w:r>
      <w:proofErr w:type="gramStart"/>
      <w:r w:rsidR="00B93DC4" w:rsidRPr="00B93DC4">
        <w:rPr>
          <w:rFonts w:ascii="Arial" w:hAnsi="Arial" w:cs="Arial"/>
          <w:sz w:val="24"/>
          <w:szCs w:val="24"/>
        </w:rPr>
        <w:t>onto</w:t>
      </w:r>
      <w:proofErr w:type="gramEnd"/>
      <w:r w:rsidR="00B93DC4" w:rsidRPr="00B93DC4">
        <w:rPr>
          <w:rFonts w:ascii="Arial" w:hAnsi="Arial" w:cs="Arial"/>
          <w:sz w:val="24"/>
          <w:szCs w:val="24"/>
        </w:rPr>
        <w:t xml:space="preserve"> the community council by a two-thirds majority of the voting members present</w:t>
      </w:r>
      <w:r>
        <w:rPr>
          <w:rFonts w:ascii="Arial" w:hAnsi="Arial" w:cs="Arial"/>
          <w:sz w:val="24"/>
          <w:szCs w:val="24"/>
        </w:rPr>
        <w:t xml:space="preserve"> </w:t>
      </w:r>
      <w:r w:rsidR="00B93DC4" w:rsidRPr="00B93DC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f</w:t>
      </w:r>
      <w:r w:rsidR="00B93DC4" w:rsidRPr="00B93DC4">
        <w:rPr>
          <w:rFonts w:ascii="Arial" w:hAnsi="Arial" w:cs="Arial"/>
          <w:sz w:val="24"/>
          <w:szCs w:val="24"/>
        </w:rPr>
        <w:t xml:space="preserve">or avoidance of doubt these are elected members and nominated representative members of local interest groups.) </w:t>
      </w:r>
    </w:p>
    <w:p w14:paraId="05DC565F" w14:textId="77777777" w:rsidR="00B93DC4" w:rsidRDefault="00B93DC4" w:rsidP="00B93DC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93DC4">
        <w:rPr>
          <w:rFonts w:ascii="Arial" w:hAnsi="Arial" w:cs="Arial"/>
          <w:sz w:val="24"/>
          <w:szCs w:val="24"/>
        </w:rPr>
        <w:t xml:space="preserve">Co-opted members shall have full voting rights, with the exception of voting on co-option of new </w:t>
      </w:r>
      <w:proofErr w:type="gramStart"/>
      <w:r w:rsidRPr="00B93DC4">
        <w:rPr>
          <w:rFonts w:ascii="Arial" w:hAnsi="Arial" w:cs="Arial"/>
          <w:sz w:val="24"/>
          <w:szCs w:val="24"/>
        </w:rPr>
        <w:t>members, and</w:t>
      </w:r>
      <w:proofErr w:type="gramEnd"/>
      <w:r w:rsidRPr="00B93DC4">
        <w:rPr>
          <w:rFonts w:ascii="Arial" w:hAnsi="Arial" w:cs="Arial"/>
          <w:sz w:val="24"/>
          <w:szCs w:val="24"/>
        </w:rPr>
        <w:t xml:space="preserve"> will serve until the next round of elections. </w:t>
      </w:r>
    </w:p>
    <w:p w14:paraId="11985D93" w14:textId="2F74C67A" w:rsidR="00B93DC4" w:rsidRDefault="00B93DC4" w:rsidP="00B93DC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93DC4">
        <w:rPr>
          <w:rFonts w:ascii="Arial" w:hAnsi="Arial" w:cs="Arial"/>
          <w:sz w:val="24"/>
          <w:szCs w:val="24"/>
        </w:rPr>
        <w:t>The number of co-opted members may not exceed a half of the total maximum permitted elected membership for a Community  Council (</w:t>
      </w:r>
      <w:hyperlink r:id="rId10" w:history="1">
        <w:r w:rsidRPr="006B6D46">
          <w:rPr>
            <w:rStyle w:val="Hyperlink"/>
            <w:rFonts w:ascii="Arial" w:hAnsi="Arial" w:cs="Arial"/>
            <w:sz w:val="24"/>
            <w:szCs w:val="24"/>
          </w:rPr>
          <w:t>as detailed in Schedule 1, Column A within the Scheme for Community Councils</w:t>
        </w:r>
      </w:hyperlink>
      <w:r w:rsidRPr="00B93DC4">
        <w:rPr>
          <w:rFonts w:ascii="Arial" w:hAnsi="Arial" w:cs="Arial"/>
          <w:sz w:val="24"/>
          <w:szCs w:val="24"/>
        </w:rPr>
        <w:t xml:space="preserve">) and in such circumstances the Community Council must gain approval from the City of Edinburgh Council before proceeding with any further co-options and/or explore options with the City of Edinburgh Council pertaining to calling an Extraordinary General Meeting (EGM). </w:t>
      </w:r>
    </w:p>
    <w:p w14:paraId="62AE22FE" w14:textId="1191633A" w:rsidR="00B93DC4" w:rsidRPr="00B93DC4" w:rsidRDefault="00B93DC4" w:rsidP="00B93DC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93DC4">
        <w:rPr>
          <w:rFonts w:ascii="Arial" w:hAnsi="Arial" w:cs="Arial"/>
          <w:sz w:val="24"/>
          <w:szCs w:val="24"/>
        </w:rPr>
        <w:t>Community Councils are encouraged to consider co-option as a mechanism to increase the diversity of their membership.</w:t>
      </w:r>
    </w:p>
    <w:p w14:paraId="3E2E05B1" w14:textId="77777777" w:rsidR="00062EB0" w:rsidRDefault="00A70F0E">
      <w:pPr>
        <w:rPr>
          <w:rFonts w:ascii="Arial" w:hAnsi="Arial" w:cs="Arial"/>
          <w:sz w:val="24"/>
          <w:szCs w:val="24"/>
        </w:rPr>
      </w:pPr>
      <w:r w:rsidRPr="00C4715B">
        <w:rPr>
          <w:rFonts w:ascii="Arial" w:hAnsi="Arial" w:cs="Arial"/>
          <w:sz w:val="24"/>
          <w:szCs w:val="24"/>
        </w:rPr>
        <w:t xml:space="preserve">Please return the completed form by email to </w:t>
      </w:r>
      <w:hyperlink r:id="rId11" w:history="1">
        <w:r w:rsidR="00FE4798" w:rsidRPr="002B1598">
          <w:rPr>
            <w:rStyle w:val="Hyperlink"/>
            <w:rFonts w:ascii="Arial" w:hAnsi="Arial" w:cs="Arial"/>
            <w:sz w:val="24"/>
            <w:szCs w:val="24"/>
          </w:rPr>
          <w:t>governance@edinburgh.gov.uk</w:t>
        </w:r>
      </w:hyperlink>
      <w:r w:rsidR="00FE4798">
        <w:rPr>
          <w:rFonts w:ascii="Arial" w:hAnsi="Arial" w:cs="Arial"/>
        </w:rPr>
        <w:t xml:space="preserve"> </w:t>
      </w:r>
      <w:r w:rsidR="00C472FD" w:rsidRPr="00C4715B">
        <w:rPr>
          <w:rFonts w:ascii="Arial" w:hAnsi="Arial" w:cs="Arial"/>
          <w:sz w:val="24"/>
          <w:szCs w:val="24"/>
        </w:rPr>
        <w:t xml:space="preserve">within 10 working days of the </w:t>
      </w:r>
      <w:r w:rsidR="006602CD">
        <w:rPr>
          <w:rFonts w:ascii="Arial" w:hAnsi="Arial" w:cs="Arial"/>
          <w:sz w:val="24"/>
          <w:szCs w:val="24"/>
        </w:rPr>
        <w:t>co-option of a community councillor being agreed</w:t>
      </w:r>
      <w:r w:rsidR="00FE4798">
        <w:rPr>
          <w:rFonts w:ascii="Arial" w:hAnsi="Arial" w:cs="Arial"/>
          <w:sz w:val="24"/>
          <w:szCs w:val="24"/>
        </w:rPr>
        <w:t xml:space="preserve">.  </w:t>
      </w:r>
    </w:p>
    <w:p w14:paraId="36D22C97" w14:textId="0AD59126" w:rsidR="006602CD" w:rsidRPr="006602CD" w:rsidRDefault="006602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</w:t>
      </w:r>
      <w:r w:rsidR="006B6D46">
        <w:rPr>
          <w:rFonts w:ascii="Arial" w:hAnsi="Arial" w:cs="Arial"/>
          <w:sz w:val="24"/>
          <w:szCs w:val="24"/>
        </w:rPr>
        <w:t xml:space="preserve"> intended</w:t>
      </w:r>
      <w:r>
        <w:rPr>
          <w:rFonts w:ascii="Arial" w:hAnsi="Arial" w:cs="Arial"/>
          <w:sz w:val="24"/>
          <w:szCs w:val="24"/>
        </w:rPr>
        <w:t xml:space="preserve"> co-option</w:t>
      </w:r>
      <w:r w:rsidR="006B6D46">
        <w:rPr>
          <w:rFonts w:ascii="Arial" w:hAnsi="Arial" w:cs="Arial"/>
          <w:sz w:val="24"/>
          <w:szCs w:val="24"/>
        </w:rPr>
        <w:t xml:space="preserve"> details are</w:t>
      </w:r>
      <w:r>
        <w:rPr>
          <w:rFonts w:ascii="Arial" w:hAnsi="Arial" w:cs="Arial"/>
          <w:sz w:val="24"/>
          <w:szCs w:val="24"/>
        </w:rPr>
        <w:t xml:space="preserve"> known in advance of a </w:t>
      </w:r>
      <w:r w:rsidR="006B6D46">
        <w:rPr>
          <w:rFonts w:ascii="Arial" w:hAnsi="Arial" w:cs="Arial"/>
          <w:sz w:val="24"/>
          <w:szCs w:val="24"/>
        </w:rPr>
        <w:t xml:space="preserve">community council </w:t>
      </w:r>
      <w:r>
        <w:rPr>
          <w:rFonts w:ascii="Arial" w:hAnsi="Arial" w:cs="Arial"/>
          <w:sz w:val="24"/>
          <w:szCs w:val="24"/>
        </w:rPr>
        <w:t xml:space="preserve">meeting </w:t>
      </w:r>
      <w:r w:rsidR="00062EB0">
        <w:rPr>
          <w:rFonts w:ascii="Arial" w:hAnsi="Arial" w:cs="Arial"/>
          <w:sz w:val="24"/>
          <w:szCs w:val="24"/>
        </w:rPr>
        <w:t xml:space="preserve">and assistance is required to check if an address is contained within a boundary area </w:t>
      </w:r>
      <w:r>
        <w:rPr>
          <w:rFonts w:ascii="Arial" w:hAnsi="Arial" w:cs="Arial"/>
          <w:sz w:val="24"/>
          <w:szCs w:val="24"/>
        </w:rPr>
        <w:t>then</w:t>
      </w:r>
      <w:r w:rsidR="006B6D46">
        <w:rPr>
          <w:rFonts w:ascii="Arial" w:hAnsi="Arial" w:cs="Arial"/>
          <w:sz w:val="24"/>
          <w:szCs w:val="24"/>
        </w:rPr>
        <w:t xml:space="preserve"> the co-option proforma can be supplied</w:t>
      </w:r>
      <w:r w:rsidR="00FE4798">
        <w:rPr>
          <w:rFonts w:ascii="Arial" w:hAnsi="Arial" w:cs="Arial"/>
          <w:sz w:val="24"/>
          <w:szCs w:val="24"/>
        </w:rPr>
        <w:t xml:space="preserve"> </w:t>
      </w:r>
      <w:r w:rsidR="00FE4798" w:rsidRPr="00C4715B">
        <w:rPr>
          <w:rFonts w:ascii="Arial" w:hAnsi="Arial" w:cs="Arial"/>
          <w:sz w:val="24"/>
          <w:szCs w:val="24"/>
        </w:rPr>
        <w:t xml:space="preserve">to </w:t>
      </w:r>
      <w:hyperlink r:id="rId12" w:history="1">
        <w:r w:rsidR="00FE4798" w:rsidRPr="002B1598">
          <w:rPr>
            <w:rStyle w:val="Hyperlink"/>
            <w:rFonts w:ascii="Arial" w:hAnsi="Arial" w:cs="Arial"/>
            <w:sz w:val="24"/>
            <w:szCs w:val="24"/>
          </w:rPr>
          <w:t>governance@edinburgh.gov.uk</w:t>
        </w:r>
      </w:hyperlink>
      <w:r w:rsidR="00FE4798">
        <w:rPr>
          <w:rFonts w:ascii="Arial" w:hAnsi="Arial" w:cs="Arial"/>
          <w:sz w:val="24"/>
          <w:szCs w:val="24"/>
        </w:rPr>
        <w:t xml:space="preserve"> </w:t>
      </w:r>
      <w:r w:rsidR="006B6D46">
        <w:rPr>
          <w:rFonts w:ascii="Arial" w:hAnsi="Arial" w:cs="Arial"/>
          <w:sz w:val="24"/>
          <w:szCs w:val="24"/>
        </w:rPr>
        <w:t>10 working days in advance of the meetin</w:t>
      </w:r>
      <w:r w:rsidR="00062EB0">
        <w:rPr>
          <w:rFonts w:ascii="Arial" w:hAnsi="Arial" w:cs="Arial"/>
          <w:sz w:val="24"/>
          <w:szCs w:val="24"/>
        </w:rPr>
        <w:t>g.</w:t>
      </w:r>
    </w:p>
    <w:p w14:paraId="56395FBC" w14:textId="0D90243E" w:rsidR="003D5161" w:rsidRPr="00C4715B" w:rsidRDefault="003D5161" w:rsidP="003D5161">
      <w:pPr>
        <w:rPr>
          <w:rFonts w:ascii="Arial" w:hAnsi="Arial" w:cs="Arial"/>
          <w:b/>
          <w:bCs/>
          <w:sz w:val="24"/>
          <w:szCs w:val="24"/>
        </w:rPr>
      </w:pPr>
      <w:r w:rsidRPr="00C4715B">
        <w:rPr>
          <w:rFonts w:ascii="Arial" w:hAnsi="Arial" w:cs="Arial"/>
          <w:b/>
          <w:bCs/>
          <w:sz w:val="24"/>
          <w:szCs w:val="24"/>
        </w:rPr>
        <w:t>Data Protection</w:t>
      </w:r>
    </w:p>
    <w:p w14:paraId="721A8337" w14:textId="77777777" w:rsidR="003D5161" w:rsidRPr="00C4715B" w:rsidRDefault="003D5161" w:rsidP="003D5161">
      <w:pPr>
        <w:rPr>
          <w:rFonts w:ascii="Arial" w:hAnsi="Arial" w:cs="Arial"/>
          <w:sz w:val="24"/>
          <w:szCs w:val="24"/>
        </w:rPr>
      </w:pPr>
      <w:bookmarkStart w:id="0" w:name="_Hlk192770893"/>
      <w:r w:rsidRPr="00C4715B">
        <w:rPr>
          <w:rFonts w:ascii="Arial" w:hAnsi="Arial" w:cs="Arial"/>
          <w:sz w:val="24"/>
          <w:szCs w:val="24"/>
        </w:rPr>
        <w:lastRenderedPageBreak/>
        <w:t>In processing personal information, The City of Edinburgh Council must comply with the UK General Data Protection Regulation (UK GDPR) and the Data Protection Act 2018.</w:t>
      </w:r>
    </w:p>
    <w:p w14:paraId="7A792674" w14:textId="509FCC66" w:rsidR="008F1574" w:rsidRPr="00C4715B" w:rsidRDefault="008F1574" w:rsidP="003D5161">
      <w:pPr>
        <w:rPr>
          <w:rFonts w:ascii="Arial" w:hAnsi="Arial" w:cs="Arial"/>
          <w:sz w:val="24"/>
          <w:szCs w:val="24"/>
        </w:rPr>
      </w:pPr>
      <w:r w:rsidRPr="00C4715B">
        <w:rPr>
          <w:rFonts w:ascii="Arial" w:hAnsi="Arial" w:cs="Arial"/>
          <w:sz w:val="24"/>
          <w:szCs w:val="24"/>
        </w:rPr>
        <w:t xml:space="preserve">Email addresses for </w:t>
      </w:r>
      <w:r w:rsidR="00C4715B" w:rsidRPr="00C4715B">
        <w:rPr>
          <w:rFonts w:ascii="Arial" w:hAnsi="Arial" w:cs="Arial"/>
          <w:sz w:val="24"/>
          <w:szCs w:val="24"/>
        </w:rPr>
        <w:t>o</w:t>
      </w:r>
      <w:r w:rsidRPr="00C4715B">
        <w:rPr>
          <w:rFonts w:ascii="Arial" w:hAnsi="Arial" w:cs="Arial"/>
          <w:sz w:val="24"/>
          <w:szCs w:val="24"/>
        </w:rPr>
        <w:t xml:space="preserve">ffice </w:t>
      </w:r>
      <w:r w:rsidR="00C4715B" w:rsidRPr="00C4715B">
        <w:rPr>
          <w:rFonts w:ascii="Arial" w:hAnsi="Arial" w:cs="Arial"/>
          <w:sz w:val="24"/>
          <w:szCs w:val="24"/>
        </w:rPr>
        <w:t>b</w:t>
      </w:r>
      <w:r w:rsidRPr="00C4715B">
        <w:rPr>
          <w:rFonts w:ascii="Arial" w:hAnsi="Arial" w:cs="Arial"/>
          <w:sz w:val="24"/>
          <w:szCs w:val="24"/>
        </w:rPr>
        <w:t xml:space="preserve">earers of </w:t>
      </w:r>
      <w:r w:rsidR="00C4715B" w:rsidRPr="00C4715B">
        <w:rPr>
          <w:rFonts w:ascii="Arial" w:hAnsi="Arial" w:cs="Arial"/>
          <w:sz w:val="24"/>
          <w:szCs w:val="24"/>
        </w:rPr>
        <w:t>c</w:t>
      </w:r>
      <w:r w:rsidRPr="00C4715B">
        <w:rPr>
          <w:rFonts w:ascii="Arial" w:hAnsi="Arial" w:cs="Arial"/>
          <w:sz w:val="24"/>
          <w:szCs w:val="24"/>
        </w:rPr>
        <w:t xml:space="preserve">ommunity </w:t>
      </w:r>
      <w:r w:rsidR="00C4715B" w:rsidRPr="00C4715B">
        <w:rPr>
          <w:rFonts w:ascii="Arial" w:hAnsi="Arial" w:cs="Arial"/>
          <w:sz w:val="24"/>
          <w:szCs w:val="24"/>
        </w:rPr>
        <w:t>c</w:t>
      </w:r>
      <w:r w:rsidRPr="00C4715B">
        <w:rPr>
          <w:rFonts w:ascii="Arial" w:hAnsi="Arial" w:cs="Arial"/>
          <w:sz w:val="24"/>
          <w:szCs w:val="24"/>
        </w:rPr>
        <w:t xml:space="preserve">ouncils will be publicly displayed on the Council’s website. Therefore, it is recommended that for official </w:t>
      </w:r>
      <w:r w:rsidR="00C83EBC" w:rsidRPr="00C4715B">
        <w:rPr>
          <w:rFonts w:ascii="Arial" w:hAnsi="Arial" w:cs="Arial"/>
          <w:sz w:val="24"/>
          <w:szCs w:val="24"/>
        </w:rPr>
        <w:t>c</w:t>
      </w:r>
      <w:r w:rsidRPr="00C4715B">
        <w:rPr>
          <w:rFonts w:ascii="Arial" w:hAnsi="Arial" w:cs="Arial"/>
          <w:sz w:val="24"/>
          <w:szCs w:val="24"/>
        </w:rPr>
        <w:t xml:space="preserve">ommunity </w:t>
      </w:r>
      <w:r w:rsidR="00C83EBC" w:rsidRPr="00C4715B">
        <w:rPr>
          <w:rFonts w:ascii="Arial" w:hAnsi="Arial" w:cs="Arial"/>
          <w:sz w:val="24"/>
          <w:szCs w:val="24"/>
        </w:rPr>
        <w:t>c</w:t>
      </w:r>
      <w:r w:rsidRPr="00C4715B">
        <w:rPr>
          <w:rFonts w:ascii="Arial" w:hAnsi="Arial" w:cs="Arial"/>
          <w:sz w:val="24"/>
          <w:szCs w:val="24"/>
        </w:rPr>
        <w:t>ouncil business a generic email address is provided rather than a personal email address e.g. treasurer.edinburghcommunitycouncil@mailbox.com</w:t>
      </w:r>
    </w:p>
    <w:p w14:paraId="2968385B" w14:textId="7A03EA71" w:rsidR="00D663C5" w:rsidRPr="00C4715B" w:rsidRDefault="00D663C5" w:rsidP="00D663C5">
      <w:pPr>
        <w:pStyle w:val="Default"/>
        <w:rPr>
          <w:rFonts w:ascii="Arial" w:hAnsi="Arial" w:cs="Arial"/>
        </w:rPr>
      </w:pPr>
      <w:bookmarkStart w:id="1" w:name="_Hlk192770901"/>
      <w:bookmarkEnd w:id="0"/>
      <w:r w:rsidRPr="00C4715B">
        <w:rPr>
          <w:rFonts w:ascii="Arial" w:hAnsi="Arial" w:cs="Arial"/>
        </w:rPr>
        <w:t xml:space="preserve">Further information about how your personal data will be processed can be found in the </w:t>
      </w:r>
      <w:hyperlink r:id="rId13" w:history="1">
        <w:r w:rsidRPr="00D202D4">
          <w:rPr>
            <w:rStyle w:val="Hyperlink"/>
            <w:rFonts w:ascii="Arial" w:hAnsi="Arial" w:cs="Arial"/>
          </w:rPr>
          <w:t xml:space="preserve">Community Council </w:t>
        </w:r>
        <w:r w:rsidR="00434D5D" w:rsidRPr="00D202D4">
          <w:rPr>
            <w:rStyle w:val="Hyperlink"/>
            <w:rFonts w:ascii="Arial" w:hAnsi="Arial" w:cs="Arial"/>
          </w:rPr>
          <w:t>P</w:t>
        </w:r>
        <w:r w:rsidRPr="00D202D4">
          <w:rPr>
            <w:rStyle w:val="Hyperlink"/>
            <w:rFonts w:ascii="Arial" w:hAnsi="Arial" w:cs="Arial"/>
          </w:rPr>
          <w:t xml:space="preserve">rivacy </w:t>
        </w:r>
        <w:r w:rsidR="00434D5D" w:rsidRPr="00D202D4">
          <w:rPr>
            <w:rStyle w:val="Hyperlink"/>
            <w:rFonts w:ascii="Arial" w:hAnsi="Arial" w:cs="Arial"/>
          </w:rPr>
          <w:t>N</w:t>
        </w:r>
        <w:r w:rsidRPr="00D202D4">
          <w:rPr>
            <w:rStyle w:val="Hyperlink"/>
            <w:rFonts w:ascii="Arial" w:hAnsi="Arial" w:cs="Arial"/>
          </w:rPr>
          <w:t xml:space="preserve">otice. </w:t>
        </w:r>
      </w:hyperlink>
      <w:r w:rsidRPr="00C4715B">
        <w:rPr>
          <w:rFonts w:ascii="Arial" w:hAnsi="Arial" w:cs="Arial"/>
        </w:rPr>
        <w:t xml:space="preserve"> </w:t>
      </w:r>
    </w:p>
    <w:bookmarkEnd w:id="1"/>
    <w:p w14:paraId="7FCB55A8" w14:textId="77777777" w:rsidR="00D11207" w:rsidRPr="006319A3" w:rsidRDefault="00D11207" w:rsidP="00D11207">
      <w:pPr>
        <w:pStyle w:val="DefaultText"/>
        <w:tabs>
          <w:tab w:val="left" w:pos="544"/>
        </w:tabs>
        <w:rPr>
          <w:rFonts w:ascii="Arial" w:hAnsi="Arial" w:cs="Arial"/>
          <w:szCs w:val="24"/>
          <w:highlight w:val="white"/>
        </w:rPr>
      </w:pPr>
    </w:p>
    <w:p w14:paraId="3A205640" w14:textId="77777777" w:rsidR="00C57C46" w:rsidRPr="006319A3" w:rsidRDefault="00C57C46" w:rsidP="00C57C46">
      <w:pPr>
        <w:pStyle w:val="DefaultText"/>
        <w:tabs>
          <w:tab w:val="left" w:pos="544"/>
        </w:tabs>
        <w:jc w:val="center"/>
        <w:rPr>
          <w:rFonts w:ascii="Arial" w:hAnsi="Arial" w:cs="Arial"/>
          <w:b/>
          <w:bCs/>
          <w:szCs w:val="24"/>
          <w:highlight w:val="white"/>
        </w:rPr>
      </w:pPr>
      <w:r w:rsidRPr="006319A3">
        <w:rPr>
          <w:rFonts w:ascii="Arial" w:hAnsi="Arial" w:cs="Arial"/>
          <w:b/>
          <w:noProof/>
          <w:szCs w:val="24"/>
          <w:highlight w:val="white"/>
        </w:rPr>
        <w:drawing>
          <wp:inline distT="0" distB="0" distL="0" distR="0" wp14:anchorId="7F8B3B8E" wp14:editId="1B78AAF4">
            <wp:extent cx="1720850" cy="800100"/>
            <wp:effectExtent l="0" t="0" r="0" b="0"/>
            <wp:docPr id="1757085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9AEDF" w14:textId="77777777" w:rsidR="00C57C46" w:rsidRPr="00977F36" w:rsidRDefault="00C57C46" w:rsidP="00C57C46">
      <w:pPr>
        <w:pStyle w:val="DefaultText"/>
        <w:tabs>
          <w:tab w:val="left" w:pos="544"/>
        </w:tabs>
        <w:jc w:val="center"/>
        <w:rPr>
          <w:rFonts w:ascii="Arial" w:hAnsi="Arial" w:cs="Arial"/>
          <w:b/>
          <w:bCs/>
          <w:szCs w:val="24"/>
          <w:highlight w:val="white"/>
        </w:rPr>
      </w:pPr>
    </w:p>
    <w:p w14:paraId="73D64E6A" w14:textId="2FE1606F" w:rsidR="00C57C46" w:rsidRPr="00977F36" w:rsidRDefault="00C57C46" w:rsidP="00C57C46">
      <w:pPr>
        <w:pStyle w:val="DefaultText"/>
        <w:tabs>
          <w:tab w:val="left" w:pos="544"/>
        </w:tabs>
        <w:rPr>
          <w:rFonts w:ascii="Arial" w:hAnsi="Arial" w:cs="Arial"/>
          <w:szCs w:val="24"/>
        </w:rPr>
      </w:pPr>
      <w:r w:rsidRPr="00977F36">
        <w:rPr>
          <w:rFonts w:ascii="Arial" w:hAnsi="Arial" w:cs="Arial"/>
          <w:szCs w:val="24"/>
          <w:highlight w:val="white"/>
        </w:rPr>
        <w:t xml:space="preserve">You can get this document on audio CD, in Braille, and </w:t>
      </w:r>
      <w:r w:rsidRPr="00977F36">
        <w:rPr>
          <w:rFonts w:ascii="Arial" w:hAnsi="Arial" w:cs="Arial"/>
          <w:b/>
          <w:bCs/>
          <w:szCs w:val="24"/>
          <w:highlight w:val="white"/>
        </w:rPr>
        <w:t>Large Print</w:t>
      </w:r>
      <w:r w:rsidRPr="00977F36">
        <w:rPr>
          <w:rFonts w:ascii="Arial" w:hAnsi="Arial" w:cs="Arial"/>
          <w:szCs w:val="24"/>
          <w:highlight w:val="white"/>
        </w:rPr>
        <w:t xml:space="preserve"> if you ask us. Please contact Interpretation and Translation Service (ITS) on </w:t>
      </w:r>
      <w:hyperlink r:id="rId15" w:history="1">
        <w:r w:rsidRPr="00977F36">
          <w:rPr>
            <w:rStyle w:val="Hyperlink"/>
            <w:rFonts w:ascii="Arial" w:eastAsiaTheme="majorEastAsia" w:hAnsi="Arial" w:cs="Arial"/>
            <w:szCs w:val="24"/>
            <w:highlight w:val="white"/>
          </w:rPr>
          <w:t>its@edinburgh.gov.uk</w:t>
        </w:r>
      </w:hyperlink>
      <w:r w:rsidRPr="00977F36">
        <w:rPr>
          <w:rFonts w:ascii="Arial" w:hAnsi="Arial" w:cs="Arial"/>
          <w:szCs w:val="24"/>
          <w:highlight w:val="white"/>
        </w:rPr>
        <w:t xml:space="preserve">  and quote reference number</w:t>
      </w:r>
      <w:r w:rsidR="006602CD">
        <w:rPr>
          <w:rFonts w:ascii="Arial" w:hAnsi="Arial" w:cs="Arial"/>
          <w:szCs w:val="24"/>
        </w:rPr>
        <w:t xml:space="preserve"> </w:t>
      </w:r>
      <w:r w:rsidR="0081339F" w:rsidRPr="0081339F">
        <w:rPr>
          <w:rFonts w:ascii="Arial" w:hAnsi="Arial" w:cs="Arial"/>
          <w:b/>
          <w:bCs/>
          <w:szCs w:val="24"/>
        </w:rPr>
        <w:t>25-0502 - 2.10h</w:t>
      </w:r>
      <w:r w:rsidR="0081339F">
        <w:rPr>
          <w:rFonts w:ascii="Arial" w:hAnsi="Arial" w:cs="Arial"/>
          <w:b/>
          <w:bCs/>
          <w:szCs w:val="24"/>
        </w:rPr>
        <w:t xml:space="preserve"> </w:t>
      </w:r>
      <w:r w:rsidR="0081339F" w:rsidRPr="0081339F">
        <w:rPr>
          <w:rFonts w:ascii="Arial" w:hAnsi="Arial" w:cs="Arial"/>
          <w:b/>
          <w:bCs/>
          <w:szCs w:val="24"/>
        </w:rPr>
        <w:t>- Co-option Pro-Forma</w:t>
      </w:r>
      <w:r w:rsidRPr="00977F36">
        <w:rPr>
          <w:rFonts w:ascii="Arial" w:hAnsi="Arial" w:cs="Arial"/>
          <w:szCs w:val="24"/>
        </w:rPr>
        <w:t xml:space="preserve">. </w:t>
      </w:r>
      <w:r w:rsidRPr="00977F36">
        <w:rPr>
          <w:rFonts w:ascii="Arial" w:hAnsi="Arial" w:cs="Arial"/>
          <w:szCs w:val="24"/>
          <w:highlight w:val="white"/>
        </w:rPr>
        <w:t>ITS can also give information on community language translations. You can also get more copies of this document by contacting</w:t>
      </w:r>
      <w:r w:rsidRPr="00977F36">
        <w:rPr>
          <w:rFonts w:ascii="Arial" w:hAnsi="Arial" w:cs="Arial"/>
          <w:szCs w:val="24"/>
        </w:rPr>
        <w:t xml:space="preserve"> </w:t>
      </w:r>
      <w:hyperlink r:id="rId16" w:history="1">
        <w:r w:rsidR="00062EB0" w:rsidRPr="002B1598">
          <w:rPr>
            <w:rStyle w:val="Hyperlink"/>
            <w:rFonts w:ascii="Arial" w:hAnsi="Arial" w:cs="Arial"/>
            <w:szCs w:val="24"/>
          </w:rPr>
          <w:t>governance@edinburgh.gov.uk</w:t>
        </w:r>
      </w:hyperlink>
      <w:r w:rsidR="00062EB0">
        <w:rPr>
          <w:rFonts w:ascii="Arial" w:hAnsi="Arial" w:cs="Arial"/>
          <w:szCs w:val="24"/>
        </w:rPr>
        <w:t xml:space="preserve"> </w:t>
      </w:r>
    </w:p>
    <w:p w14:paraId="734FAD53" w14:textId="77777777" w:rsidR="00D11207" w:rsidRPr="00C4715B" w:rsidRDefault="00D11207" w:rsidP="00D663C5">
      <w:pPr>
        <w:pStyle w:val="Default"/>
        <w:rPr>
          <w:rFonts w:ascii="Arial" w:hAnsi="Arial" w:cs="Arial"/>
        </w:rPr>
      </w:pPr>
    </w:p>
    <w:sectPr w:rsidR="00D11207" w:rsidRPr="00C4715B" w:rsidSect="008845DA">
      <w:headerReference w:type="default" r:id="rId17"/>
      <w:foot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C5846" w14:textId="77777777" w:rsidR="00340C77" w:rsidRDefault="00340C77" w:rsidP="00314D8F">
      <w:pPr>
        <w:spacing w:after="0" w:line="240" w:lineRule="auto"/>
      </w:pPr>
      <w:r>
        <w:separator/>
      </w:r>
    </w:p>
  </w:endnote>
  <w:endnote w:type="continuationSeparator" w:id="0">
    <w:p w14:paraId="65D7FDD2" w14:textId="77777777" w:rsidR="00340C77" w:rsidRDefault="00340C77" w:rsidP="00314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234939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EACE2" w14:textId="776B0937" w:rsidR="00314D8F" w:rsidRPr="00CB206F" w:rsidRDefault="00B93DC4" w:rsidP="00C4715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Co-opted Community Councillor</w:t>
            </w:r>
            <w:r w:rsidR="00C4715B" w:rsidRPr="00CB206F">
              <w:rPr>
                <w:rFonts w:ascii="Arial" w:hAnsi="Arial" w:cs="Arial"/>
                <w:sz w:val="16"/>
                <w:szCs w:val="16"/>
              </w:rPr>
              <w:tab/>
            </w:r>
            <w:r w:rsidR="00C4715B" w:rsidRPr="00CB206F">
              <w:rPr>
                <w:rFonts w:ascii="Arial" w:hAnsi="Arial" w:cs="Arial"/>
                <w:sz w:val="16"/>
                <w:szCs w:val="16"/>
              </w:rPr>
              <w:tab/>
            </w:r>
            <w:r w:rsidR="00C4715B" w:rsidRPr="00CB206F">
              <w:rPr>
                <w:rFonts w:ascii="Arial" w:hAnsi="Arial" w:cs="Arial"/>
                <w:sz w:val="16"/>
                <w:szCs w:val="16"/>
              </w:rPr>
              <w:tab/>
            </w:r>
            <w:r w:rsidR="00C4715B" w:rsidRPr="00CB206F">
              <w:rPr>
                <w:rFonts w:ascii="Arial" w:hAnsi="Arial" w:cs="Arial"/>
                <w:sz w:val="16"/>
                <w:szCs w:val="16"/>
              </w:rPr>
              <w:tab/>
            </w:r>
            <w:r w:rsidR="00C4715B" w:rsidRPr="00CB206F">
              <w:rPr>
                <w:rFonts w:ascii="Arial" w:hAnsi="Arial" w:cs="Arial"/>
                <w:sz w:val="16"/>
                <w:szCs w:val="16"/>
              </w:rPr>
              <w:tab/>
            </w:r>
            <w:r w:rsidR="00C4715B" w:rsidRPr="00CB206F">
              <w:rPr>
                <w:rFonts w:ascii="Arial" w:hAnsi="Arial" w:cs="Arial"/>
                <w:sz w:val="16"/>
                <w:szCs w:val="16"/>
              </w:rPr>
              <w:tab/>
            </w:r>
            <w:r w:rsidR="00C4715B" w:rsidRPr="00CB206F">
              <w:rPr>
                <w:rFonts w:ascii="Arial" w:hAnsi="Arial" w:cs="Arial"/>
                <w:sz w:val="16"/>
                <w:szCs w:val="16"/>
              </w:rPr>
              <w:tab/>
            </w:r>
            <w:r w:rsidR="00314D8F" w:rsidRPr="00CB206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14D8F" w:rsidRPr="00CB206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314D8F" w:rsidRPr="00CB206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E47470E" w14:textId="77777777" w:rsidR="00314D8F" w:rsidRPr="00CB206F" w:rsidRDefault="00314D8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4A81" w14:textId="77777777" w:rsidR="00340C77" w:rsidRDefault="00340C77" w:rsidP="00314D8F">
      <w:pPr>
        <w:spacing w:after="0" w:line="240" w:lineRule="auto"/>
      </w:pPr>
      <w:r>
        <w:separator/>
      </w:r>
    </w:p>
  </w:footnote>
  <w:footnote w:type="continuationSeparator" w:id="0">
    <w:p w14:paraId="343C72CA" w14:textId="77777777" w:rsidR="00340C77" w:rsidRDefault="00340C77" w:rsidP="00314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4F441" w14:textId="6AB52F30" w:rsidR="00314D8F" w:rsidRDefault="00314D8F" w:rsidP="00314D8F">
    <w:pPr>
      <w:pStyle w:val="Header"/>
      <w:jc w:val="center"/>
    </w:pPr>
    <w:r w:rsidRPr="003715C7">
      <w:rPr>
        <w:rFonts w:ascii="Helvetica" w:hAnsi="Helvetica"/>
        <w:b/>
        <w:noProof/>
        <w:color w:val="3366FF"/>
        <w:sz w:val="36"/>
        <w:szCs w:val="36"/>
      </w:rPr>
      <w:drawing>
        <wp:inline distT="0" distB="0" distL="0" distR="0" wp14:anchorId="700D2B6D" wp14:editId="4447EFA1">
          <wp:extent cx="2482850" cy="622300"/>
          <wp:effectExtent l="0" t="0" r="0" b="6350"/>
          <wp:docPr id="1955067299" name="Picture 1" descr="Commun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ity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74FEE" w14:textId="77777777" w:rsidR="00314D8F" w:rsidRDefault="00314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695" w:hanging="565"/>
      </w:pPr>
      <w:rPr>
        <w:rFonts w:ascii="Symbol" w:hAnsi="Symbol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1" w15:restartNumberingAfterBreak="0">
    <w:nsid w:val="390D5CAB"/>
    <w:multiLevelType w:val="multilevel"/>
    <w:tmpl w:val="87D4462A"/>
    <w:lvl w:ilvl="0">
      <w:start w:val="1"/>
      <w:numFmt w:val="bullet"/>
      <w:lvlText w:val="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2" w15:restartNumberingAfterBreak="0">
    <w:nsid w:val="469A3ED3"/>
    <w:multiLevelType w:val="multilevel"/>
    <w:tmpl w:val="87D4462A"/>
    <w:lvl w:ilvl="0">
      <w:start w:val="1"/>
      <w:numFmt w:val="bullet"/>
      <w:lvlText w:val="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3" w15:restartNumberingAfterBreak="0">
    <w:nsid w:val="51A60D06"/>
    <w:multiLevelType w:val="multilevel"/>
    <w:tmpl w:val="190A153A"/>
    <w:lvl w:ilvl="0">
      <w:start w:val="1"/>
      <w:numFmt w:val="bullet"/>
      <w:lvlText w:val=""/>
      <w:lvlJc w:val="left"/>
      <w:pPr>
        <w:ind w:left="695" w:hanging="565"/>
      </w:pPr>
      <w:rPr>
        <w:rFonts w:ascii="Wingdings" w:hAnsi="Wingdings" w:hint="default"/>
        <w:b w:val="0"/>
        <w:i w:val="0"/>
        <w:spacing w:val="0"/>
        <w:w w:val="100"/>
        <w:sz w:val="24"/>
      </w:rPr>
    </w:lvl>
    <w:lvl w:ilvl="1">
      <w:numFmt w:val="bullet"/>
      <w:lvlText w:val="•"/>
      <w:lvlJc w:val="left"/>
      <w:pPr>
        <w:ind w:left="1664" w:hanging="565"/>
      </w:pPr>
    </w:lvl>
    <w:lvl w:ilvl="2">
      <w:numFmt w:val="bullet"/>
      <w:lvlText w:val="•"/>
      <w:lvlJc w:val="left"/>
      <w:pPr>
        <w:ind w:left="2629" w:hanging="565"/>
      </w:pPr>
    </w:lvl>
    <w:lvl w:ilvl="3">
      <w:numFmt w:val="bullet"/>
      <w:lvlText w:val="•"/>
      <w:lvlJc w:val="left"/>
      <w:pPr>
        <w:ind w:left="3593" w:hanging="565"/>
      </w:pPr>
    </w:lvl>
    <w:lvl w:ilvl="4">
      <w:numFmt w:val="bullet"/>
      <w:lvlText w:val="•"/>
      <w:lvlJc w:val="left"/>
      <w:pPr>
        <w:ind w:left="4558" w:hanging="565"/>
      </w:pPr>
    </w:lvl>
    <w:lvl w:ilvl="5">
      <w:numFmt w:val="bullet"/>
      <w:lvlText w:val="•"/>
      <w:lvlJc w:val="left"/>
      <w:pPr>
        <w:ind w:left="5522" w:hanging="565"/>
      </w:pPr>
    </w:lvl>
    <w:lvl w:ilvl="6">
      <w:numFmt w:val="bullet"/>
      <w:lvlText w:val="•"/>
      <w:lvlJc w:val="left"/>
      <w:pPr>
        <w:ind w:left="6487" w:hanging="565"/>
      </w:pPr>
    </w:lvl>
    <w:lvl w:ilvl="7">
      <w:numFmt w:val="bullet"/>
      <w:lvlText w:val="•"/>
      <w:lvlJc w:val="left"/>
      <w:pPr>
        <w:ind w:left="7451" w:hanging="565"/>
      </w:pPr>
    </w:lvl>
    <w:lvl w:ilvl="8">
      <w:numFmt w:val="bullet"/>
      <w:lvlText w:val="•"/>
      <w:lvlJc w:val="left"/>
      <w:pPr>
        <w:ind w:left="8416" w:hanging="565"/>
      </w:pPr>
    </w:lvl>
  </w:abstractNum>
  <w:abstractNum w:abstractNumId="4" w15:restartNumberingAfterBreak="0">
    <w:nsid w:val="7AD05CD8"/>
    <w:multiLevelType w:val="hybridMultilevel"/>
    <w:tmpl w:val="E2324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765273">
    <w:abstractNumId w:val="0"/>
  </w:num>
  <w:num w:numId="2" w16cid:durableId="1735472773">
    <w:abstractNumId w:val="2"/>
  </w:num>
  <w:num w:numId="3" w16cid:durableId="662585165">
    <w:abstractNumId w:val="1"/>
  </w:num>
  <w:num w:numId="4" w16cid:durableId="1113867341">
    <w:abstractNumId w:val="3"/>
  </w:num>
  <w:num w:numId="5" w16cid:durableId="1029574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E"/>
    <w:rsid w:val="00062EB0"/>
    <w:rsid w:val="00092B16"/>
    <w:rsid w:val="000C0F3F"/>
    <w:rsid w:val="00183AE8"/>
    <w:rsid w:val="002B241D"/>
    <w:rsid w:val="002C477E"/>
    <w:rsid w:val="002C690F"/>
    <w:rsid w:val="002D409D"/>
    <w:rsid w:val="00314D8F"/>
    <w:rsid w:val="003375D3"/>
    <w:rsid w:val="00340C77"/>
    <w:rsid w:val="00362D78"/>
    <w:rsid w:val="003D5161"/>
    <w:rsid w:val="00434D5D"/>
    <w:rsid w:val="00443331"/>
    <w:rsid w:val="004572FE"/>
    <w:rsid w:val="00460634"/>
    <w:rsid w:val="004E712E"/>
    <w:rsid w:val="0053024A"/>
    <w:rsid w:val="0055389E"/>
    <w:rsid w:val="00587045"/>
    <w:rsid w:val="005D654E"/>
    <w:rsid w:val="005E2263"/>
    <w:rsid w:val="005F44CD"/>
    <w:rsid w:val="00656D82"/>
    <w:rsid w:val="006602CD"/>
    <w:rsid w:val="006739F5"/>
    <w:rsid w:val="0068676F"/>
    <w:rsid w:val="006B6D46"/>
    <w:rsid w:val="00765D8A"/>
    <w:rsid w:val="007A553B"/>
    <w:rsid w:val="007A5861"/>
    <w:rsid w:val="007E3DE3"/>
    <w:rsid w:val="007E6160"/>
    <w:rsid w:val="0081339F"/>
    <w:rsid w:val="00832CFE"/>
    <w:rsid w:val="008845DA"/>
    <w:rsid w:val="00895F2E"/>
    <w:rsid w:val="008F1574"/>
    <w:rsid w:val="008F62D8"/>
    <w:rsid w:val="009636E5"/>
    <w:rsid w:val="00971F21"/>
    <w:rsid w:val="00977F36"/>
    <w:rsid w:val="00981406"/>
    <w:rsid w:val="009C4AC9"/>
    <w:rsid w:val="009C5A07"/>
    <w:rsid w:val="00A15B48"/>
    <w:rsid w:val="00A57336"/>
    <w:rsid w:val="00A66200"/>
    <w:rsid w:val="00A70F0E"/>
    <w:rsid w:val="00B506A2"/>
    <w:rsid w:val="00B51C82"/>
    <w:rsid w:val="00B93DC4"/>
    <w:rsid w:val="00C01593"/>
    <w:rsid w:val="00C06EB8"/>
    <w:rsid w:val="00C4715B"/>
    <w:rsid w:val="00C472FD"/>
    <w:rsid w:val="00C57C46"/>
    <w:rsid w:val="00C81C80"/>
    <w:rsid w:val="00C83EBC"/>
    <w:rsid w:val="00CB206F"/>
    <w:rsid w:val="00CB7209"/>
    <w:rsid w:val="00CD766A"/>
    <w:rsid w:val="00D11207"/>
    <w:rsid w:val="00D202D4"/>
    <w:rsid w:val="00D20F0E"/>
    <w:rsid w:val="00D663C5"/>
    <w:rsid w:val="00DF56A4"/>
    <w:rsid w:val="00E23C9A"/>
    <w:rsid w:val="00F073A8"/>
    <w:rsid w:val="00F9250F"/>
    <w:rsid w:val="00FC5897"/>
    <w:rsid w:val="00FD6D4D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CEE6"/>
  <w15:chartTrackingRefBased/>
  <w15:docId w15:val="{D7DB99FF-08B8-4075-88DD-1CDCA5FD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0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F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F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F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F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F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F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F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F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0F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F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4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8F"/>
  </w:style>
  <w:style w:type="paragraph" w:styleId="Footer">
    <w:name w:val="footer"/>
    <w:basedOn w:val="Normal"/>
    <w:link w:val="FooterChar"/>
    <w:uiPriority w:val="99"/>
    <w:unhideWhenUsed/>
    <w:rsid w:val="00314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8F"/>
  </w:style>
  <w:style w:type="paragraph" w:customStyle="1" w:styleId="DefaultText">
    <w:name w:val="Default Text"/>
    <w:basedOn w:val="Normal"/>
    <w:rsid w:val="00314D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  <w:style w:type="paragraph" w:customStyle="1" w:styleId="Default">
    <w:name w:val="Default"/>
    <w:rsid w:val="003D51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C83EBC"/>
    <w:pPr>
      <w:spacing w:after="0" w:line="240" w:lineRule="auto"/>
    </w:pPr>
  </w:style>
  <w:style w:type="table" w:styleId="TableGrid">
    <w:name w:val="Table Grid"/>
    <w:basedOn w:val="TableNormal"/>
    <w:uiPriority w:val="39"/>
    <w:rsid w:val="00A1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nburgh.gov.uk/community-planning/community-councils/1" TargetMode="External"/><Relationship Id="rId13" Type="http://schemas.openxmlformats.org/officeDocument/2006/relationships/hyperlink" Target="https://www.edinburgh.gov.uk/downloads/file/36729/community-councils-privacy-notic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ityofedinburgh.maps.arcgis.com/apps/instant/lookup/index.html?appid=06d64c0a7ae1405cb243c18e3fa2cd97" TargetMode="External"/><Relationship Id="rId12" Type="http://schemas.openxmlformats.org/officeDocument/2006/relationships/hyperlink" Target="mailto:governance@edinburgh.gov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overnance@edinburgh.gov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vernance@edinburgh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s@edinburgh.gov.uk" TargetMode="External"/><Relationship Id="rId10" Type="http://schemas.openxmlformats.org/officeDocument/2006/relationships/hyperlink" Target="https://www.edinburgh.gov.uk/downloads/file/36248/scheme-for-community-councils-effective-28-march-2025-pdf-vers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inburgh.gov.uk/downloads/file/36248/scheme-for-community-councils-effective-28-march-2025-pdf-version" TargetMode="Externa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Galloway</dc:creator>
  <cp:keywords/>
  <dc:description/>
  <cp:lastModifiedBy>Martin Scott</cp:lastModifiedBy>
  <cp:revision>12</cp:revision>
  <cp:lastPrinted>2025-04-01T16:08:00Z</cp:lastPrinted>
  <dcterms:created xsi:type="dcterms:W3CDTF">2025-03-28T15:44:00Z</dcterms:created>
  <dcterms:modified xsi:type="dcterms:W3CDTF">2025-04-01T16:19:00Z</dcterms:modified>
</cp:coreProperties>
</file>