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D045" w14:textId="7661ECCE" w:rsidR="002D547A" w:rsidRDefault="00EB5B3C" w:rsidP="003C2BB0">
      <w:pPr>
        <w:pStyle w:val="Heading2"/>
        <w:numPr>
          <w:ilvl w:val="0"/>
          <w:numId w:val="0"/>
        </w:numPr>
        <w:spacing w:after="0" w:line="276" w:lineRule="auto"/>
        <w:rPr>
          <w:b/>
          <w:color w:val="FFFFFF"/>
          <w:sz w:val="36"/>
          <w:szCs w:val="36"/>
        </w:rPr>
      </w:pPr>
      <w:r w:rsidRPr="00DA5292">
        <w:rPr>
          <w:b/>
          <w:color w:val="FFFFFF"/>
          <w:sz w:val="36"/>
          <w:szCs w:val="36"/>
        </w:rPr>
        <w:t>Fees and Charges</w:t>
      </w:r>
      <w:r w:rsidR="00F41771">
        <w:rPr>
          <w:b/>
          <w:color w:val="FFFFFF"/>
          <w:sz w:val="36"/>
          <w:szCs w:val="36"/>
        </w:rPr>
        <w:t>,</w:t>
      </w:r>
      <w:r w:rsidR="006872C8" w:rsidRPr="00DA5292">
        <w:rPr>
          <w:b/>
          <w:color w:val="FFFFFF"/>
          <w:sz w:val="36"/>
          <w:szCs w:val="36"/>
        </w:rPr>
        <w:t xml:space="preserve"> 202</w:t>
      </w:r>
      <w:r w:rsidR="00E34F96">
        <w:rPr>
          <w:b/>
          <w:color w:val="FFFFFF"/>
          <w:sz w:val="36"/>
          <w:szCs w:val="36"/>
        </w:rPr>
        <w:t>5</w:t>
      </w:r>
      <w:r w:rsidR="009F0411">
        <w:rPr>
          <w:b/>
          <w:color w:val="FFFFFF"/>
          <w:sz w:val="36"/>
          <w:szCs w:val="36"/>
        </w:rPr>
        <w:t>/2</w:t>
      </w:r>
      <w:r w:rsidR="00E34F96">
        <w:rPr>
          <w:b/>
          <w:color w:val="FFFFFF"/>
          <w:sz w:val="36"/>
          <w:szCs w:val="36"/>
        </w:rPr>
        <w:t>6</w:t>
      </w:r>
      <w:r w:rsidR="00F23DA3">
        <w:rPr>
          <w:b/>
          <w:color w:val="FFFFFF"/>
          <w:sz w:val="36"/>
          <w:szCs w:val="36"/>
        </w:rPr>
        <w:t xml:space="preserve"> </w:t>
      </w:r>
      <w:r w:rsidR="00F21EA8">
        <w:rPr>
          <w:b/>
          <w:color w:val="FFFFFF"/>
          <w:sz w:val="36"/>
          <w:szCs w:val="36"/>
        </w:rPr>
        <w:t xml:space="preserve">– </w:t>
      </w:r>
      <w:r w:rsidR="003C2BB0">
        <w:rPr>
          <w:b/>
          <w:color w:val="FFFFFF"/>
          <w:sz w:val="36"/>
          <w:szCs w:val="36"/>
        </w:rPr>
        <w:t>equalities impact statement</w:t>
      </w:r>
    </w:p>
    <w:p w14:paraId="17E490F7" w14:textId="77777777" w:rsidR="003C2BB0" w:rsidRPr="003C2BB0" w:rsidRDefault="003C2BB0" w:rsidP="003C2BB0"/>
    <w:p w14:paraId="0399746E" w14:textId="054053C5" w:rsidR="00622F3D" w:rsidRPr="00622F3D" w:rsidRDefault="00451195" w:rsidP="00EB5B3C">
      <w:pPr>
        <w:spacing w:after="0"/>
      </w:pPr>
      <w:r>
        <w:rPr>
          <w:b/>
          <w:noProof/>
          <w:color w:val="0099CC"/>
          <w:sz w:val="48"/>
        </w:rPr>
        <mc:AlternateContent>
          <mc:Choice Requires="wps">
            <w:drawing>
              <wp:anchor distT="0" distB="0" distL="114300" distR="114300" simplePos="0" relativeHeight="251657728" behindDoc="1" locked="1" layoutInCell="1" allowOverlap="1" wp14:anchorId="288152E5" wp14:editId="396E04B7">
                <wp:simplePos x="0" y="0"/>
                <wp:positionH relativeFrom="page">
                  <wp:align>right</wp:align>
                </wp:positionH>
                <wp:positionV relativeFrom="paragraph">
                  <wp:posOffset>-1861185</wp:posOffset>
                </wp:positionV>
                <wp:extent cx="7864475" cy="1752600"/>
                <wp:effectExtent l="0" t="0" r="2222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4475" cy="1752600"/>
                        </a:xfrm>
                        <a:prstGeom prst="rect">
                          <a:avLst/>
                        </a:prstGeom>
                        <a:solidFill>
                          <a:srgbClr val="00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9A565" id="Rectangle 4" o:spid="_x0000_s1026" style="position:absolute;margin-left:568.05pt;margin-top:-146.55pt;width:619.25pt;height:138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" fillcolor="#09c">
                <w10:wrap anchorx="page"/>
                <w10:anchorlock/>
              </v:rect>
            </w:pict>
          </mc:Fallback>
        </mc:AlternateContent>
      </w:r>
      <w:bookmarkStart w:id="0" w:name="_Appendix_1:_Corporate_Dashboard"/>
      <w:bookmarkEnd w:id="0"/>
    </w:p>
    <w:p w14:paraId="64EBD9A5" w14:textId="4F4516EF" w:rsidR="00F05716" w:rsidRPr="00F05716" w:rsidRDefault="00F43449" w:rsidP="00F05716">
      <w:pPr>
        <w:pStyle w:val="Style2blue"/>
        <w:numPr>
          <w:ilvl w:val="0"/>
          <w:numId w:val="0"/>
        </w:numPr>
        <w:pBdr>
          <w:bottom w:val="single" w:sz="18" w:space="0" w:color="0099CC"/>
        </w:pBdr>
        <w:ind w:left="709" w:hanging="709"/>
      </w:pPr>
      <w:r>
        <w:t>Background</w:t>
      </w:r>
    </w:p>
    <w:p w14:paraId="6DBF9BA4" w14:textId="168E1C99" w:rsidR="004B4D7D" w:rsidRPr="007D5266" w:rsidRDefault="007D5266" w:rsidP="00F05716">
      <w:pPr>
        <w:pStyle w:val="Default"/>
        <w:ind w:firstLine="709"/>
        <w:rPr>
          <w:b/>
          <w:bCs/>
          <w:color w:val="auto"/>
        </w:rPr>
      </w:pPr>
      <w:r w:rsidRPr="007D5266">
        <w:rPr>
          <w:b/>
          <w:bCs/>
          <w:color w:val="auto"/>
        </w:rPr>
        <w:t xml:space="preserve">Overall position </w:t>
      </w:r>
    </w:p>
    <w:p w14:paraId="51B6A213" w14:textId="77777777" w:rsidR="004B4D7D" w:rsidRPr="002C0F4A" w:rsidRDefault="004B4D7D" w:rsidP="004B4D7D">
      <w:pPr>
        <w:pStyle w:val="Default"/>
        <w:rPr>
          <w:color w:val="auto"/>
        </w:rPr>
      </w:pPr>
    </w:p>
    <w:p w14:paraId="03BD0815" w14:textId="1D92150C" w:rsidR="002C321D" w:rsidRDefault="009F0411" w:rsidP="00EC157D">
      <w:pPr>
        <w:pStyle w:val="Default"/>
        <w:numPr>
          <w:ilvl w:val="1"/>
          <w:numId w:val="5"/>
        </w:numPr>
        <w:ind w:left="720" w:hanging="720"/>
        <w:rPr>
          <w:color w:val="auto"/>
        </w:rPr>
      </w:pPr>
      <w:r>
        <w:rPr>
          <w:color w:val="auto"/>
        </w:rPr>
        <w:t>The budget framework for 202</w:t>
      </w:r>
      <w:r w:rsidR="00E34F96">
        <w:rPr>
          <w:color w:val="auto"/>
        </w:rPr>
        <w:t>5</w:t>
      </w:r>
      <w:r>
        <w:rPr>
          <w:color w:val="auto"/>
        </w:rPr>
        <w:t>/2</w:t>
      </w:r>
      <w:r w:rsidR="00E34F96">
        <w:rPr>
          <w:color w:val="auto"/>
        </w:rPr>
        <w:t>6</w:t>
      </w:r>
      <w:r>
        <w:rPr>
          <w:color w:val="auto"/>
        </w:rPr>
        <w:t xml:space="preserve"> reflects a</w:t>
      </w:r>
      <w:r w:rsidR="009D3D57">
        <w:rPr>
          <w:color w:val="auto"/>
        </w:rPr>
        <w:t xml:space="preserve"> baseline</w:t>
      </w:r>
      <w:r>
        <w:rPr>
          <w:color w:val="auto"/>
        </w:rPr>
        <w:t xml:space="preserve"> assumption that £1</w:t>
      </w:r>
      <w:r w:rsidR="0032546B">
        <w:rPr>
          <w:color w:val="auto"/>
        </w:rPr>
        <w:t>.7</w:t>
      </w:r>
      <w:r>
        <w:rPr>
          <w:color w:val="auto"/>
        </w:rPr>
        <w:t xml:space="preserve">m of </w:t>
      </w:r>
      <w:r w:rsidR="00FE4F6E">
        <w:rPr>
          <w:color w:val="auto"/>
        </w:rPr>
        <w:t xml:space="preserve">additional </w:t>
      </w:r>
      <w:r>
        <w:rPr>
          <w:color w:val="auto"/>
        </w:rPr>
        <w:t>income will be generated through an average 5% increase</w:t>
      </w:r>
      <w:r>
        <w:rPr>
          <w:rStyle w:val="FootnoteReference"/>
          <w:color w:val="auto"/>
        </w:rPr>
        <w:footnoteReference w:id="1"/>
      </w:r>
      <w:r>
        <w:rPr>
          <w:color w:val="auto"/>
        </w:rPr>
        <w:t xml:space="preserve"> in discretionary fees and charges but with all current concessions and exemptions </w:t>
      </w:r>
      <w:r w:rsidR="00B43DB1">
        <w:rPr>
          <w:color w:val="auto"/>
        </w:rPr>
        <w:t>re</w:t>
      </w:r>
      <w:r>
        <w:rPr>
          <w:color w:val="auto"/>
        </w:rPr>
        <w:t>tained.</w:t>
      </w:r>
    </w:p>
    <w:p w14:paraId="1E20BF94" w14:textId="77777777" w:rsidR="00C03141" w:rsidRDefault="00C03141" w:rsidP="00C03141">
      <w:pPr>
        <w:pStyle w:val="Default"/>
        <w:rPr>
          <w:color w:val="auto"/>
        </w:rPr>
      </w:pPr>
    </w:p>
    <w:p w14:paraId="1C678C51" w14:textId="2D1CDACB" w:rsidR="00C03141" w:rsidRDefault="00A10F82" w:rsidP="00C03141">
      <w:pPr>
        <w:pStyle w:val="Default"/>
        <w:rPr>
          <w:color w:val="auto"/>
        </w:rPr>
      </w:pPr>
      <w:r>
        <w:rPr>
          <w:color w:val="auto"/>
        </w:rPr>
        <w:t>1.2</w:t>
      </w:r>
      <w:r>
        <w:rPr>
          <w:color w:val="auto"/>
        </w:rPr>
        <w:tab/>
        <w:t>In a small number of cases, an increase of</w:t>
      </w:r>
      <w:r w:rsidR="00BC23B2">
        <w:rPr>
          <w:color w:val="auto"/>
        </w:rPr>
        <w:t xml:space="preserve"> slightly above 5% is proposed.</w:t>
      </w:r>
      <w:r w:rsidR="002D353E">
        <w:rPr>
          <w:color w:val="auto"/>
        </w:rPr>
        <w:t xml:space="preserve">  This is </w:t>
      </w:r>
      <w:r w:rsidR="00917F28">
        <w:rPr>
          <w:color w:val="auto"/>
        </w:rPr>
        <w:t xml:space="preserve">usually </w:t>
      </w:r>
      <w:r w:rsidR="00917F28">
        <w:rPr>
          <w:color w:val="auto"/>
        </w:rPr>
        <w:tab/>
        <w:t xml:space="preserve">due to the impacts of </w:t>
      </w:r>
      <w:proofErr w:type="spellStart"/>
      <w:r w:rsidR="00917F28">
        <w:rPr>
          <w:color w:val="auto"/>
        </w:rPr>
        <w:t>rounding</w:t>
      </w:r>
      <w:r w:rsidR="002231F6">
        <w:rPr>
          <w:color w:val="auto"/>
        </w:rPr>
        <w:t>s</w:t>
      </w:r>
      <w:proofErr w:type="spellEnd"/>
      <w:r w:rsidR="004E538D">
        <w:rPr>
          <w:color w:val="auto"/>
        </w:rPr>
        <w:t xml:space="preserve">, where charges are expressed </w:t>
      </w:r>
      <w:r w:rsidR="007B6FC6">
        <w:rPr>
          <w:color w:val="auto"/>
        </w:rPr>
        <w:t xml:space="preserve">to the nearest £1 or multiple </w:t>
      </w:r>
      <w:r w:rsidR="002F1272">
        <w:rPr>
          <w:color w:val="auto"/>
        </w:rPr>
        <w:tab/>
      </w:r>
      <w:r w:rsidR="007B6FC6">
        <w:rPr>
          <w:color w:val="auto"/>
        </w:rPr>
        <w:t>thereof.</w:t>
      </w:r>
      <w:r w:rsidR="006D387B">
        <w:rPr>
          <w:color w:val="auto"/>
        </w:rPr>
        <w:t xml:space="preserve">  In other cases, such as care home fees, </w:t>
      </w:r>
      <w:r w:rsidR="007C6272">
        <w:rPr>
          <w:color w:val="auto"/>
        </w:rPr>
        <w:t xml:space="preserve">charges are </w:t>
      </w:r>
      <w:r w:rsidR="00142C37">
        <w:rPr>
          <w:color w:val="auto"/>
        </w:rPr>
        <w:t>set in accordance with</w:t>
      </w:r>
      <w:r w:rsidR="007C6272">
        <w:rPr>
          <w:color w:val="auto"/>
        </w:rPr>
        <w:t xml:space="preserve"> full-cost </w:t>
      </w:r>
      <w:r w:rsidR="00142C37">
        <w:rPr>
          <w:color w:val="auto"/>
        </w:rPr>
        <w:tab/>
      </w:r>
      <w:r w:rsidR="007C6272">
        <w:rPr>
          <w:color w:val="auto"/>
        </w:rPr>
        <w:t xml:space="preserve">recovery in line with relevant national guidance.  </w:t>
      </w:r>
      <w:r w:rsidR="007B6FC6">
        <w:rPr>
          <w:color w:val="auto"/>
        </w:rPr>
        <w:t xml:space="preserve">  </w:t>
      </w:r>
    </w:p>
    <w:p w14:paraId="3F5F05DD" w14:textId="77777777" w:rsidR="002C321D" w:rsidRDefault="002C321D" w:rsidP="00EC157D">
      <w:pPr>
        <w:pStyle w:val="Default"/>
        <w:ind w:left="720"/>
        <w:rPr>
          <w:color w:val="auto"/>
        </w:rPr>
      </w:pPr>
    </w:p>
    <w:p w14:paraId="67FF3B38" w14:textId="0B8AF92A" w:rsidR="00EC157D" w:rsidRDefault="00DD2A5E" w:rsidP="00EC157D">
      <w:pPr>
        <w:pStyle w:val="Default"/>
        <w:rPr>
          <w:color w:val="auto"/>
        </w:rPr>
      </w:pPr>
      <w:r>
        <w:rPr>
          <w:color w:val="auto"/>
        </w:rPr>
        <w:t>1.</w:t>
      </w:r>
      <w:r w:rsidR="00765CD6">
        <w:rPr>
          <w:color w:val="auto"/>
        </w:rPr>
        <w:t>3</w:t>
      </w:r>
      <w:r>
        <w:rPr>
          <w:color w:val="auto"/>
        </w:rPr>
        <w:tab/>
        <w:t xml:space="preserve">In contrast, </w:t>
      </w:r>
      <w:r w:rsidR="00D96D79">
        <w:rPr>
          <w:color w:val="auto"/>
        </w:rPr>
        <w:t>no change</w:t>
      </w:r>
      <w:r w:rsidR="00DC2D4D">
        <w:rPr>
          <w:color w:val="auto"/>
        </w:rPr>
        <w:t>s</w:t>
      </w:r>
      <w:r w:rsidR="00D96D79">
        <w:rPr>
          <w:color w:val="auto"/>
        </w:rPr>
        <w:t xml:space="preserve"> to </w:t>
      </w:r>
      <w:r w:rsidR="00582444">
        <w:rPr>
          <w:color w:val="auto"/>
        </w:rPr>
        <w:t xml:space="preserve">charges </w:t>
      </w:r>
      <w:r w:rsidR="00510688">
        <w:rPr>
          <w:color w:val="auto"/>
        </w:rPr>
        <w:t xml:space="preserve">are proposed </w:t>
      </w:r>
      <w:r w:rsidR="00582444">
        <w:rPr>
          <w:color w:val="auto"/>
        </w:rPr>
        <w:t>for (</w:t>
      </w:r>
      <w:proofErr w:type="spellStart"/>
      <w:r w:rsidR="00582444">
        <w:rPr>
          <w:color w:val="auto"/>
        </w:rPr>
        <w:t>i</w:t>
      </w:r>
      <w:proofErr w:type="spellEnd"/>
      <w:r w:rsidR="00582444">
        <w:rPr>
          <w:color w:val="auto"/>
        </w:rPr>
        <w:t xml:space="preserve">) wraparound and additional hours in </w:t>
      </w:r>
      <w:r w:rsidR="00510688">
        <w:rPr>
          <w:color w:val="auto"/>
        </w:rPr>
        <w:tab/>
      </w:r>
      <w:r w:rsidR="00582444">
        <w:rPr>
          <w:color w:val="auto"/>
        </w:rPr>
        <w:t>nursery sc</w:t>
      </w:r>
      <w:r w:rsidR="00DC2D4D">
        <w:rPr>
          <w:color w:val="auto"/>
        </w:rPr>
        <w:t>hools</w:t>
      </w:r>
      <w:r w:rsidR="00961DAC">
        <w:rPr>
          <w:color w:val="auto"/>
        </w:rPr>
        <w:t xml:space="preserve"> and </w:t>
      </w:r>
      <w:r w:rsidR="00DC2D4D">
        <w:rPr>
          <w:color w:val="auto"/>
        </w:rPr>
        <w:t>(ii)</w:t>
      </w:r>
      <w:r w:rsidR="00961DAC">
        <w:rPr>
          <w:color w:val="auto"/>
        </w:rPr>
        <w:t xml:space="preserve"> HRA-related services </w:t>
      </w:r>
      <w:r w:rsidR="00E564A8">
        <w:rPr>
          <w:color w:val="auto"/>
        </w:rPr>
        <w:t>such as</w:t>
      </w:r>
      <w:r w:rsidR="0029651B">
        <w:rPr>
          <w:color w:val="auto"/>
        </w:rPr>
        <w:t xml:space="preserve"> communal heating and heat with rent </w:t>
      </w:r>
      <w:r w:rsidR="00510688">
        <w:rPr>
          <w:color w:val="auto"/>
        </w:rPr>
        <w:tab/>
      </w:r>
      <w:r w:rsidR="0029651B">
        <w:rPr>
          <w:color w:val="auto"/>
        </w:rPr>
        <w:t xml:space="preserve">, the latter due to </w:t>
      </w:r>
      <w:r w:rsidR="00B77E2D" w:rsidRPr="00B77E2D">
        <w:rPr>
          <w:color w:val="auto"/>
        </w:rPr>
        <w:t>an on</w:t>
      </w:r>
      <w:r w:rsidR="008309A8">
        <w:rPr>
          <w:color w:val="auto"/>
        </w:rPr>
        <w:t>-</w:t>
      </w:r>
      <w:r w:rsidR="00B77E2D" w:rsidRPr="00B77E2D">
        <w:rPr>
          <w:color w:val="auto"/>
        </w:rPr>
        <w:t xml:space="preserve">going detailed review of energy use, costs and tariffs for recharging </w:t>
      </w:r>
      <w:r w:rsidR="005306BD">
        <w:rPr>
          <w:color w:val="auto"/>
        </w:rPr>
        <w:tab/>
      </w:r>
      <w:r w:rsidR="00B77E2D" w:rsidRPr="00B77E2D">
        <w:rPr>
          <w:color w:val="auto"/>
        </w:rPr>
        <w:t>purposes</w:t>
      </w:r>
      <w:r w:rsidR="00B77E2D">
        <w:rPr>
          <w:color w:val="auto"/>
        </w:rPr>
        <w:t>.</w:t>
      </w:r>
      <w:r w:rsidR="001C07C1">
        <w:rPr>
          <w:color w:val="auto"/>
        </w:rPr>
        <w:t xml:space="preserve">  Charges for garages </w:t>
      </w:r>
      <w:r w:rsidR="00B165EF">
        <w:rPr>
          <w:color w:val="auto"/>
        </w:rPr>
        <w:t xml:space="preserve">likewise remain frozen while the garage estate is surveyed </w:t>
      </w:r>
      <w:r w:rsidR="005306BD">
        <w:rPr>
          <w:color w:val="auto"/>
        </w:rPr>
        <w:tab/>
      </w:r>
      <w:r w:rsidR="00B165EF">
        <w:rPr>
          <w:color w:val="auto"/>
        </w:rPr>
        <w:t>to determine stock condition.</w:t>
      </w:r>
      <w:r w:rsidR="003762D7">
        <w:rPr>
          <w:color w:val="auto"/>
        </w:rPr>
        <w:t xml:space="preserve">  </w:t>
      </w:r>
      <w:r w:rsidR="007462A8">
        <w:rPr>
          <w:color w:val="auto"/>
        </w:rPr>
        <w:t>Proposed l</w:t>
      </w:r>
      <w:r w:rsidR="003762D7">
        <w:rPr>
          <w:color w:val="auto"/>
        </w:rPr>
        <w:t xml:space="preserve">icence fees for Houses in Multiple Occupation </w:t>
      </w:r>
      <w:r w:rsidR="007462A8">
        <w:rPr>
          <w:color w:val="auto"/>
        </w:rPr>
        <w:tab/>
      </w:r>
      <w:r w:rsidR="003762D7">
        <w:rPr>
          <w:color w:val="auto"/>
        </w:rPr>
        <w:t>(HMOs)</w:t>
      </w:r>
      <w:r w:rsidR="002E2E78">
        <w:rPr>
          <w:color w:val="auto"/>
        </w:rPr>
        <w:t xml:space="preserve"> have </w:t>
      </w:r>
      <w:r w:rsidR="007462A8">
        <w:rPr>
          <w:color w:val="auto"/>
        </w:rPr>
        <w:t xml:space="preserve">similarly </w:t>
      </w:r>
      <w:r w:rsidR="002E2E78">
        <w:rPr>
          <w:color w:val="auto"/>
        </w:rPr>
        <w:t>been frozen</w:t>
      </w:r>
      <w:r w:rsidR="00240A3A">
        <w:rPr>
          <w:color w:val="auto"/>
        </w:rPr>
        <w:t xml:space="preserve"> given the </w:t>
      </w:r>
      <w:r w:rsidR="0034377A">
        <w:rPr>
          <w:color w:val="auto"/>
        </w:rPr>
        <w:t xml:space="preserve">size of the </w:t>
      </w:r>
      <w:r w:rsidR="00240A3A">
        <w:rPr>
          <w:color w:val="auto"/>
        </w:rPr>
        <w:t xml:space="preserve">balance on the </w:t>
      </w:r>
      <w:r w:rsidR="006F4197">
        <w:rPr>
          <w:color w:val="auto"/>
        </w:rPr>
        <w:t xml:space="preserve">statutory </w:t>
      </w:r>
      <w:r w:rsidR="004143D3">
        <w:rPr>
          <w:color w:val="auto"/>
        </w:rPr>
        <w:t xml:space="preserve">ringfenced </w:t>
      </w:r>
      <w:r w:rsidR="006F4197">
        <w:rPr>
          <w:color w:val="auto"/>
        </w:rPr>
        <w:tab/>
      </w:r>
      <w:r w:rsidR="004143D3">
        <w:rPr>
          <w:color w:val="auto"/>
        </w:rPr>
        <w:t xml:space="preserve">reserve in this area.  </w:t>
      </w:r>
      <w:r w:rsidR="003762D7">
        <w:rPr>
          <w:color w:val="auto"/>
        </w:rPr>
        <w:t xml:space="preserve"> </w:t>
      </w:r>
      <w:r w:rsidR="00B165EF">
        <w:rPr>
          <w:color w:val="auto"/>
        </w:rPr>
        <w:t xml:space="preserve">  </w:t>
      </w:r>
    </w:p>
    <w:p w14:paraId="37F8C773" w14:textId="77777777" w:rsidR="00EC157D" w:rsidRDefault="00EC157D" w:rsidP="00EC157D">
      <w:pPr>
        <w:pStyle w:val="Default"/>
        <w:rPr>
          <w:color w:val="auto"/>
        </w:rPr>
      </w:pPr>
    </w:p>
    <w:p w14:paraId="5BEBE335" w14:textId="0A151227" w:rsidR="00872919" w:rsidRDefault="00774648" w:rsidP="00774648">
      <w:pPr>
        <w:pStyle w:val="Default"/>
        <w:rPr>
          <w:color w:val="auto"/>
        </w:rPr>
      </w:pPr>
      <w:r>
        <w:rPr>
          <w:color w:val="auto"/>
        </w:rPr>
        <w:t>1.</w:t>
      </w:r>
      <w:r w:rsidR="00331652">
        <w:rPr>
          <w:color w:val="auto"/>
        </w:rPr>
        <w:t>4</w:t>
      </w:r>
      <w:r>
        <w:rPr>
          <w:color w:val="auto"/>
        </w:rPr>
        <w:tab/>
      </w:r>
      <w:r w:rsidR="0065598F">
        <w:rPr>
          <w:color w:val="auto"/>
        </w:rPr>
        <w:t>I</w:t>
      </w:r>
      <w:r w:rsidR="0065598F" w:rsidRPr="0065598F">
        <w:rPr>
          <w:color w:val="auto"/>
        </w:rPr>
        <w:t>n accordance with the previous decision of the Transport and Environment Committee</w:t>
      </w:r>
      <w:r w:rsidR="0065598F">
        <w:rPr>
          <w:color w:val="auto"/>
        </w:rPr>
        <w:t>,</w:t>
      </w:r>
      <w:r w:rsidR="0065598F" w:rsidRPr="0065598F">
        <w:rPr>
          <w:color w:val="auto"/>
        </w:rPr>
        <w:t xml:space="preserve"> </w:t>
      </w:r>
      <w:r>
        <w:rPr>
          <w:color w:val="auto"/>
        </w:rPr>
        <w:tab/>
      </w:r>
      <w:r w:rsidR="0065598F">
        <w:rPr>
          <w:color w:val="auto"/>
        </w:rPr>
        <w:t>o</w:t>
      </w:r>
      <w:r w:rsidR="002D7B56">
        <w:rPr>
          <w:color w:val="auto"/>
        </w:rPr>
        <w:t>fficer-recommended i</w:t>
      </w:r>
      <w:r w:rsidR="002C321D" w:rsidRPr="002C321D">
        <w:rPr>
          <w:color w:val="auto"/>
        </w:rPr>
        <w:t xml:space="preserve">ncreases for </w:t>
      </w:r>
      <w:r w:rsidR="002C321D" w:rsidRPr="008B2026">
        <w:rPr>
          <w:b/>
          <w:bCs/>
          <w:color w:val="auto"/>
        </w:rPr>
        <w:t>parking permit-related charges</w:t>
      </w:r>
      <w:r w:rsidR="002C321D" w:rsidRPr="002C321D">
        <w:rPr>
          <w:color w:val="auto"/>
        </w:rPr>
        <w:t xml:space="preserve"> have been determined</w:t>
      </w:r>
      <w:r w:rsidR="001B2417">
        <w:rPr>
          <w:color w:val="auto"/>
        </w:rPr>
        <w:t xml:space="preserve"> </w:t>
      </w:r>
      <w:r>
        <w:rPr>
          <w:color w:val="auto"/>
        </w:rPr>
        <w:tab/>
      </w:r>
      <w:r w:rsidR="002C321D" w:rsidRPr="002C321D">
        <w:rPr>
          <w:color w:val="auto"/>
        </w:rPr>
        <w:t>with reference to the average inflation rate for the period from January to December 202</w:t>
      </w:r>
      <w:r w:rsidR="00331652">
        <w:rPr>
          <w:color w:val="auto"/>
        </w:rPr>
        <w:t>4</w:t>
      </w:r>
      <w:r w:rsidR="002C321D" w:rsidRPr="002C321D">
        <w:rPr>
          <w:color w:val="auto"/>
        </w:rPr>
        <w:t xml:space="preserve"> </w:t>
      </w:r>
      <w:r>
        <w:rPr>
          <w:color w:val="auto"/>
        </w:rPr>
        <w:tab/>
      </w:r>
      <w:r w:rsidR="002C321D" w:rsidRPr="002C321D">
        <w:rPr>
          <w:color w:val="auto"/>
        </w:rPr>
        <w:t>inclusive.</w:t>
      </w:r>
      <w:r w:rsidR="00892529">
        <w:rPr>
          <w:color w:val="auto"/>
        </w:rPr>
        <w:t xml:space="preserve">  </w:t>
      </w:r>
      <w:r w:rsidR="002D7B56">
        <w:rPr>
          <w:color w:val="auto"/>
        </w:rPr>
        <w:t xml:space="preserve">Equivalent </w:t>
      </w:r>
      <w:r w:rsidR="004A508D">
        <w:rPr>
          <w:color w:val="auto"/>
        </w:rPr>
        <w:t xml:space="preserve">proposed </w:t>
      </w:r>
      <w:r w:rsidR="002D7B56">
        <w:rPr>
          <w:color w:val="auto"/>
        </w:rPr>
        <w:t>r</w:t>
      </w:r>
      <w:r w:rsidR="002C321D" w:rsidRPr="002C321D">
        <w:rPr>
          <w:color w:val="auto"/>
        </w:rPr>
        <w:t xml:space="preserve">ates for </w:t>
      </w:r>
      <w:r w:rsidR="002C321D" w:rsidRPr="008B2026">
        <w:rPr>
          <w:b/>
          <w:bCs/>
          <w:color w:val="auto"/>
        </w:rPr>
        <w:t>pay and display parking</w:t>
      </w:r>
      <w:r w:rsidR="002C321D" w:rsidRPr="002C321D">
        <w:rPr>
          <w:color w:val="auto"/>
        </w:rPr>
        <w:t xml:space="preserve"> have been set to </w:t>
      </w:r>
      <w:r w:rsidR="004A508D">
        <w:rPr>
          <w:color w:val="auto"/>
        </w:rPr>
        <w:tab/>
      </w:r>
      <w:r w:rsidR="002C321D" w:rsidRPr="002C321D">
        <w:rPr>
          <w:color w:val="auto"/>
        </w:rPr>
        <w:t>complement wider</w:t>
      </w:r>
      <w:r w:rsidR="0033604D">
        <w:rPr>
          <w:color w:val="auto"/>
        </w:rPr>
        <w:t xml:space="preserve"> </w:t>
      </w:r>
      <w:r w:rsidR="002C321D" w:rsidRPr="002C321D">
        <w:rPr>
          <w:color w:val="auto"/>
        </w:rPr>
        <w:t>transport policy objectives</w:t>
      </w:r>
      <w:r w:rsidR="00872919">
        <w:rPr>
          <w:color w:val="auto"/>
        </w:rPr>
        <w:t xml:space="preserve"> and</w:t>
      </w:r>
      <w:r w:rsidR="004A508D">
        <w:rPr>
          <w:color w:val="auto"/>
        </w:rPr>
        <w:t xml:space="preserve"> are, in the main, </w:t>
      </w:r>
      <w:r w:rsidR="0033604D">
        <w:rPr>
          <w:color w:val="auto"/>
        </w:rPr>
        <w:t xml:space="preserve">between 10% and 12%.  </w:t>
      </w:r>
    </w:p>
    <w:p w14:paraId="5757A375" w14:textId="3A419310" w:rsidR="00F43449" w:rsidRPr="00F43449" w:rsidRDefault="00DB56E9" w:rsidP="008213D6">
      <w:pPr>
        <w:pStyle w:val="Default"/>
        <w:rPr>
          <w:color w:val="auto"/>
        </w:rPr>
      </w:pPr>
      <w:r>
        <w:rPr>
          <w:color w:val="auto"/>
        </w:rPr>
        <w:t xml:space="preserve">  </w:t>
      </w:r>
      <w:r>
        <w:rPr>
          <w:color w:val="auto"/>
        </w:rPr>
        <w:tab/>
      </w:r>
    </w:p>
    <w:p w14:paraId="2855DB19" w14:textId="53B50C1E" w:rsidR="007657A6" w:rsidRDefault="002D5DE5" w:rsidP="002D5DE5">
      <w:pPr>
        <w:pStyle w:val="Default"/>
      </w:pPr>
      <w:r>
        <w:t>1.</w:t>
      </w:r>
      <w:r w:rsidR="00B15262">
        <w:t>5</w:t>
      </w:r>
      <w:r>
        <w:tab/>
      </w:r>
      <w:r w:rsidR="008213D6">
        <w:t xml:space="preserve">The </w:t>
      </w:r>
      <w:r w:rsidR="00805E78">
        <w:t xml:space="preserve">revenue </w:t>
      </w:r>
      <w:r w:rsidR="008213D6">
        <w:t>b</w:t>
      </w:r>
      <w:r w:rsidR="002E5957">
        <w:t xml:space="preserve">udget update report to the meeting of the Finance and Resources Committee </w:t>
      </w:r>
      <w:r w:rsidR="00805E78">
        <w:tab/>
      </w:r>
      <w:r w:rsidR="002E5957">
        <w:t xml:space="preserve">on </w:t>
      </w:r>
      <w:r w:rsidR="00CA36D1">
        <w:t>4</w:t>
      </w:r>
      <w:r w:rsidR="00805E78">
        <w:t xml:space="preserve"> </w:t>
      </w:r>
      <w:r w:rsidR="002E5957">
        <w:t>February</w:t>
      </w:r>
      <w:r w:rsidR="00CA36D1">
        <w:t xml:space="preserve"> </w:t>
      </w:r>
      <w:r w:rsidR="002E5957">
        <w:t xml:space="preserve">detailed </w:t>
      </w:r>
      <w:r w:rsidR="00CC216F">
        <w:t xml:space="preserve">proposed </w:t>
      </w:r>
      <w:r w:rsidR="003F5B07">
        <w:t xml:space="preserve">charges across </w:t>
      </w:r>
      <w:r w:rsidR="000A32E0">
        <w:t xml:space="preserve">all of those </w:t>
      </w:r>
      <w:r w:rsidR="003F5B07">
        <w:t>area</w:t>
      </w:r>
      <w:r w:rsidR="000A32E0">
        <w:t xml:space="preserve">s </w:t>
      </w:r>
      <w:r w:rsidR="00D344FD">
        <w:t xml:space="preserve">expected to be </w:t>
      </w:r>
      <w:r w:rsidR="004A599E">
        <w:t xml:space="preserve">available </w:t>
      </w:r>
      <w:r w:rsidR="00805E78">
        <w:tab/>
      </w:r>
      <w:r w:rsidR="004A599E">
        <w:t>as of the time of budget-setting</w:t>
      </w:r>
      <w:r w:rsidR="00F37767">
        <w:t xml:space="preserve"> on 2</w:t>
      </w:r>
      <w:r w:rsidR="00CA36D1">
        <w:t xml:space="preserve">0 </w:t>
      </w:r>
      <w:r w:rsidR="00F37767">
        <w:t>February</w:t>
      </w:r>
      <w:r w:rsidR="00A34A9F">
        <w:t xml:space="preserve">, with a consolidated list also circulated to </w:t>
      </w:r>
      <w:r w:rsidR="00805E78">
        <w:tab/>
      </w:r>
      <w:r w:rsidR="00A34A9F">
        <w:t xml:space="preserve">members on </w:t>
      </w:r>
      <w:r w:rsidR="00CA36D1">
        <w:t>7</w:t>
      </w:r>
      <w:r w:rsidR="00A34A9F">
        <w:t xml:space="preserve"> February.</w:t>
      </w:r>
      <w:r w:rsidR="007657A6">
        <w:t xml:space="preserve"> </w:t>
      </w:r>
    </w:p>
    <w:p w14:paraId="58838A0E" w14:textId="77777777" w:rsidR="007657A6" w:rsidRDefault="007657A6" w:rsidP="002D5DE5">
      <w:pPr>
        <w:pStyle w:val="Default"/>
      </w:pPr>
    </w:p>
    <w:p w14:paraId="6A955343" w14:textId="366E4D00" w:rsidR="00015690" w:rsidRPr="005F435A" w:rsidRDefault="007657A6" w:rsidP="002D5DE5">
      <w:pPr>
        <w:pStyle w:val="Default"/>
        <w:rPr>
          <w:color w:val="auto"/>
        </w:rPr>
      </w:pPr>
      <w:r>
        <w:t>1.6</w:t>
      </w:r>
      <w:r>
        <w:tab/>
      </w:r>
      <w:r w:rsidRPr="007657A6">
        <w:t xml:space="preserve">As of the time of preparation, charges in a small number of areas remain to be confirmed, </w:t>
      </w:r>
      <w:r>
        <w:tab/>
      </w:r>
      <w:r w:rsidRPr="007657A6">
        <w:t xml:space="preserve">with the main ones being in community access to secondary school sports facilities, where </w:t>
      </w:r>
      <w:r>
        <w:tab/>
      </w:r>
      <w:r w:rsidRPr="007657A6">
        <w:t xml:space="preserve">finalisation of the level of increase is subject to parallel charge approval by Edinburgh </w:t>
      </w:r>
      <w:r>
        <w:tab/>
      </w:r>
      <w:r w:rsidRPr="007657A6">
        <w:t>Leisure given the previously agreed policy of price harmonisation.</w:t>
      </w:r>
      <w:r>
        <w:t xml:space="preserve">  </w:t>
      </w:r>
      <w:r w:rsidRPr="007657A6">
        <w:t xml:space="preserve">Confirmation of </w:t>
      </w:r>
      <w:r>
        <w:tab/>
      </w:r>
      <w:r w:rsidRPr="007657A6">
        <w:t xml:space="preserve">proposed charges in these areas will be communicated to members as they become </w:t>
      </w:r>
      <w:r>
        <w:tab/>
      </w:r>
      <w:r w:rsidRPr="007657A6">
        <w:t>available.</w:t>
      </w:r>
      <w:r w:rsidR="00592A57">
        <w:t xml:space="preserve"> </w:t>
      </w:r>
      <w:r w:rsidR="00326AA1">
        <w:t xml:space="preserve">  </w:t>
      </w:r>
      <w:r w:rsidR="005F435A">
        <w:t xml:space="preserve">  </w:t>
      </w:r>
    </w:p>
    <w:p w14:paraId="2FA424A9" w14:textId="77777777" w:rsidR="0055016E" w:rsidRDefault="0055016E" w:rsidP="00B94D00">
      <w:pPr>
        <w:pStyle w:val="Default"/>
        <w:ind w:left="720"/>
        <w:rPr>
          <w:b/>
          <w:bCs/>
        </w:rPr>
      </w:pPr>
    </w:p>
    <w:p w14:paraId="6A499ADA" w14:textId="32CE4E71" w:rsidR="008E180F" w:rsidRPr="00B94D00" w:rsidRDefault="008E180F" w:rsidP="00B94D00">
      <w:pPr>
        <w:pStyle w:val="Default"/>
        <w:ind w:left="720"/>
        <w:rPr>
          <w:b/>
          <w:bCs/>
        </w:rPr>
      </w:pPr>
      <w:r w:rsidRPr="008E180F">
        <w:rPr>
          <w:b/>
          <w:bCs/>
        </w:rPr>
        <w:t xml:space="preserve">Poverty Commission recommendations </w:t>
      </w:r>
    </w:p>
    <w:p w14:paraId="54B80D58" w14:textId="77777777" w:rsidR="00B94D00" w:rsidRPr="008E180F" w:rsidRDefault="00B94D00" w:rsidP="00B94D00">
      <w:pPr>
        <w:pStyle w:val="Default"/>
        <w:ind w:left="720"/>
      </w:pPr>
    </w:p>
    <w:p w14:paraId="24C69A08" w14:textId="19E68309" w:rsidR="008E180F" w:rsidRDefault="00FD103B" w:rsidP="00FD103B">
      <w:pPr>
        <w:pStyle w:val="Default"/>
      </w:pPr>
      <w:r>
        <w:t>1.</w:t>
      </w:r>
      <w:r w:rsidR="008E670C">
        <w:t>7</w:t>
      </w:r>
      <w:r>
        <w:tab/>
      </w:r>
      <w:r w:rsidR="00E860F0">
        <w:t xml:space="preserve">As part of 2023/24’s budget </w:t>
      </w:r>
      <w:r w:rsidR="00F35695">
        <w:t>deliberations</w:t>
      </w:r>
      <w:r w:rsidR="00E860F0">
        <w:t xml:space="preserve">, members asked that consideration be given to the </w:t>
      </w:r>
      <w:r>
        <w:tab/>
      </w:r>
      <w:r w:rsidR="00E860F0">
        <w:t>Poverty Commission’s</w:t>
      </w:r>
      <w:r w:rsidR="009C3A18">
        <w:t xml:space="preserve"> recommendations in this area.  While t</w:t>
      </w:r>
      <w:r w:rsidR="008E180F" w:rsidRPr="008E180F">
        <w:t xml:space="preserve">he Commission did not make </w:t>
      </w:r>
      <w:r>
        <w:tab/>
      </w:r>
      <w:r w:rsidR="008E180F" w:rsidRPr="008E180F">
        <w:t xml:space="preserve">any particular calls to action that relate to the fees and charges that are the specific subject </w:t>
      </w:r>
      <w:r>
        <w:tab/>
      </w:r>
      <w:r w:rsidR="008E180F" w:rsidRPr="008E180F">
        <w:t>of Council’s decision</w:t>
      </w:r>
      <w:r w:rsidR="009C3A18">
        <w:t xml:space="preserve">, it </w:t>
      </w:r>
      <w:r w:rsidR="008E180F" w:rsidRPr="008E180F">
        <w:t>did ask the Council and all community planning partners to consider</w:t>
      </w:r>
      <w:r>
        <w:tab/>
      </w:r>
      <w:r w:rsidR="008E180F" w:rsidRPr="008E180F">
        <w:t>the impact their budget decisions might have on people affected by poverty.</w:t>
      </w:r>
    </w:p>
    <w:p w14:paraId="63331210" w14:textId="77777777" w:rsidR="00C212DD" w:rsidRPr="008E180F" w:rsidRDefault="00C212DD" w:rsidP="00C212DD">
      <w:pPr>
        <w:pStyle w:val="Default"/>
        <w:ind w:left="720"/>
      </w:pPr>
    </w:p>
    <w:p w14:paraId="720FE08C" w14:textId="3AE35D94" w:rsidR="008E180F" w:rsidRPr="008E180F" w:rsidRDefault="00FD103B" w:rsidP="008810B6">
      <w:pPr>
        <w:pStyle w:val="Default"/>
        <w:ind w:left="567" w:hanging="567"/>
        <w:rPr>
          <w:rFonts w:eastAsia="Times New Roman"/>
          <w:lang w:eastAsia="en-GB"/>
        </w:rPr>
      </w:pPr>
      <w:r>
        <w:lastRenderedPageBreak/>
        <w:t>1.</w:t>
      </w:r>
      <w:r w:rsidR="005448BB">
        <w:t>8</w:t>
      </w:r>
      <w:r>
        <w:tab/>
      </w:r>
      <w:r w:rsidR="008810B6">
        <w:tab/>
      </w:r>
      <w:r w:rsidR="008E180F" w:rsidRPr="008E180F">
        <w:t xml:space="preserve">One potential way of undertaking this assessment is application of the Scottish Parliament </w:t>
      </w:r>
      <w:r>
        <w:tab/>
      </w:r>
      <w:r w:rsidR="008E180F" w:rsidRPr="008E180F">
        <w:t xml:space="preserve">Information Centre (SPICe)/Joseph Rowntree Foundation framework which sought to assess </w:t>
      </w:r>
      <w:r>
        <w:tab/>
      </w:r>
      <w:r w:rsidR="008E180F" w:rsidRPr="008E180F">
        <w:t xml:space="preserve">the impact of local authorities’ savings plans on services used more by better-off groups of </w:t>
      </w:r>
      <w:r>
        <w:tab/>
      </w:r>
      <w:r w:rsidR="008E180F" w:rsidRPr="008E180F">
        <w:t>people or poorer groups of people. The framework classified council services into si</w:t>
      </w:r>
      <w:r w:rsidR="005B3E6F">
        <w:t>x</w:t>
      </w:r>
      <w:r w:rsidR="008810B6">
        <w:t xml:space="preserve"> </w:t>
      </w:r>
      <w:r w:rsidR="008810B6">
        <w:tab/>
        <w:t>c</w:t>
      </w:r>
      <w:r w:rsidR="008E180F" w:rsidRPr="008E180F">
        <w:t xml:space="preserve">ategories on a scale between "Pro-Rich" and "Very Pro-Poor”, a summary of which is </w:t>
      </w:r>
      <w:r w:rsidR="00313D92">
        <w:tab/>
      </w:r>
      <w:r w:rsidR="008E180F" w:rsidRPr="008E180F">
        <w:t xml:space="preserve">provided below. </w:t>
      </w:r>
      <w:r w:rsidR="008E180F" w:rsidRPr="008E180F">
        <w:rPr>
          <w:rFonts w:eastAsia="Times New Roman"/>
          <w:noProof/>
          <w:lang w:eastAsia="en-GB"/>
        </w:rPr>
        <w:drawing>
          <wp:inline distT="0" distB="0" distL="0" distR="0" wp14:anchorId="28711B53" wp14:editId="264BB5F9">
            <wp:extent cx="5513684" cy="257175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513684" cy="2571750"/>
                    </a:xfrm>
                    <a:prstGeom prst="rect">
                      <a:avLst/>
                    </a:prstGeom>
                    <a:noFill/>
                    <a:ln>
                      <a:noFill/>
                    </a:ln>
                  </pic:spPr>
                </pic:pic>
              </a:graphicData>
            </a:graphic>
          </wp:inline>
        </w:drawing>
      </w:r>
    </w:p>
    <w:p w14:paraId="66264B2D" w14:textId="24E69E0D" w:rsidR="008E180F" w:rsidRPr="008E180F" w:rsidRDefault="008810B6" w:rsidP="008810B6">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005448BB">
        <w:rPr>
          <w:rFonts w:ascii="Arial" w:eastAsia="Times New Roman" w:hAnsi="Arial" w:cs="Arial"/>
          <w:sz w:val="24"/>
          <w:szCs w:val="24"/>
          <w:lang w:eastAsia="en-GB"/>
        </w:rPr>
        <w:t>9</w:t>
      </w:r>
      <w:r>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 xml:space="preserve">It is important to emphasise that this framework was developed from the perspective of those </w:t>
      </w:r>
      <w:r>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 xml:space="preserve">using these services at a general level and not specifically in the context of fees and charges </w:t>
      </w:r>
      <w:r>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 xml:space="preserve">being levied, albeit the underlying principles and categorisations may still have some </w:t>
      </w:r>
      <w:r>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 xml:space="preserve">relevance.  It is also </w:t>
      </w:r>
      <w:r w:rsidR="00FA13FE">
        <w:rPr>
          <w:rFonts w:ascii="Arial" w:eastAsia="Times New Roman" w:hAnsi="Arial" w:cs="Arial"/>
          <w:sz w:val="24"/>
          <w:szCs w:val="24"/>
          <w:lang w:eastAsia="en-GB"/>
        </w:rPr>
        <w:t>worth bearing in mind</w:t>
      </w:r>
      <w:r w:rsidR="008E180F" w:rsidRPr="008E180F">
        <w:rPr>
          <w:rFonts w:ascii="Arial" w:eastAsia="Times New Roman" w:hAnsi="Arial" w:cs="Arial"/>
          <w:sz w:val="24"/>
          <w:szCs w:val="24"/>
          <w:lang w:eastAsia="en-GB"/>
        </w:rPr>
        <w:t xml:space="preserve"> that in a significant number of cases, a framework </w:t>
      </w:r>
      <w:r w:rsidR="00FA13FE">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 xml:space="preserve">of concessionary and reduced charges is already in place, with other charges, particularly in </w:t>
      </w:r>
      <w:r w:rsidR="00FA13FE">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 xml:space="preserve">the area of health and social care, subject to means testing.  </w:t>
      </w:r>
    </w:p>
    <w:p w14:paraId="36CED4DE" w14:textId="05057F6E" w:rsidR="00911BF5" w:rsidRDefault="008810B6" w:rsidP="008810B6">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005448BB">
        <w:rPr>
          <w:rFonts w:ascii="Arial" w:eastAsia="Times New Roman" w:hAnsi="Arial" w:cs="Arial"/>
          <w:sz w:val="24"/>
          <w:szCs w:val="24"/>
          <w:lang w:eastAsia="en-GB"/>
        </w:rPr>
        <w:t>10</w:t>
      </w:r>
      <w:r>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Given the timescales within which these charges</w:t>
      </w:r>
      <w:r w:rsidR="00814AE4">
        <w:rPr>
          <w:rFonts w:ascii="Arial" w:eastAsia="Times New Roman" w:hAnsi="Arial" w:cs="Arial"/>
          <w:sz w:val="24"/>
          <w:szCs w:val="24"/>
          <w:lang w:eastAsia="en-GB"/>
        </w:rPr>
        <w:t xml:space="preserve"> </w:t>
      </w:r>
      <w:r w:rsidR="006C1CD4">
        <w:rPr>
          <w:rFonts w:ascii="Arial" w:eastAsia="Times New Roman" w:hAnsi="Arial" w:cs="Arial"/>
          <w:sz w:val="24"/>
          <w:szCs w:val="24"/>
          <w:lang w:eastAsia="en-GB"/>
        </w:rPr>
        <w:t xml:space="preserve">now </w:t>
      </w:r>
      <w:r w:rsidR="008E180F" w:rsidRPr="008E180F">
        <w:rPr>
          <w:rFonts w:ascii="Arial" w:eastAsia="Times New Roman" w:hAnsi="Arial" w:cs="Arial"/>
          <w:sz w:val="24"/>
          <w:szCs w:val="24"/>
          <w:lang w:eastAsia="en-GB"/>
        </w:rPr>
        <w:t>require to be set</w:t>
      </w:r>
      <w:r w:rsidR="000962F9">
        <w:rPr>
          <w:rFonts w:ascii="Arial" w:eastAsia="Times New Roman" w:hAnsi="Arial" w:cs="Arial"/>
          <w:sz w:val="24"/>
          <w:szCs w:val="24"/>
          <w:lang w:eastAsia="en-GB"/>
        </w:rPr>
        <w:t xml:space="preserve"> for 202</w:t>
      </w:r>
      <w:r w:rsidR="005448BB">
        <w:rPr>
          <w:rFonts w:ascii="Arial" w:eastAsia="Times New Roman" w:hAnsi="Arial" w:cs="Arial"/>
          <w:sz w:val="24"/>
          <w:szCs w:val="24"/>
          <w:lang w:eastAsia="en-GB"/>
        </w:rPr>
        <w:t>5</w:t>
      </w:r>
      <w:r w:rsidR="000962F9">
        <w:rPr>
          <w:rFonts w:ascii="Arial" w:eastAsia="Times New Roman" w:hAnsi="Arial" w:cs="Arial"/>
          <w:sz w:val="24"/>
          <w:szCs w:val="24"/>
          <w:lang w:eastAsia="en-GB"/>
        </w:rPr>
        <w:t>/2</w:t>
      </w:r>
      <w:r w:rsidR="005448BB">
        <w:rPr>
          <w:rFonts w:ascii="Arial" w:eastAsia="Times New Roman" w:hAnsi="Arial" w:cs="Arial"/>
          <w:sz w:val="24"/>
          <w:szCs w:val="24"/>
          <w:lang w:eastAsia="en-GB"/>
        </w:rPr>
        <w:t>6</w:t>
      </w:r>
      <w:r w:rsidR="008E180F" w:rsidRPr="008E180F">
        <w:rPr>
          <w:rFonts w:ascii="Arial" w:eastAsia="Times New Roman" w:hAnsi="Arial" w:cs="Arial"/>
          <w:sz w:val="24"/>
          <w:szCs w:val="24"/>
          <w:lang w:eastAsia="en-GB"/>
        </w:rPr>
        <w:t xml:space="preserve">, the </w:t>
      </w:r>
      <w:r w:rsidR="006C1CD4">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 xml:space="preserve">ability to undertake both detailed socio-demographic analysis of the actual users for each of </w:t>
      </w:r>
      <w:r w:rsidR="006C1CD4">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 xml:space="preserve">these services and engagement work to understand </w:t>
      </w:r>
      <w:r w:rsidR="006C1CD4">
        <w:rPr>
          <w:rFonts w:ascii="Arial" w:eastAsia="Times New Roman" w:hAnsi="Arial" w:cs="Arial"/>
          <w:sz w:val="24"/>
          <w:szCs w:val="24"/>
          <w:lang w:eastAsia="en-GB"/>
        </w:rPr>
        <w:t xml:space="preserve">likely </w:t>
      </w:r>
      <w:r w:rsidR="008E180F" w:rsidRPr="008E180F">
        <w:rPr>
          <w:rFonts w:ascii="Arial" w:eastAsia="Times New Roman" w:hAnsi="Arial" w:cs="Arial"/>
          <w:sz w:val="24"/>
          <w:szCs w:val="24"/>
          <w:lang w:eastAsia="en-GB"/>
        </w:rPr>
        <w:t>impacts better is limited</w:t>
      </w:r>
      <w:r w:rsidR="00310561">
        <w:rPr>
          <w:rFonts w:ascii="Arial" w:eastAsia="Times New Roman" w:hAnsi="Arial" w:cs="Arial"/>
          <w:sz w:val="24"/>
          <w:szCs w:val="24"/>
          <w:lang w:eastAsia="en-GB"/>
        </w:rPr>
        <w:t xml:space="preserve">, albeit in </w:t>
      </w:r>
      <w:r w:rsidR="00FA6945">
        <w:rPr>
          <w:rFonts w:ascii="Arial" w:eastAsia="Times New Roman" w:hAnsi="Arial" w:cs="Arial"/>
          <w:sz w:val="24"/>
          <w:szCs w:val="24"/>
          <w:lang w:eastAsia="en-GB"/>
        </w:rPr>
        <w:tab/>
      </w:r>
      <w:r w:rsidR="00446A77">
        <w:rPr>
          <w:rFonts w:ascii="Arial" w:eastAsia="Times New Roman" w:hAnsi="Arial" w:cs="Arial"/>
          <w:sz w:val="24"/>
          <w:szCs w:val="24"/>
          <w:lang w:eastAsia="en-GB"/>
        </w:rPr>
        <w:t>some</w:t>
      </w:r>
      <w:r w:rsidR="00310561">
        <w:rPr>
          <w:rFonts w:ascii="Arial" w:eastAsia="Times New Roman" w:hAnsi="Arial" w:cs="Arial"/>
          <w:sz w:val="24"/>
          <w:szCs w:val="24"/>
          <w:lang w:eastAsia="en-GB"/>
        </w:rPr>
        <w:t xml:space="preserve"> cases proposals brought forward have t</w:t>
      </w:r>
      <w:r w:rsidR="00A67F30">
        <w:rPr>
          <w:rFonts w:ascii="Arial" w:eastAsia="Times New Roman" w:hAnsi="Arial" w:cs="Arial"/>
          <w:sz w:val="24"/>
          <w:szCs w:val="24"/>
          <w:lang w:eastAsia="en-GB"/>
        </w:rPr>
        <w:t xml:space="preserve">aken </w:t>
      </w:r>
      <w:r w:rsidR="00446A77">
        <w:rPr>
          <w:rFonts w:ascii="Arial" w:eastAsia="Times New Roman" w:hAnsi="Arial" w:cs="Arial"/>
          <w:sz w:val="24"/>
          <w:szCs w:val="24"/>
          <w:lang w:eastAsia="en-GB"/>
        </w:rPr>
        <w:t xml:space="preserve">implicit </w:t>
      </w:r>
      <w:r w:rsidR="00A67F30">
        <w:rPr>
          <w:rFonts w:ascii="Arial" w:eastAsia="Times New Roman" w:hAnsi="Arial" w:cs="Arial"/>
          <w:sz w:val="24"/>
          <w:szCs w:val="24"/>
          <w:lang w:eastAsia="en-GB"/>
        </w:rPr>
        <w:t xml:space="preserve">consideration of these </w:t>
      </w:r>
      <w:r w:rsidR="00BB1FBE">
        <w:rPr>
          <w:rFonts w:ascii="Arial" w:eastAsia="Times New Roman" w:hAnsi="Arial" w:cs="Arial"/>
          <w:sz w:val="24"/>
          <w:szCs w:val="24"/>
          <w:lang w:eastAsia="en-GB"/>
        </w:rPr>
        <w:t xml:space="preserve">anticipated </w:t>
      </w:r>
      <w:r w:rsidR="00BB1FBE">
        <w:rPr>
          <w:rFonts w:ascii="Arial" w:eastAsia="Times New Roman" w:hAnsi="Arial" w:cs="Arial"/>
          <w:sz w:val="24"/>
          <w:szCs w:val="24"/>
          <w:lang w:eastAsia="en-GB"/>
        </w:rPr>
        <w:tab/>
      </w:r>
      <w:r w:rsidR="00A67F30">
        <w:rPr>
          <w:rFonts w:ascii="Arial" w:eastAsia="Times New Roman" w:hAnsi="Arial" w:cs="Arial"/>
          <w:sz w:val="24"/>
          <w:szCs w:val="24"/>
          <w:lang w:eastAsia="en-GB"/>
        </w:rPr>
        <w:t>impacts</w:t>
      </w:r>
      <w:r w:rsidR="00BB1FBE">
        <w:rPr>
          <w:rFonts w:ascii="Arial" w:eastAsia="Times New Roman" w:hAnsi="Arial" w:cs="Arial"/>
          <w:sz w:val="24"/>
          <w:szCs w:val="24"/>
          <w:lang w:eastAsia="en-GB"/>
        </w:rPr>
        <w:t xml:space="preserve">.  </w:t>
      </w:r>
      <w:r w:rsidR="00AC6B15">
        <w:rPr>
          <w:rFonts w:ascii="Arial" w:eastAsia="Times New Roman" w:hAnsi="Arial" w:cs="Arial"/>
          <w:sz w:val="24"/>
          <w:szCs w:val="24"/>
          <w:lang w:eastAsia="en-GB"/>
        </w:rPr>
        <w:t xml:space="preserve">The need to deepen this understanding is acknowledged and will be taken forward </w:t>
      </w:r>
      <w:r w:rsidR="00BB1FBE">
        <w:rPr>
          <w:rFonts w:ascii="Arial" w:eastAsia="Times New Roman" w:hAnsi="Arial" w:cs="Arial"/>
          <w:sz w:val="24"/>
          <w:szCs w:val="24"/>
          <w:lang w:eastAsia="en-GB"/>
        </w:rPr>
        <w:tab/>
      </w:r>
      <w:r w:rsidR="00446A77">
        <w:rPr>
          <w:rFonts w:ascii="Arial" w:eastAsia="Times New Roman" w:hAnsi="Arial" w:cs="Arial"/>
          <w:sz w:val="24"/>
          <w:szCs w:val="24"/>
          <w:lang w:eastAsia="en-GB"/>
        </w:rPr>
        <w:t xml:space="preserve">as part of the </w:t>
      </w:r>
      <w:r w:rsidR="00FC51D1">
        <w:rPr>
          <w:rFonts w:ascii="Arial" w:eastAsia="Times New Roman" w:hAnsi="Arial" w:cs="Arial"/>
          <w:sz w:val="24"/>
          <w:szCs w:val="24"/>
          <w:lang w:eastAsia="en-GB"/>
        </w:rPr>
        <w:t xml:space="preserve">budget process, alongside parallel development of areas such as gender </w:t>
      </w:r>
      <w:r w:rsidR="006704A6">
        <w:rPr>
          <w:rFonts w:ascii="Arial" w:eastAsia="Times New Roman" w:hAnsi="Arial" w:cs="Arial"/>
          <w:sz w:val="24"/>
          <w:szCs w:val="24"/>
          <w:lang w:eastAsia="en-GB"/>
        </w:rPr>
        <w:tab/>
      </w:r>
      <w:r w:rsidR="00FC51D1">
        <w:rPr>
          <w:rFonts w:ascii="Arial" w:eastAsia="Times New Roman" w:hAnsi="Arial" w:cs="Arial"/>
          <w:sz w:val="24"/>
          <w:szCs w:val="24"/>
          <w:lang w:eastAsia="en-GB"/>
        </w:rPr>
        <w:t>budgeting.</w:t>
      </w:r>
      <w:r w:rsidR="006704A6">
        <w:rPr>
          <w:rFonts w:ascii="Arial" w:eastAsia="Times New Roman" w:hAnsi="Arial" w:cs="Arial"/>
          <w:sz w:val="24"/>
          <w:szCs w:val="24"/>
          <w:lang w:eastAsia="en-GB"/>
        </w:rPr>
        <w:t xml:space="preserve">  </w:t>
      </w:r>
    </w:p>
    <w:p w14:paraId="661EE1F9" w14:textId="72A51F87" w:rsidR="008E180F" w:rsidRPr="008E180F" w:rsidRDefault="00911BF5" w:rsidP="008810B6">
      <w:pPr>
        <w:spacing w:after="24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0078026E">
        <w:rPr>
          <w:rFonts w:ascii="Arial" w:eastAsia="Times New Roman" w:hAnsi="Arial" w:cs="Arial"/>
          <w:sz w:val="24"/>
          <w:szCs w:val="24"/>
          <w:lang w:eastAsia="en-GB"/>
        </w:rPr>
        <w:t>1</w:t>
      </w:r>
      <w:r w:rsidR="00164311">
        <w:rPr>
          <w:rFonts w:ascii="Arial" w:eastAsia="Times New Roman" w:hAnsi="Arial" w:cs="Arial"/>
          <w:sz w:val="24"/>
          <w:szCs w:val="24"/>
          <w:lang w:eastAsia="en-GB"/>
        </w:rPr>
        <w:t>1</w:t>
      </w:r>
      <w:r>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Th</w:t>
      </w:r>
      <w:r>
        <w:rPr>
          <w:rFonts w:ascii="Arial" w:eastAsia="Times New Roman" w:hAnsi="Arial" w:cs="Arial"/>
          <w:sz w:val="24"/>
          <w:szCs w:val="24"/>
          <w:lang w:eastAsia="en-GB"/>
        </w:rPr>
        <w:t>ese points</w:t>
      </w:r>
      <w:r w:rsidR="008E180F" w:rsidRPr="008E180F">
        <w:rPr>
          <w:rFonts w:ascii="Arial" w:eastAsia="Times New Roman" w:hAnsi="Arial" w:cs="Arial"/>
          <w:sz w:val="24"/>
          <w:szCs w:val="24"/>
          <w:lang w:eastAsia="en-GB"/>
        </w:rPr>
        <w:t xml:space="preserve"> notwithstanding, the following general points are suggested for</w:t>
      </w:r>
      <w:r w:rsidR="00455E21">
        <w:rPr>
          <w:rFonts w:ascii="Arial" w:eastAsia="Times New Roman" w:hAnsi="Arial" w:cs="Arial"/>
          <w:sz w:val="24"/>
          <w:szCs w:val="24"/>
          <w:lang w:eastAsia="en-GB"/>
        </w:rPr>
        <w:t xml:space="preserve"> </w:t>
      </w:r>
      <w:r w:rsidR="00455E21">
        <w:rPr>
          <w:rFonts w:ascii="Arial" w:eastAsia="Times New Roman" w:hAnsi="Arial" w:cs="Arial"/>
          <w:sz w:val="24"/>
          <w:szCs w:val="24"/>
          <w:lang w:eastAsia="en-GB"/>
        </w:rPr>
        <w:tab/>
      </w:r>
      <w:r w:rsidR="008E180F" w:rsidRPr="008E180F">
        <w:rPr>
          <w:rFonts w:ascii="Arial" w:eastAsia="Times New Roman" w:hAnsi="Arial" w:cs="Arial"/>
          <w:sz w:val="24"/>
          <w:szCs w:val="24"/>
          <w:lang w:eastAsia="en-GB"/>
        </w:rPr>
        <w:t>consideration</w:t>
      </w:r>
      <w:r w:rsidR="00D51BEE">
        <w:rPr>
          <w:rFonts w:ascii="Arial" w:eastAsia="Times New Roman" w:hAnsi="Arial" w:cs="Arial"/>
          <w:sz w:val="24"/>
          <w:szCs w:val="24"/>
          <w:lang w:eastAsia="en-GB"/>
        </w:rPr>
        <w:t xml:space="preserve"> in respect of 202</w:t>
      </w:r>
      <w:r w:rsidR="00CA242A">
        <w:rPr>
          <w:rFonts w:ascii="Arial" w:eastAsia="Times New Roman" w:hAnsi="Arial" w:cs="Arial"/>
          <w:sz w:val="24"/>
          <w:szCs w:val="24"/>
          <w:lang w:eastAsia="en-GB"/>
        </w:rPr>
        <w:t>5</w:t>
      </w:r>
      <w:r w:rsidR="00D51BEE">
        <w:rPr>
          <w:rFonts w:ascii="Arial" w:eastAsia="Times New Roman" w:hAnsi="Arial" w:cs="Arial"/>
          <w:sz w:val="24"/>
          <w:szCs w:val="24"/>
          <w:lang w:eastAsia="en-GB"/>
        </w:rPr>
        <w:t>/2</w:t>
      </w:r>
      <w:r w:rsidR="00CA242A">
        <w:rPr>
          <w:rFonts w:ascii="Arial" w:eastAsia="Times New Roman" w:hAnsi="Arial" w:cs="Arial"/>
          <w:sz w:val="24"/>
          <w:szCs w:val="24"/>
          <w:lang w:eastAsia="en-GB"/>
        </w:rPr>
        <w:t>6</w:t>
      </w:r>
      <w:r w:rsidR="00D51BEE">
        <w:rPr>
          <w:rFonts w:ascii="Arial" w:eastAsia="Times New Roman" w:hAnsi="Arial" w:cs="Arial"/>
          <w:sz w:val="24"/>
          <w:szCs w:val="24"/>
          <w:lang w:eastAsia="en-GB"/>
        </w:rPr>
        <w:t>’s budget</w:t>
      </w:r>
      <w:r w:rsidR="008E180F" w:rsidRPr="008E180F">
        <w:rPr>
          <w:rFonts w:ascii="Arial" w:eastAsia="Times New Roman" w:hAnsi="Arial" w:cs="Arial"/>
          <w:sz w:val="24"/>
          <w:szCs w:val="24"/>
          <w:lang w:eastAsia="en-GB"/>
        </w:rPr>
        <w:t xml:space="preserve">:   </w:t>
      </w:r>
    </w:p>
    <w:p w14:paraId="49D00B7C" w14:textId="4FCFB040" w:rsidR="008E180F" w:rsidRPr="008E180F" w:rsidRDefault="008E180F" w:rsidP="00EC157D">
      <w:pPr>
        <w:numPr>
          <w:ilvl w:val="1"/>
          <w:numId w:val="7"/>
        </w:numPr>
        <w:spacing w:after="0" w:line="240" w:lineRule="auto"/>
        <w:rPr>
          <w:rFonts w:ascii="Arial" w:eastAsia="Times New Roman" w:hAnsi="Arial" w:cs="Arial"/>
          <w:sz w:val="24"/>
          <w:szCs w:val="24"/>
        </w:rPr>
      </w:pPr>
      <w:r w:rsidRPr="008E180F">
        <w:rPr>
          <w:rFonts w:ascii="Arial" w:eastAsia="Times New Roman" w:hAnsi="Arial" w:cs="Arial"/>
          <w:sz w:val="24"/>
          <w:szCs w:val="24"/>
        </w:rPr>
        <w:t xml:space="preserve">any increases in charges for </w:t>
      </w:r>
      <w:r w:rsidRPr="008E180F">
        <w:rPr>
          <w:rFonts w:ascii="Arial" w:eastAsia="Times New Roman" w:hAnsi="Arial" w:cs="Arial"/>
          <w:b/>
          <w:bCs/>
          <w:sz w:val="24"/>
          <w:szCs w:val="24"/>
        </w:rPr>
        <w:t>parking</w:t>
      </w:r>
      <w:r w:rsidRPr="008E180F">
        <w:rPr>
          <w:rFonts w:ascii="Arial" w:eastAsia="Times New Roman" w:hAnsi="Arial" w:cs="Arial"/>
          <w:sz w:val="24"/>
          <w:szCs w:val="24"/>
        </w:rPr>
        <w:t xml:space="preserve"> and </w:t>
      </w:r>
      <w:r w:rsidRPr="008E180F">
        <w:rPr>
          <w:rFonts w:ascii="Arial" w:eastAsia="Times New Roman" w:hAnsi="Arial" w:cs="Arial"/>
          <w:b/>
          <w:bCs/>
          <w:sz w:val="24"/>
          <w:szCs w:val="24"/>
        </w:rPr>
        <w:t>museums and galleries</w:t>
      </w:r>
      <w:r w:rsidRPr="008E180F">
        <w:rPr>
          <w:rFonts w:ascii="Arial" w:eastAsia="Times New Roman" w:hAnsi="Arial" w:cs="Arial"/>
          <w:sz w:val="24"/>
          <w:szCs w:val="24"/>
        </w:rPr>
        <w:t xml:space="preserve"> are likely to have a relatively lower impact on poorer communities</w:t>
      </w:r>
      <w:r w:rsidR="00E91EB9">
        <w:rPr>
          <w:rFonts w:ascii="Arial" w:eastAsia="Times New Roman" w:hAnsi="Arial" w:cs="Arial"/>
          <w:sz w:val="24"/>
          <w:szCs w:val="24"/>
        </w:rPr>
        <w:t xml:space="preserve">.  The budget framework assumes increases in </w:t>
      </w:r>
      <w:r w:rsidR="00727B0F">
        <w:rPr>
          <w:rFonts w:ascii="Arial" w:eastAsia="Times New Roman" w:hAnsi="Arial" w:cs="Arial"/>
          <w:sz w:val="24"/>
          <w:szCs w:val="24"/>
        </w:rPr>
        <w:t xml:space="preserve">on-street car parking charges of </w:t>
      </w:r>
      <w:r w:rsidR="00536075">
        <w:rPr>
          <w:rFonts w:ascii="Arial" w:eastAsia="Times New Roman" w:hAnsi="Arial" w:cs="Arial"/>
          <w:sz w:val="24"/>
          <w:szCs w:val="24"/>
        </w:rPr>
        <w:t>between 10% and 12%</w:t>
      </w:r>
      <w:r w:rsidR="00727B0F">
        <w:rPr>
          <w:rFonts w:ascii="Arial" w:eastAsia="Times New Roman" w:hAnsi="Arial" w:cs="Arial"/>
          <w:sz w:val="24"/>
          <w:szCs w:val="24"/>
        </w:rPr>
        <w:t>, with the equivalent increase for parking permits bei</w:t>
      </w:r>
      <w:r w:rsidR="00DE3BB6">
        <w:rPr>
          <w:rFonts w:ascii="Arial" w:eastAsia="Times New Roman" w:hAnsi="Arial" w:cs="Arial"/>
          <w:sz w:val="24"/>
          <w:szCs w:val="24"/>
        </w:rPr>
        <w:t>ng between 3</w:t>
      </w:r>
      <w:r w:rsidR="00727B0F">
        <w:rPr>
          <w:rFonts w:ascii="Arial" w:eastAsia="Times New Roman" w:hAnsi="Arial" w:cs="Arial"/>
          <w:sz w:val="24"/>
          <w:szCs w:val="24"/>
        </w:rPr>
        <w:t>%</w:t>
      </w:r>
      <w:r w:rsidR="00DE3BB6">
        <w:rPr>
          <w:rFonts w:ascii="Arial" w:eastAsia="Times New Roman" w:hAnsi="Arial" w:cs="Arial"/>
          <w:sz w:val="24"/>
          <w:szCs w:val="24"/>
        </w:rPr>
        <w:t xml:space="preserve"> and 7%</w:t>
      </w:r>
      <w:r w:rsidR="00727B0F">
        <w:rPr>
          <w:rFonts w:ascii="Arial" w:eastAsia="Times New Roman" w:hAnsi="Arial" w:cs="Arial"/>
          <w:sz w:val="24"/>
          <w:szCs w:val="24"/>
        </w:rPr>
        <w:t>, depending on vehicle type</w:t>
      </w:r>
      <w:r w:rsidR="002667E7">
        <w:rPr>
          <w:rFonts w:ascii="Arial" w:eastAsia="Times New Roman" w:hAnsi="Arial" w:cs="Arial"/>
          <w:sz w:val="24"/>
          <w:szCs w:val="24"/>
        </w:rPr>
        <w:t xml:space="preserve">.  </w:t>
      </w:r>
      <w:r w:rsidR="002667E7" w:rsidRPr="002667E7">
        <w:rPr>
          <w:rFonts w:ascii="Arial" w:eastAsia="Times New Roman" w:hAnsi="Arial" w:cs="Arial"/>
          <w:sz w:val="24"/>
          <w:szCs w:val="24"/>
        </w:rPr>
        <w:t>Links to relevant integrated impact analyses are included later in this briefing</w:t>
      </w:r>
      <w:r w:rsidRPr="008E180F">
        <w:rPr>
          <w:rFonts w:ascii="Arial" w:eastAsia="Times New Roman" w:hAnsi="Arial" w:cs="Arial"/>
          <w:sz w:val="24"/>
          <w:szCs w:val="24"/>
        </w:rPr>
        <w:t>;</w:t>
      </w:r>
    </w:p>
    <w:p w14:paraId="4D5581D1" w14:textId="77777777" w:rsidR="008E180F" w:rsidRPr="008E180F" w:rsidRDefault="008E180F" w:rsidP="008E180F">
      <w:pPr>
        <w:spacing w:after="0" w:line="240" w:lineRule="auto"/>
        <w:ind w:left="1440"/>
        <w:rPr>
          <w:rFonts w:ascii="Arial" w:eastAsia="Times New Roman" w:hAnsi="Arial" w:cs="Arial"/>
          <w:sz w:val="24"/>
          <w:szCs w:val="24"/>
        </w:rPr>
      </w:pPr>
      <w:r w:rsidRPr="008E180F">
        <w:rPr>
          <w:rFonts w:ascii="Arial" w:eastAsia="Times New Roman" w:hAnsi="Arial" w:cs="Arial"/>
          <w:sz w:val="24"/>
          <w:szCs w:val="24"/>
        </w:rPr>
        <w:t xml:space="preserve">  </w:t>
      </w:r>
    </w:p>
    <w:p w14:paraId="64620CBC" w14:textId="77777777" w:rsidR="008E180F" w:rsidRPr="008E180F" w:rsidRDefault="008E180F" w:rsidP="00EC157D">
      <w:pPr>
        <w:numPr>
          <w:ilvl w:val="1"/>
          <w:numId w:val="7"/>
        </w:numPr>
        <w:spacing w:after="0" w:line="240" w:lineRule="auto"/>
        <w:rPr>
          <w:rFonts w:ascii="Arial" w:eastAsia="Times New Roman" w:hAnsi="Arial" w:cs="Arial"/>
          <w:sz w:val="24"/>
          <w:szCs w:val="24"/>
        </w:rPr>
      </w:pPr>
      <w:r w:rsidRPr="008E180F">
        <w:rPr>
          <w:rFonts w:ascii="Arial" w:eastAsia="Times New Roman" w:hAnsi="Arial" w:cs="Arial"/>
          <w:sz w:val="24"/>
          <w:szCs w:val="24"/>
        </w:rPr>
        <w:t xml:space="preserve">increased charges for </w:t>
      </w:r>
      <w:r w:rsidRPr="008E180F">
        <w:rPr>
          <w:rFonts w:ascii="Arial" w:eastAsia="Times New Roman" w:hAnsi="Arial" w:cs="Arial"/>
          <w:b/>
          <w:bCs/>
          <w:sz w:val="24"/>
          <w:szCs w:val="24"/>
        </w:rPr>
        <w:t>licensing</w:t>
      </w:r>
      <w:r w:rsidRPr="008E180F">
        <w:rPr>
          <w:rFonts w:ascii="Arial" w:eastAsia="Times New Roman" w:hAnsi="Arial" w:cs="Arial"/>
          <w:sz w:val="24"/>
          <w:szCs w:val="24"/>
        </w:rPr>
        <w:t xml:space="preserve">, </w:t>
      </w:r>
      <w:r w:rsidRPr="008E180F">
        <w:rPr>
          <w:rFonts w:ascii="Arial" w:eastAsia="Times New Roman" w:hAnsi="Arial" w:cs="Arial"/>
          <w:b/>
          <w:bCs/>
          <w:sz w:val="24"/>
          <w:szCs w:val="24"/>
        </w:rPr>
        <w:t>planning</w:t>
      </w:r>
      <w:r w:rsidRPr="008E180F">
        <w:rPr>
          <w:rFonts w:ascii="Arial" w:eastAsia="Times New Roman" w:hAnsi="Arial" w:cs="Arial"/>
          <w:sz w:val="24"/>
          <w:szCs w:val="24"/>
        </w:rPr>
        <w:t xml:space="preserve"> and </w:t>
      </w:r>
      <w:r w:rsidRPr="008E180F">
        <w:rPr>
          <w:rFonts w:ascii="Arial" w:eastAsia="Times New Roman" w:hAnsi="Arial" w:cs="Arial"/>
          <w:b/>
          <w:bCs/>
          <w:sz w:val="24"/>
          <w:szCs w:val="24"/>
        </w:rPr>
        <w:t>venue hire</w:t>
      </w:r>
      <w:r w:rsidRPr="008E180F">
        <w:rPr>
          <w:rFonts w:ascii="Arial" w:eastAsia="Times New Roman" w:hAnsi="Arial" w:cs="Arial"/>
          <w:sz w:val="24"/>
          <w:szCs w:val="24"/>
        </w:rPr>
        <w:t xml:space="preserve"> are likewise expected to have proportionately lower impacts on poorer communities;</w:t>
      </w:r>
    </w:p>
    <w:p w14:paraId="208F7206" w14:textId="77777777" w:rsidR="008E180F" w:rsidRPr="008E180F" w:rsidRDefault="008E180F" w:rsidP="008E180F">
      <w:pPr>
        <w:spacing w:after="0" w:line="240" w:lineRule="auto"/>
        <w:ind w:left="1440"/>
        <w:rPr>
          <w:rFonts w:ascii="Arial" w:eastAsia="Times New Roman" w:hAnsi="Arial" w:cs="Arial"/>
          <w:sz w:val="24"/>
          <w:szCs w:val="24"/>
        </w:rPr>
      </w:pPr>
    </w:p>
    <w:p w14:paraId="3A160EF8" w14:textId="55B1DC13" w:rsidR="008E180F" w:rsidRPr="008E180F" w:rsidRDefault="008E180F" w:rsidP="00EC157D">
      <w:pPr>
        <w:numPr>
          <w:ilvl w:val="1"/>
          <w:numId w:val="7"/>
        </w:numPr>
        <w:spacing w:after="0" w:line="240" w:lineRule="auto"/>
        <w:rPr>
          <w:rFonts w:ascii="Arial" w:eastAsia="Times New Roman" w:hAnsi="Arial" w:cs="Arial"/>
          <w:sz w:val="24"/>
          <w:szCs w:val="24"/>
        </w:rPr>
      </w:pPr>
      <w:r w:rsidRPr="008E180F">
        <w:rPr>
          <w:rFonts w:ascii="Arial" w:eastAsia="Times New Roman" w:hAnsi="Arial" w:cs="Arial"/>
          <w:sz w:val="24"/>
          <w:szCs w:val="24"/>
        </w:rPr>
        <w:t xml:space="preserve">increases in </w:t>
      </w:r>
      <w:r w:rsidRPr="008E180F">
        <w:rPr>
          <w:rFonts w:ascii="Arial" w:eastAsia="Times New Roman" w:hAnsi="Arial" w:cs="Arial"/>
          <w:b/>
          <w:bCs/>
          <w:sz w:val="24"/>
          <w:szCs w:val="24"/>
        </w:rPr>
        <w:t>cultural venue</w:t>
      </w:r>
      <w:r w:rsidRPr="008E180F">
        <w:rPr>
          <w:rFonts w:ascii="Arial" w:eastAsia="Times New Roman" w:hAnsi="Arial" w:cs="Arial"/>
          <w:sz w:val="24"/>
          <w:szCs w:val="24"/>
        </w:rPr>
        <w:t xml:space="preserve"> charges would also be anticipated to have lower impacts on poorer communities and there are already </w:t>
      </w:r>
      <w:r w:rsidR="00EC52D3">
        <w:rPr>
          <w:rFonts w:ascii="Arial" w:eastAsia="Times New Roman" w:hAnsi="Arial" w:cs="Arial"/>
          <w:sz w:val="24"/>
          <w:szCs w:val="24"/>
        </w:rPr>
        <w:t xml:space="preserve">relevant </w:t>
      </w:r>
      <w:r w:rsidRPr="008E180F">
        <w:rPr>
          <w:rFonts w:ascii="Arial" w:eastAsia="Times New Roman" w:hAnsi="Arial" w:cs="Arial"/>
          <w:sz w:val="24"/>
          <w:szCs w:val="24"/>
        </w:rPr>
        <w:t>discounts in place for charitable/community groups</w:t>
      </w:r>
      <w:r w:rsidR="00DE24B7">
        <w:rPr>
          <w:rFonts w:ascii="Arial" w:eastAsia="Times New Roman" w:hAnsi="Arial" w:cs="Arial"/>
          <w:sz w:val="24"/>
          <w:szCs w:val="24"/>
        </w:rPr>
        <w:t xml:space="preserve">.  In addition, as part of the approved budget for 2023/24, a </w:t>
      </w:r>
      <w:r w:rsidR="00126772">
        <w:rPr>
          <w:rFonts w:ascii="Arial" w:eastAsia="Times New Roman" w:hAnsi="Arial" w:cs="Arial"/>
          <w:sz w:val="24"/>
          <w:szCs w:val="24"/>
        </w:rPr>
        <w:t>specific</w:t>
      </w:r>
      <w:r w:rsidR="00392278">
        <w:rPr>
          <w:rFonts w:ascii="Arial" w:eastAsia="Times New Roman" w:hAnsi="Arial" w:cs="Arial"/>
          <w:sz w:val="24"/>
          <w:szCs w:val="24"/>
        </w:rPr>
        <w:t xml:space="preserve"> </w:t>
      </w:r>
      <w:r w:rsidR="00324195">
        <w:rPr>
          <w:rFonts w:ascii="Arial" w:eastAsia="Times New Roman" w:hAnsi="Arial" w:cs="Arial"/>
          <w:sz w:val="24"/>
          <w:szCs w:val="24"/>
        </w:rPr>
        <w:t>recurring £</w:t>
      </w:r>
      <w:r w:rsidR="00E91EB9">
        <w:rPr>
          <w:rFonts w:ascii="Arial" w:eastAsia="Times New Roman" w:hAnsi="Arial" w:cs="Arial"/>
          <w:sz w:val="24"/>
          <w:szCs w:val="24"/>
        </w:rPr>
        <w:t>0.</w:t>
      </w:r>
      <w:r w:rsidR="00324195">
        <w:rPr>
          <w:rFonts w:ascii="Arial" w:eastAsia="Times New Roman" w:hAnsi="Arial" w:cs="Arial"/>
          <w:sz w:val="24"/>
          <w:szCs w:val="24"/>
        </w:rPr>
        <w:t>100</w:t>
      </w:r>
      <w:r w:rsidR="00E91EB9">
        <w:rPr>
          <w:rFonts w:ascii="Arial" w:eastAsia="Times New Roman" w:hAnsi="Arial" w:cs="Arial"/>
          <w:sz w:val="24"/>
          <w:szCs w:val="24"/>
        </w:rPr>
        <w:t>m</w:t>
      </w:r>
      <w:r w:rsidR="00324195">
        <w:rPr>
          <w:rFonts w:ascii="Arial" w:eastAsia="Times New Roman" w:hAnsi="Arial" w:cs="Arial"/>
          <w:sz w:val="24"/>
          <w:szCs w:val="24"/>
        </w:rPr>
        <w:t xml:space="preserve"> </w:t>
      </w:r>
      <w:r w:rsidR="00392278">
        <w:rPr>
          <w:rFonts w:ascii="Arial" w:eastAsia="Times New Roman" w:hAnsi="Arial" w:cs="Arial"/>
          <w:sz w:val="24"/>
          <w:szCs w:val="24"/>
        </w:rPr>
        <w:t xml:space="preserve">Cultural Access Fund was established </w:t>
      </w:r>
      <w:r w:rsidR="00324195">
        <w:rPr>
          <w:rFonts w:ascii="Arial" w:eastAsia="Times New Roman" w:hAnsi="Arial" w:cs="Arial"/>
          <w:sz w:val="24"/>
          <w:szCs w:val="24"/>
        </w:rPr>
        <w:t xml:space="preserve">to </w:t>
      </w:r>
      <w:r w:rsidR="00324195" w:rsidRPr="00324195">
        <w:rPr>
          <w:rFonts w:ascii="Arial" w:eastAsia="Times New Roman" w:hAnsi="Arial" w:cs="Arial"/>
          <w:sz w:val="24"/>
          <w:szCs w:val="24"/>
        </w:rPr>
        <w:t xml:space="preserve">maximise the reach </w:t>
      </w:r>
      <w:r w:rsidR="00EC52D3">
        <w:rPr>
          <w:rFonts w:ascii="Arial" w:eastAsia="Times New Roman" w:hAnsi="Arial" w:cs="Arial"/>
          <w:sz w:val="24"/>
          <w:szCs w:val="24"/>
        </w:rPr>
        <w:t xml:space="preserve">of </w:t>
      </w:r>
      <w:r w:rsidR="00324195" w:rsidRPr="00324195">
        <w:rPr>
          <w:rFonts w:ascii="Arial" w:eastAsia="Times New Roman" w:hAnsi="Arial" w:cs="Arial"/>
          <w:sz w:val="24"/>
          <w:szCs w:val="24"/>
        </w:rPr>
        <w:t>community-led access to cultural and creative programmes and facilities for</w:t>
      </w:r>
      <w:r w:rsidR="00E91EB9">
        <w:rPr>
          <w:rFonts w:ascii="Arial" w:eastAsia="Times New Roman" w:hAnsi="Arial" w:cs="Arial"/>
          <w:sz w:val="24"/>
          <w:szCs w:val="24"/>
        </w:rPr>
        <w:t>,</w:t>
      </w:r>
      <w:r w:rsidR="00324195" w:rsidRPr="00324195">
        <w:rPr>
          <w:rFonts w:ascii="Arial" w:eastAsia="Times New Roman" w:hAnsi="Arial" w:cs="Arial"/>
          <w:sz w:val="24"/>
          <w:szCs w:val="24"/>
        </w:rPr>
        <w:t xml:space="preserve"> and with</w:t>
      </w:r>
      <w:r w:rsidR="00E91EB9">
        <w:rPr>
          <w:rFonts w:ascii="Arial" w:eastAsia="Times New Roman" w:hAnsi="Arial" w:cs="Arial"/>
          <w:sz w:val="24"/>
          <w:szCs w:val="24"/>
        </w:rPr>
        <w:t>,</w:t>
      </w:r>
      <w:r w:rsidR="00324195" w:rsidRPr="00324195">
        <w:rPr>
          <w:rFonts w:ascii="Arial" w:eastAsia="Times New Roman" w:hAnsi="Arial" w:cs="Arial"/>
          <w:sz w:val="24"/>
          <w:szCs w:val="24"/>
        </w:rPr>
        <w:t xml:space="preserve"> participants, creative practitioners, families</w:t>
      </w:r>
      <w:r w:rsidR="001B0658">
        <w:rPr>
          <w:rFonts w:ascii="Arial" w:eastAsia="Times New Roman" w:hAnsi="Arial" w:cs="Arial"/>
          <w:sz w:val="24"/>
          <w:szCs w:val="24"/>
        </w:rPr>
        <w:t xml:space="preserve"> </w:t>
      </w:r>
      <w:r w:rsidR="00324195" w:rsidRPr="00324195">
        <w:rPr>
          <w:rFonts w:ascii="Arial" w:eastAsia="Times New Roman" w:hAnsi="Arial" w:cs="Arial"/>
          <w:sz w:val="24"/>
          <w:szCs w:val="24"/>
        </w:rPr>
        <w:t>and audiences</w:t>
      </w:r>
      <w:r w:rsidR="007317F2">
        <w:rPr>
          <w:rFonts w:ascii="Arial" w:eastAsia="Times New Roman" w:hAnsi="Arial" w:cs="Arial"/>
          <w:sz w:val="24"/>
          <w:szCs w:val="24"/>
        </w:rPr>
        <w:t xml:space="preserve">; </w:t>
      </w:r>
    </w:p>
    <w:p w14:paraId="7B49222C" w14:textId="77777777" w:rsidR="008E180F" w:rsidRPr="008E180F" w:rsidRDefault="008E180F" w:rsidP="008E180F">
      <w:pPr>
        <w:spacing w:after="0" w:line="240" w:lineRule="auto"/>
        <w:ind w:left="1440"/>
        <w:rPr>
          <w:rFonts w:ascii="Arial" w:eastAsia="Times New Roman" w:hAnsi="Arial" w:cs="Arial"/>
          <w:sz w:val="24"/>
          <w:szCs w:val="24"/>
        </w:rPr>
      </w:pPr>
    </w:p>
    <w:p w14:paraId="3FB0E945" w14:textId="07C9549E" w:rsidR="008E180F" w:rsidRPr="008E180F" w:rsidRDefault="002E2609" w:rsidP="00EC157D">
      <w:pPr>
        <w:numPr>
          <w:ilvl w:val="1"/>
          <w:numId w:val="7"/>
        </w:numPr>
        <w:spacing w:after="0" w:line="240" w:lineRule="auto"/>
        <w:rPr>
          <w:rFonts w:ascii="Arial" w:eastAsia="Times New Roman" w:hAnsi="Arial" w:cs="Arial"/>
          <w:sz w:val="24"/>
          <w:szCs w:val="24"/>
        </w:rPr>
      </w:pPr>
      <w:r>
        <w:rPr>
          <w:rFonts w:ascii="Arial" w:eastAsia="Times New Roman" w:hAnsi="Arial" w:cs="Arial"/>
          <w:b/>
          <w:bCs/>
          <w:sz w:val="24"/>
          <w:szCs w:val="24"/>
        </w:rPr>
        <w:lastRenderedPageBreak/>
        <w:t>a</w:t>
      </w:r>
      <w:r w:rsidR="00915149">
        <w:rPr>
          <w:rFonts w:ascii="Arial" w:eastAsia="Times New Roman" w:hAnsi="Arial" w:cs="Arial"/>
          <w:b/>
          <w:bCs/>
          <w:sz w:val="24"/>
          <w:szCs w:val="24"/>
        </w:rPr>
        <w:t xml:space="preserve">n amnesty on </w:t>
      </w:r>
      <w:r w:rsidR="008E180F" w:rsidRPr="008E180F">
        <w:rPr>
          <w:rFonts w:ascii="Arial" w:eastAsia="Times New Roman" w:hAnsi="Arial" w:cs="Arial"/>
          <w:b/>
          <w:bCs/>
          <w:sz w:val="24"/>
          <w:szCs w:val="24"/>
        </w:rPr>
        <w:t xml:space="preserve">overdue library fines </w:t>
      </w:r>
      <w:r w:rsidR="00915149">
        <w:rPr>
          <w:rFonts w:ascii="Arial" w:eastAsia="Times New Roman" w:hAnsi="Arial" w:cs="Arial"/>
          <w:sz w:val="24"/>
          <w:szCs w:val="24"/>
        </w:rPr>
        <w:t>was approved as part of the 2023/24</w:t>
      </w:r>
      <w:r w:rsidR="00276F59">
        <w:rPr>
          <w:rFonts w:ascii="Arial" w:eastAsia="Times New Roman" w:hAnsi="Arial" w:cs="Arial"/>
          <w:sz w:val="24"/>
          <w:szCs w:val="24"/>
        </w:rPr>
        <w:t xml:space="preserve">, with their removal </w:t>
      </w:r>
      <w:r w:rsidR="00695F1A">
        <w:rPr>
          <w:rFonts w:ascii="Arial" w:eastAsia="Times New Roman" w:hAnsi="Arial" w:cs="Arial"/>
          <w:sz w:val="24"/>
          <w:szCs w:val="24"/>
        </w:rPr>
        <w:t>subsequently made permanent</w:t>
      </w:r>
      <w:r w:rsidR="00E91EB9">
        <w:rPr>
          <w:rFonts w:ascii="Arial" w:eastAsia="Times New Roman" w:hAnsi="Arial" w:cs="Arial"/>
          <w:sz w:val="24"/>
          <w:szCs w:val="24"/>
        </w:rPr>
        <w:t xml:space="preserve">.  Library services </w:t>
      </w:r>
      <w:r w:rsidR="008E180F" w:rsidRPr="008E180F">
        <w:rPr>
          <w:rFonts w:ascii="Arial" w:eastAsia="Times New Roman" w:hAnsi="Arial" w:cs="Arial"/>
          <w:sz w:val="24"/>
          <w:szCs w:val="24"/>
        </w:rPr>
        <w:t>are typically seen as ‘neutral</w:t>
      </w:r>
      <w:r w:rsidR="00E91EB9">
        <w:rPr>
          <w:rFonts w:ascii="Arial" w:eastAsia="Times New Roman" w:hAnsi="Arial" w:cs="Arial"/>
          <w:sz w:val="24"/>
          <w:szCs w:val="24"/>
        </w:rPr>
        <w:t>-poor</w:t>
      </w:r>
      <w:r w:rsidR="008E180F" w:rsidRPr="008E180F">
        <w:rPr>
          <w:rFonts w:ascii="Arial" w:eastAsia="Times New Roman" w:hAnsi="Arial" w:cs="Arial"/>
          <w:sz w:val="24"/>
          <w:szCs w:val="24"/>
        </w:rPr>
        <w:t>’ from a poverty impact point of view;</w:t>
      </w:r>
    </w:p>
    <w:p w14:paraId="00F1DC81" w14:textId="77777777" w:rsidR="008E180F" w:rsidRPr="008E180F" w:rsidRDefault="008E180F" w:rsidP="008E180F">
      <w:pPr>
        <w:spacing w:after="0" w:line="240" w:lineRule="auto"/>
        <w:ind w:left="1440"/>
        <w:rPr>
          <w:rFonts w:ascii="Arial" w:eastAsia="Times New Roman" w:hAnsi="Arial" w:cs="Arial"/>
          <w:sz w:val="24"/>
          <w:szCs w:val="24"/>
        </w:rPr>
      </w:pPr>
    </w:p>
    <w:p w14:paraId="59A4EB92" w14:textId="097255D7" w:rsidR="008E180F" w:rsidRPr="00A553F0" w:rsidRDefault="008E180F" w:rsidP="00EC157D">
      <w:pPr>
        <w:numPr>
          <w:ilvl w:val="1"/>
          <w:numId w:val="7"/>
        </w:numPr>
        <w:spacing w:after="0" w:line="240" w:lineRule="auto"/>
        <w:rPr>
          <w:rFonts w:ascii="Arial" w:eastAsia="Times New Roman" w:hAnsi="Arial" w:cs="Arial"/>
          <w:sz w:val="24"/>
          <w:szCs w:val="24"/>
        </w:rPr>
      </w:pPr>
      <w:r w:rsidRPr="008E180F">
        <w:rPr>
          <w:rFonts w:ascii="Arial" w:eastAsia="Times New Roman" w:hAnsi="Arial" w:cs="Arial"/>
          <w:sz w:val="24"/>
          <w:szCs w:val="24"/>
        </w:rPr>
        <w:t>although not specifically covered in the SPICe analysis, “</w:t>
      </w:r>
      <w:r w:rsidRPr="008E180F">
        <w:rPr>
          <w:rFonts w:ascii="Arial" w:eastAsia="Times New Roman" w:hAnsi="Arial" w:cs="Arial"/>
          <w:b/>
          <w:bCs/>
          <w:sz w:val="24"/>
          <w:szCs w:val="24"/>
        </w:rPr>
        <w:t>funeral poverty</w:t>
      </w:r>
      <w:r w:rsidRPr="008E180F">
        <w:rPr>
          <w:rFonts w:ascii="Arial" w:eastAsia="Times New Roman" w:hAnsi="Arial" w:cs="Arial"/>
          <w:sz w:val="24"/>
          <w:szCs w:val="24"/>
        </w:rPr>
        <w:t xml:space="preserve">” </w:t>
      </w:r>
      <w:r w:rsidR="00CF6D97">
        <w:rPr>
          <w:rFonts w:ascii="Arial" w:eastAsia="Times New Roman" w:hAnsi="Arial" w:cs="Arial"/>
          <w:sz w:val="24"/>
          <w:szCs w:val="24"/>
        </w:rPr>
        <w:t>remains</w:t>
      </w:r>
      <w:r w:rsidRPr="008E180F">
        <w:rPr>
          <w:rFonts w:ascii="Arial" w:eastAsia="Times New Roman" w:hAnsi="Arial" w:cs="Arial"/>
          <w:sz w:val="24"/>
          <w:szCs w:val="24"/>
        </w:rPr>
        <w:t xml:space="preserve"> an i</w:t>
      </w:r>
      <w:r w:rsidR="00CF6D97">
        <w:rPr>
          <w:rFonts w:ascii="Arial" w:eastAsia="Times New Roman" w:hAnsi="Arial" w:cs="Arial"/>
          <w:sz w:val="24"/>
          <w:szCs w:val="24"/>
        </w:rPr>
        <w:t xml:space="preserve">mportant </w:t>
      </w:r>
      <w:r w:rsidRPr="008E180F">
        <w:rPr>
          <w:rFonts w:ascii="Arial" w:eastAsia="Times New Roman" w:hAnsi="Arial" w:cs="Arial"/>
          <w:sz w:val="24"/>
          <w:szCs w:val="24"/>
        </w:rPr>
        <w:t xml:space="preserve">issue, with </w:t>
      </w:r>
      <w:r w:rsidRPr="00A555AB">
        <w:rPr>
          <w:rFonts w:ascii="Arial" w:eastAsia="Times New Roman" w:hAnsi="Arial" w:cs="Arial"/>
          <w:sz w:val="24"/>
          <w:szCs w:val="24"/>
        </w:rPr>
        <w:t xml:space="preserve">available statistics </w:t>
      </w:r>
      <w:r w:rsidRPr="008E180F">
        <w:rPr>
          <w:rFonts w:ascii="Arial" w:eastAsia="Times New Roman" w:hAnsi="Arial" w:cs="Arial"/>
          <w:sz w:val="24"/>
          <w:szCs w:val="24"/>
        </w:rPr>
        <w:t xml:space="preserve">pointing to escalating costs and limited </w:t>
      </w:r>
      <w:r w:rsidR="000D29D9">
        <w:rPr>
          <w:rFonts w:ascii="Arial" w:eastAsia="Times New Roman" w:hAnsi="Arial" w:cs="Arial"/>
          <w:sz w:val="24"/>
          <w:szCs w:val="24"/>
        </w:rPr>
        <w:t xml:space="preserve">available </w:t>
      </w:r>
      <w:r w:rsidRPr="008E180F">
        <w:rPr>
          <w:rFonts w:ascii="Arial" w:eastAsia="Times New Roman" w:hAnsi="Arial" w:cs="Arial"/>
          <w:sz w:val="24"/>
          <w:szCs w:val="24"/>
        </w:rPr>
        <w:t>avenues for financial support.  The Scottish Government-established ‘Funeral Payment and Funeral Poverty Reference Group’ in March 2021 raised concerns around rising local authority burial and cremation fees.</w:t>
      </w:r>
      <w:r w:rsidR="00141AAE">
        <w:rPr>
          <w:rFonts w:ascii="Arial" w:eastAsia="Times New Roman" w:hAnsi="Arial" w:cs="Arial"/>
          <w:sz w:val="24"/>
          <w:szCs w:val="24"/>
        </w:rPr>
        <w:t xml:space="preserve">  </w:t>
      </w:r>
      <w:r w:rsidR="00A2506D">
        <w:rPr>
          <w:rFonts w:ascii="Arial" w:eastAsia="Times New Roman" w:hAnsi="Arial" w:cs="Arial"/>
          <w:sz w:val="24"/>
          <w:szCs w:val="24"/>
        </w:rPr>
        <w:t>Following a freeze in charges for 2023/24</w:t>
      </w:r>
      <w:r w:rsidR="00276F59">
        <w:rPr>
          <w:rFonts w:ascii="Arial" w:eastAsia="Times New Roman" w:hAnsi="Arial" w:cs="Arial"/>
          <w:sz w:val="24"/>
          <w:szCs w:val="24"/>
        </w:rPr>
        <w:t xml:space="preserve"> and a 5% increase in 2024/25</w:t>
      </w:r>
      <w:r w:rsidR="00A2506D">
        <w:rPr>
          <w:rFonts w:ascii="Arial" w:eastAsia="Times New Roman" w:hAnsi="Arial" w:cs="Arial"/>
          <w:sz w:val="24"/>
          <w:szCs w:val="24"/>
        </w:rPr>
        <w:t>, o</w:t>
      </w:r>
      <w:r w:rsidR="00141AAE">
        <w:rPr>
          <w:rFonts w:ascii="Arial" w:eastAsia="Times New Roman" w:hAnsi="Arial" w:cs="Arial"/>
          <w:sz w:val="24"/>
          <w:szCs w:val="24"/>
        </w:rPr>
        <w:t xml:space="preserve">fficers are </w:t>
      </w:r>
      <w:r w:rsidR="0043110D">
        <w:rPr>
          <w:rFonts w:ascii="Arial" w:eastAsia="Times New Roman" w:hAnsi="Arial" w:cs="Arial"/>
          <w:sz w:val="24"/>
          <w:szCs w:val="24"/>
        </w:rPr>
        <w:t xml:space="preserve">again </w:t>
      </w:r>
      <w:r w:rsidR="00141AAE">
        <w:rPr>
          <w:rFonts w:ascii="Arial" w:eastAsia="Times New Roman" w:hAnsi="Arial" w:cs="Arial"/>
          <w:sz w:val="24"/>
          <w:szCs w:val="24"/>
        </w:rPr>
        <w:t>recommending a</w:t>
      </w:r>
      <w:r w:rsidR="00031F59">
        <w:rPr>
          <w:rFonts w:ascii="Arial" w:eastAsia="Times New Roman" w:hAnsi="Arial" w:cs="Arial"/>
          <w:sz w:val="24"/>
          <w:szCs w:val="24"/>
        </w:rPr>
        <w:t xml:space="preserve"> </w:t>
      </w:r>
      <w:r w:rsidR="008F2E5A">
        <w:rPr>
          <w:rFonts w:ascii="Arial" w:eastAsia="Times New Roman" w:hAnsi="Arial" w:cs="Arial"/>
          <w:sz w:val="24"/>
          <w:szCs w:val="24"/>
        </w:rPr>
        <w:t xml:space="preserve">5% </w:t>
      </w:r>
      <w:r w:rsidR="00031F59">
        <w:rPr>
          <w:rFonts w:ascii="Arial" w:eastAsia="Times New Roman" w:hAnsi="Arial" w:cs="Arial"/>
          <w:sz w:val="24"/>
          <w:szCs w:val="24"/>
        </w:rPr>
        <w:t xml:space="preserve">level of increase </w:t>
      </w:r>
      <w:r w:rsidR="00276F59">
        <w:rPr>
          <w:rFonts w:ascii="Arial" w:eastAsia="Times New Roman" w:hAnsi="Arial" w:cs="Arial"/>
          <w:sz w:val="24"/>
          <w:szCs w:val="24"/>
        </w:rPr>
        <w:t xml:space="preserve">in 2025/26 </w:t>
      </w:r>
      <w:r w:rsidR="00031F59">
        <w:rPr>
          <w:rFonts w:ascii="Arial" w:eastAsia="Times New Roman" w:hAnsi="Arial" w:cs="Arial"/>
          <w:sz w:val="24"/>
          <w:szCs w:val="24"/>
        </w:rPr>
        <w:t>in line with the Council’s wider policy</w:t>
      </w:r>
      <w:r w:rsidR="00A2506D">
        <w:rPr>
          <w:rFonts w:ascii="Arial" w:eastAsia="Times New Roman" w:hAnsi="Arial" w:cs="Arial"/>
          <w:sz w:val="24"/>
          <w:szCs w:val="24"/>
        </w:rPr>
        <w:t xml:space="preserve"> for the coming year, albeit with </w:t>
      </w:r>
      <w:r w:rsidR="00A553F0" w:rsidRPr="00A553F0">
        <w:rPr>
          <w:rFonts w:ascii="Arial" w:hAnsi="Arial" w:cs="Arial"/>
          <w:color w:val="000000"/>
          <w:sz w:val="24"/>
          <w:szCs w:val="24"/>
          <w:lang w:eastAsia="en-GB"/>
        </w:rPr>
        <w:t>simpler arrangements (with lower associated charges) retained</w:t>
      </w:r>
      <w:r w:rsidR="00A91E66" w:rsidRPr="00A553F0">
        <w:rPr>
          <w:rFonts w:ascii="Arial" w:eastAsia="Times New Roman" w:hAnsi="Arial" w:cs="Arial"/>
          <w:sz w:val="24"/>
          <w:szCs w:val="24"/>
        </w:rPr>
        <w:t xml:space="preserve">; </w:t>
      </w:r>
      <w:r w:rsidR="00BF599B">
        <w:rPr>
          <w:rFonts w:ascii="Arial" w:eastAsia="Times New Roman" w:hAnsi="Arial" w:cs="Arial"/>
          <w:sz w:val="24"/>
          <w:szCs w:val="24"/>
        </w:rPr>
        <w:t xml:space="preserve">and </w:t>
      </w:r>
    </w:p>
    <w:p w14:paraId="26EE2E69" w14:textId="77777777" w:rsidR="008E180F" w:rsidRPr="008E180F" w:rsidRDefault="008E180F" w:rsidP="008E180F">
      <w:pPr>
        <w:spacing w:after="0" w:line="240" w:lineRule="auto"/>
        <w:ind w:left="1440"/>
        <w:rPr>
          <w:rFonts w:ascii="Arial" w:eastAsia="Times New Roman" w:hAnsi="Arial" w:cs="Arial"/>
          <w:sz w:val="24"/>
          <w:szCs w:val="24"/>
        </w:rPr>
      </w:pPr>
    </w:p>
    <w:p w14:paraId="1A774671" w14:textId="7B300FF7" w:rsidR="008E180F" w:rsidRPr="008E180F" w:rsidRDefault="008E180F" w:rsidP="00EC157D">
      <w:pPr>
        <w:numPr>
          <w:ilvl w:val="1"/>
          <w:numId w:val="7"/>
        </w:numPr>
        <w:spacing w:after="0" w:line="240" w:lineRule="auto"/>
        <w:rPr>
          <w:rFonts w:ascii="Arial" w:eastAsia="Times New Roman" w:hAnsi="Arial" w:cs="Arial"/>
          <w:i/>
          <w:iCs/>
          <w:sz w:val="24"/>
          <w:szCs w:val="24"/>
        </w:rPr>
      </w:pPr>
      <w:r w:rsidRPr="008E180F">
        <w:rPr>
          <w:rFonts w:ascii="Arial" w:eastAsia="Times New Roman" w:hAnsi="Arial" w:cs="Arial"/>
          <w:sz w:val="24"/>
          <w:szCs w:val="24"/>
        </w:rPr>
        <w:t xml:space="preserve">the framework does not have huge relevance to the chargeable services provided by the Education and Children’s Services Directorate.  </w:t>
      </w:r>
      <w:r w:rsidRPr="008E180F">
        <w:rPr>
          <w:rFonts w:ascii="Arial" w:eastAsia="Times New Roman" w:hAnsi="Arial" w:cs="Arial"/>
          <w:b/>
          <w:bCs/>
          <w:sz w:val="24"/>
          <w:szCs w:val="24"/>
        </w:rPr>
        <w:t>Community letting</w:t>
      </w:r>
      <w:r w:rsidRPr="008E180F">
        <w:rPr>
          <w:rFonts w:ascii="Arial" w:eastAsia="Times New Roman" w:hAnsi="Arial" w:cs="Arial"/>
          <w:sz w:val="24"/>
          <w:szCs w:val="24"/>
        </w:rPr>
        <w:t xml:space="preserve"> and </w:t>
      </w:r>
      <w:r w:rsidRPr="008E180F">
        <w:rPr>
          <w:rFonts w:ascii="Arial" w:eastAsia="Times New Roman" w:hAnsi="Arial" w:cs="Arial"/>
          <w:b/>
          <w:bCs/>
          <w:sz w:val="24"/>
          <w:szCs w:val="24"/>
        </w:rPr>
        <w:t>adult education classes</w:t>
      </w:r>
      <w:r w:rsidRPr="008E180F">
        <w:rPr>
          <w:rFonts w:ascii="Arial" w:eastAsia="Times New Roman" w:hAnsi="Arial" w:cs="Arial"/>
          <w:sz w:val="24"/>
          <w:szCs w:val="24"/>
        </w:rPr>
        <w:t xml:space="preserve"> are, however, relevant, with two concessionary rates already in place</w:t>
      </w:r>
      <w:r w:rsidR="00495F7C">
        <w:rPr>
          <w:rFonts w:ascii="Arial" w:eastAsia="Times New Roman" w:hAnsi="Arial" w:cs="Arial"/>
          <w:sz w:val="24"/>
          <w:szCs w:val="24"/>
        </w:rPr>
        <w:t>.</w:t>
      </w:r>
      <w:r w:rsidR="00FF467A">
        <w:rPr>
          <w:rFonts w:ascii="Arial" w:eastAsia="Times New Roman" w:hAnsi="Arial" w:cs="Arial"/>
          <w:sz w:val="24"/>
          <w:szCs w:val="24"/>
        </w:rPr>
        <w:t xml:space="preserve">  </w:t>
      </w:r>
      <w:r w:rsidR="00495F7C">
        <w:rPr>
          <w:rFonts w:ascii="Arial" w:eastAsia="Times New Roman" w:hAnsi="Arial" w:cs="Arial"/>
          <w:sz w:val="24"/>
          <w:szCs w:val="24"/>
        </w:rPr>
        <w:t xml:space="preserve">  </w:t>
      </w:r>
    </w:p>
    <w:p w14:paraId="0A836899" w14:textId="77777777" w:rsidR="008E180F" w:rsidRPr="008E180F" w:rsidRDefault="008E180F" w:rsidP="008E180F">
      <w:pPr>
        <w:spacing w:after="160" w:line="259" w:lineRule="auto"/>
        <w:rPr>
          <w:rFonts w:ascii="Arial" w:eastAsia="Times New Roman" w:hAnsi="Arial" w:cs="Arial"/>
          <w:sz w:val="24"/>
          <w:szCs w:val="24"/>
        </w:rPr>
      </w:pPr>
    </w:p>
    <w:p w14:paraId="01C31AB7" w14:textId="604B7AA2" w:rsidR="00426D90" w:rsidRDefault="008E180F" w:rsidP="008E180F">
      <w:pPr>
        <w:spacing w:after="240" w:line="240" w:lineRule="auto"/>
        <w:rPr>
          <w:rFonts w:ascii="Arial" w:hAnsi="Arial" w:cs="Arial"/>
          <w:sz w:val="24"/>
          <w:szCs w:val="24"/>
          <w:lang w:eastAsia="en-GB"/>
        </w:rPr>
      </w:pPr>
      <w:r w:rsidRPr="008E180F">
        <w:rPr>
          <w:rFonts w:ascii="Arial" w:hAnsi="Arial" w:cs="Arial"/>
          <w:sz w:val="24"/>
          <w:szCs w:val="24"/>
          <w:lang w:eastAsia="en-GB"/>
        </w:rPr>
        <w:t>1.</w:t>
      </w:r>
      <w:r w:rsidR="00426D90">
        <w:rPr>
          <w:rFonts w:ascii="Arial" w:hAnsi="Arial" w:cs="Arial"/>
          <w:sz w:val="24"/>
          <w:szCs w:val="24"/>
          <w:lang w:eastAsia="en-GB"/>
        </w:rPr>
        <w:t>1</w:t>
      </w:r>
      <w:r w:rsidR="007F5FDF">
        <w:rPr>
          <w:rFonts w:ascii="Arial" w:hAnsi="Arial" w:cs="Arial"/>
          <w:sz w:val="24"/>
          <w:szCs w:val="24"/>
          <w:lang w:eastAsia="en-GB"/>
        </w:rPr>
        <w:t>2</w:t>
      </w:r>
      <w:r w:rsidRPr="008E180F">
        <w:rPr>
          <w:rFonts w:ascii="Arial" w:hAnsi="Arial" w:cs="Arial"/>
          <w:sz w:val="24"/>
          <w:szCs w:val="24"/>
          <w:lang w:eastAsia="en-GB"/>
        </w:rPr>
        <w:tab/>
        <w:t xml:space="preserve">As noted in the preceding section, a range of concessionary arrangements is currently in </w:t>
      </w:r>
      <w:r w:rsidRPr="008E180F">
        <w:rPr>
          <w:rFonts w:ascii="Arial" w:hAnsi="Arial" w:cs="Arial"/>
          <w:sz w:val="24"/>
          <w:szCs w:val="24"/>
          <w:lang w:eastAsia="en-GB"/>
        </w:rPr>
        <w:tab/>
        <w:t xml:space="preserve">place as summarised in </w:t>
      </w:r>
      <w:r w:rsidR="00426D90">
        <w:rPr>
          <w:rFonts w:ascii="Arial" w:hAnsi="Arial" w:cs="Arial"/>
          <w:sz w:val="24"/>
          <w:szCs w:val="24"/>
          <w:lang w:eastAsia="en-GB"/>
        </w:rPr>
        <w:t xml:space="preserve">Appendix 1.  </w:t>
      </w:r>
    </w:p>
    <w:p w14:paraId="36AD8F12" w14:textId="1F4A7A5B" w:rsidR="00457369" w:rsidRPr="00A72A40" w:rsidRDefault="00457369" w:rsidP="008E180F">
      <w:pPr>
        <w:spacing w:after="240" w:line="240" w:lineRule="auto"/>
        <w:rPr>
          <w:rFonts w:ascii="Arial" w:hAnsi="Arial" w:cs="Arial"/>
          <w:b/>
          <w:bCs/>
          <w:sz w:val="24"/>
          <w:szCs w:val="24"/>
          <w:lang w:eastAsia="en-GB"/>
        </w:rPr>
      </w:pPr>
      <w:r>
        <w:rPr>
          <w:rFonts w:ascii="Arial" w:hAnsi="Arial" w:cs="Arial"/>
          <w:sz w:val="24"/>
          <w:szCs w:val="24"/>
          <w:lang w:eastAsia="en-GB"/>
        </w:rPr>
        <w:tab/>
      </w:r>
      <w:r w:rsidRPr="00457369">
        <w:rPr>
          <w:rFonts w:ascii="Arial" w:hAnsi="Arial" w:cs="Arial"/>
          <w:b/>
          <w:bCs/>
          <w:sz w:val="24"/>
          <w:szCs w:val="24"/>
          <w:lang w:eastAsia="en-GB"/>
        </w:rPr>
        <w:t>Council Tax</w:t>
      </w:r>
    </w:p>
    <w:p w14:paraId="5CCFA627" w14:textId="6E2C993B" w:rsidR="009A5FDD" w:rsidRDefault="00457369" w:rsidP="008E180F">
      <w:pPr>
        <w:spacing w:after="240" w:line="240" w:lineRule="auto"/>
        <w:rPr>
          <w:rFonts w:ascii="Arial" w:hAnsi="Arial" w:cs="Arial"/>
          <w:sz w:val="24"/>
          <w:szCs w:val="24"/>
          <w:lang w:eastAsia="en-GB"/>
        </w:rPr>
      </w:pPr>
      <w:r>
        <w:rPr>
          <w:rFonts w:ascii="Arial" w:hAnsi="Arial" w:cs="Arial"/>
          <w:sz w:val="24"/>
          <w:szCs w:val="24"/>
          <w:lang w:eastAsia="en-GB"/>
        </w:rPr>
        <w:t>1.</w:t>
      </w:r>
      <w:r w:rsidR="00A72A40">
        <w:rPr>
          <w:rFonts w:ascii="Arial" w:hAnsi="Arial" w:cs="Arial"/>
          <w:sz w:val="24"/>
          <w:szCs w:val="24"/>
          <w:lang w:eastAsia="en-GB"/>
        </w:rPr>
        <w:t>1</w:t>
      </w:r>
      <w:r w:rsidR="007F5FDF">
        <w:rPr>
          <w:rFonts w:ascii="Arial" w:hAnsi="Arial" w:cs="Arial"/>
          <w:sz w:val="24"/>
          <w:szCs w:val="24"/>
          <w:lang w:eastAsia="en-GB"/>
        </w:rPr>
        <w:t>3</w:t>
      </w:r>
      <w:r>
        <w:rPr>
          <w:rFonts w:ascii="Arial" w:hAnsi="Arial" w:cs="Arial"/>
          <w:sz w:val="24"/>
          <w:szCs w:val="24"/>
          <w:lang w:eastAsia="en-GB"/>
        </w:rPr>
        <w:tab/>
      </w:r>
      <w:r w:rsidR="007F5FDF">
        <w:rPr>
          <w:rFonts w:ascii="Arial" w:hAnsi="Arial" w:cs="Arial"/>
          <w:sz w:val="24"/>
          <w:szCs w:val="24"/>
          <w:lang w:eastAsia="en-GB"/>
        </w:rPr>
        <w:t xml:space="preserve">The officer-recommended budget proposes an 8% increase in </w:t>
      </w:r>
      <w:r w:rsidR="0096720C">
        <w:rPr>
          <w:rFonts w:ascii="Arial" w:hAnsi="Arial" w:cs="Arial"/>
          <w:sz w:val="24"/>
          <w:szCs w:val="24"/>
          <w:lang w:eastAsia="en-GB"/>
        </w:rPr>
        <w:t>Council Tax levels</w:t>
      </w:r>
      <w:r w:rsidR="00D401D5">
        <w:rPr>
          <w:rFonts w:ascii="Arial" w:hAnsi="Arial" w:cs="Arial"/>
          <w:sz w:val="24"/>
          <w:szCs w:val="24"/>
          <w:lang w:eastAsia="en-GB"/>
        </w:rPr>
        <w:t>.</w:t>
      </w:r>
    </w:p>
    <w:p w14:paraId="6A54DB29" w14:textId="70DEEEE4" w:rsidR="00AC3545" w:rsidRDefault="00AC3545" w:rsidP="008E180F">
      <w:pPr>
        <w:spacing w:after="240" w:line="240" w:lineRule="auto"/>
        <w:rPr>
          <w:rFonts w:ascii="Arial" w:hAnsi="Arial" w:cs="Arial"/>
          <w:sz w:val="24"/>
          <w:szCs w:val="24"/>
          <w:lang w:eastAsia="en-GB"/>
        </w:rPr>
      </w:pPr>
      <w:r>
        <w:rPr>
          <w:rFonts w:ascii="Arial" w:hAnsi="Arial" w:cs="Arial"/>
          <w:sz w:val="24"/>
          <w:szCs w:val="24"/>
          <w:lang w:eastAsia="en-GB"/>
        </w:rPr>
        <w:t>1.14</w:t>
      </w:r>
      <w:r>
        <w:rPr>
          <w:rFonts w:ascii="Arial" w:hAnsi="Arial" w:cs="Arial"/>
          <w:sz w:val="24"/>
          <w:szCs w:val="24"/>
          <w:lang w:eastAsia="en-GB"/>
        </w:rPr>
        <w:tab/>
        <w:t xml:space="preserve">A detailed Integrated Impact Assessment </w:t>
      </w:r>
      <w:r w:rsidR="0042222B">
        <w:rPr>
          <w:rFonts w:ascii="Arial" w:hAnsi="Arial" w:cs="Arial"/>
          <w:sz w:val="24"/>
          <w:szCs w:val="24"/>
          <w:lang w:eastAsia="en-GB"/>
        </w:rPr>
        <w:t xml:space="preserve">(IIA) </w:t>
      </w:r>
      <w:r>
        <w:rPr>
          <w:rFonts w:ascii="Arial" w:hAnsi="Arial" w:cs="Arial"/>
          <w:sz w:val="24"/>
          <w:szCs w:val="24"/>
          <w:lang w:eastAsia="en-GB"/>
        </w:rPr>
        <w:t>in this area has bee</w:t>
      </w:r>
      <w:r w:rsidR="00E35042">
        <w:rPr>
          <w:rFonts w:ascii="Arial" w:hAnsi="Arial" w:cs="Arial"/>
          <w:sz w:val="24"/>
          <w:szCs w:val="24"/>
          <w:lang w:eastAsia="en-GB"/>
        </w:rPr>
        <w:t xml:space="preserve">n undertaken and may be </w:t>
      </w:r>
      <w:r w:rsidR="00E35042">
        <w:rPr>
          <w:rFonts w:ascii="Arial" w:hAnsi="Arial" w:cs="Arial"/>
          <w:sz w:val="24"/>
          <w:szCs w:val="24"/>
          <w:lang w:eastAsia="en-GB"/>
        </w:rPr>
        <w:tab/>
        <w:t xml:space="preserve">accessed </w:t>
      </w:r>
      <w:hyperlink r:id="rId10" w:history="1">
        <w:r w:rsidR="00E35042" w:rsidRPr="004D650E">
          <w:rPr>
            <w:rStyle w:val="Hyperlink"/>
            <w:rFonts w:ascii="Arial" w:hAnsi="Arial" w:cs="Arial"/>
            <w:sz w:val="24"/>
            <w:szCs w:val="24"/>
            <w:lang w:eastAsia="en-GB"/>
          </w:rPr>
          <w:t>here</w:t>
        </w:r>
      </w:hyperlink>
      <w:r w:rsidR="0042222B">
        <w:rPr>
          <w:rFonts w:ascii="Arial" w:hAnsi="Arial" w:cs="Arial"/>
          <w:sz w:val="24"/>
          <w:szCs w:val="24"/>
          <w:lang w:eastAsia="en-GB"/>
        </w:rPr>
        <w:t xml:space="preserve">.  This assessment </w:t>
      </w:r>
      <w:r w:rsidR="004335C7">
        <w:rPr>
          <w:rFonts w:ascii="Arial" w:hAnsi="Arial" w:cs="Arial"/>
          <w:sz w:val="24"/>
          <w:szCs w:val="24"/>
          <w:lang w:eastAsia="en-GB"/>
        </w:rPr>
        <w:t>highlights</w:t>
      </w:r>
      <w:r w:rsidR="00EF22C1">
        <w:rPr>
          <w:rFonts w:ascii="Arial" w:hAnsi="Arial" w:cs="Arial"/>
          <w:sz w:val="24"/>
          <w:szCs w:val="24"/>
          <w:lang w:eastAsia="en-GB"/>
        </w:rPr>
        <w:t xml:space="preserve"> a range of </w:t>
      </w:r>
      <w:r w:rsidR="00A25FB7">
        <w:rPr>
          <w:rFonts w:ascii="Arial" w:hAnsi="Arial" w:cs="Arial"/>
          <w:sz w:val="24"/>
          <w:szCs w:val="24"/>
          <w:lang w:eastAsia="en-GB"/>
        </w:rPr>
        <w:t xml:space="preserve">mitigations in place for eligible </w:t>
      </w:r>
      <w:r w:rsidR="00A25FB7">
        <w:rPr>
          <w:rFonts w:ascii="Arial" w:hAnsi="Arial" w:cs="Arial"/>
          <w:sz w:val="24"/>
          <w:szCs w:val="24"/>
          <w:lang w:eastAsia="en-GB"/>
        </w:rPr>
        <w:tab/>
        <w:t xml:space="preserve">households, including active promotion of the Council Tax Reduction Scheme (CTRS).  </w:t>
      </w:r>
    </w:p>
    <w:p w14:paraId="24E88F9F" w14:textId="100315FD" w:rsidR="003D5328" w:rsidRPr="002667E7" w:rsidRDefault="003D5328" w:rsidP="008C02C2">
      <w:pPr>
        <w:spacing w:after="240" w:line="240" w:lineRule="auto"/>
        <w:rPr>
          <w:rFonts w:ascii="Arial" w:hAnsi="Arial" w:cs="Arial"/>
          <w:b/>
          <w:bCs/>
          <w:sz w:val="24"/>
          <w:szCs w:val="24"/>
          <w:lang w:eastAsia="en-GB"/>
        </w:rPr>
      </w:pPr>
      <w:r>
        <w:rPr>
          <w:rFonts w:ascii="Arial" w:hAnsi="Arial" w:cs="Arial"/>
          <w:sz w:val="24"/>
          <w:szCs w:val="24"/>
          <w:lang w:eastAsia="en-GB"/>
        </w:rPr>
        <w:tab/>
      </w:r>
      <w:r w:rsidRPr="003D5328">
        <w:rPr>
          <w:rFonts w:ascii="Arial" w:hAnsi="Arial" w:cs="Arial"/>
          <w:b/>
          <w:bCs/>
          <w:sz w:val="24"/>
          <w:szCs w:val="24"/>
          <w:lang w:eastAsia="en-GB"/>
        </w:rPr>
        <w:t xml:space="preserve">Fees and charges </w:t>
      </w:r>
    </w:p>
    <w:p w14:paraId="640C9321" w14:textId="0E9B5C6D" w:rsidR="00BF6FD7" w:rsidRDefault="004D4028" w:rsidP="008C02C2">
      <w:pPr>
        <w:spacing w:after="240" w:line="240" w:lineRule="auto"/>
        <w:rPr>
          <w:rFonts w:ascii="Arial" w:hAnsi="Arial" w:cs="Arial"/>
          <w:sz w:val="24"/>
          <w:szCs w:val="24"/>
          <w:lang w:eastAsia="en-GB"/>
        </w:rPr>
      </w:pPr>
      <w:r>
        <w:rPr>
          <w:rFonts w:ascii="Arial" w:hAnsi="Arial" w:cs="Arial"/>
          <w:sz w:val="24"/>
          <w:szCs w:val="24"/>
          <w:lang w:eastAsia="en-GB"/>
        </w:rPr>
        <w:t>1.1</w:t>
      </w:r>
      <w:r w:rsidR="0042222B">
        <w:rPr>
          <w:rFonts w:ascii="Arial" w:hAnsi="Arial" w:cs="Arial"/>
          <w:sz w:val="24"/>
          <w:szCs w:val="24"/>
          <w:lang w:eastAsia="en-GB"/>
        </w:rPr>
        <w:t>5</w:t>
      </w:r>
      <w:r>
        <w:rPr>
          <w:rFonts w:ascii="Arial" w:hAnsi="Arial" w:cs="Arial"/>
          <w:sz w:val="24"/>
          <w:szCs w:val="24"/>
          <w:lang w:eastAsia="en-GB"/>
        </w:rPr>
        <w:tab/>
      </w:r>
      <w:r w:rsidRPr="004D4028">
        <w:rPr>
          <w:rFonts w:ascii="Arial" w:hAnsi="Arial" w:cs="Arial"/>
          <w:sz w:val="24"/>
          <w:szCs w:val="24"/>
          <w:lang w:eastAsia="en-GB"/>
        </w:rPr>
        <w:t xml:space="preserve">While most of the Council’s fees and charges are not subject to an equivalent system of </w:t>
      </w:r>
      <w:r>
        <w:rPr>
          <w:rFonts w:ascii="Arial" w:hAnsi="Arial" w:cs="Arial"/>
          <w:sz w:val="24"/>
          <w:szCs w:val="24"/>
          <w:lang w:eastAsia="en-GB"/>
        </w:rPr>
        <w:tab/>
      </w:r>
      <w:r w:rsidRPr="004D4028">
        <w:rPr>
          <w:rFonts w:ascii="Arial" w:hAnsi="Arial" w:cs="Arial"/>
          <w:sz w:val="24"/>
          <w:szCs w:val="24"/>
          <w:lang w:eastAsia="en-GB"/>
        </w:rPr>
        <w:t xml:space="preserve">assistance, services </w:t>
      </w:r>
      <w:r w:rsidR="00710452">
        <w:rPr>
          <w:rFonts w:ascii="Arial" w:hAnsi="Arial" w:cs="Arial"/>
          <w:sz w:val="24"/>
          <w:szCs w:val="24"/>
          <w:lang w:eastAsia="en-GB"/>
        </w:rPr>
        <w:t xml:space="preserve">do </w:t>
      </w:r>
      <w:r w:rsidRPr="004D4028">
        <w:rPr>
          <w:rFonts w:ascii="Arial" w:hAnsi="Arial" w:cs="Arial"/>
          <w:sz w:val="24"/>
          <w:szCs w:val="24"/>
          <w:lang w:eastAsia="en-GB"/>
        </w:rPr>
        <w:t>take account of the ability to pay in applying these increases.</w:t>
      </w:r>
      <w:r w:rsidR="00710452">
        <w:rPr>
          <w:rFonts w:ascii="Arial" w:hAnsi="Arial" w:cs="Arial"/>
          <w:sz w:val="24"/>
          <w:szCs w:val="24"/>
          <w:lang w:eastAsia="en-GB"/>
        </w:rPr>
        <w:t xml:space="preserve">  </w:t>
      </w:r>
      <w:r w:rsidRPr="004D4028">
        <w:rPr>
          <w:rFonts w:ascii="Arial" w:hAnsi="Arial" w:cs="Arial"/>
          <w:sz w:val="24"/>
          <w:szCs w:val="24"/>
          <w:lang w:eastAsia="en-GB"/>
        </w:rPr>
        <w:t xml:space="preserve">In </w:t>
      </w:r>
      <w:r w:rsidR="00BF6FD7">
        <w:rPr>
          <w:rFonts w:ascii="Arial" w:hAnsi="Arial" w:cs="Arial"/>
          <w:sz w:val="24"/>
          <w:szCs w:val="24"/>
          <w:lang w:eastAsia="en-GB"/>
        </w:rPr>
        <w:tab/>
        <w:t xml:space="preserve">some </w:t>
      </w:r>
      <w:r w:rsidRPr="004D4028">
        <w:rPr>
          <w:rFonts w:ascii="Arial" w:hAnsi="Arial" w:cs="Arial"/>
          <w:sz w:val="24"/>
          <w:szCs w:val="24"/>
          <w:lang w:eastAsia="en-GB"/>
        </w:rPr>
        <w:t xml:space="preserve">areas, such as room and facilities hires, overall income targets have </w:t>
      </w:r>
      <w:r w:rsidR="00BF6FD7">
        <w:rPr>
          <w:rFonts w:ascii="Arial" w:hAnsi="Arial" w:cs="Arial"/>
          <w:sz w:val="24"/>
          <w:szCs w:val="24"/>
          <w:lang w:eastAsia="en-GB"/>
        </w:rPr>
        <w:t xml:space="preserve">largely </w:t>
      </w:r>
      <w:r w:rsidRPr="004D4028">
        <w:rPr>
          <w:rFonts w:ascii="Arial" w:hAnsi="Arial" w:cs="Arial"/>
          <w:sz w:val="24"/>
          <w:szCs w:val="24"/>
          <w:lang w:eastAsia="en-GB"/>
        </w:rPr>
        <w:t xml:space="preserve">been met </w:t>
      </w:r>
      <w:r w:rsidR="00BF6FD7">
        <w:rPr>
          <w:rFonts w:ascii="Arial" w:hAnsi="Arial" w:cs="Arial"/>
          <w:sz w:val="24"/>
          <w:szCs w:val="24"/>
          <w:lang w:eastAsia="en-GB"/>
        </w:rPr>
        <w:tab/>
        <w:t xml:space="preserve">in recent years </w:t>
      </w:r>
      <w:r w:rsidRPr="004D4028">
        <w:rPr>
          <w:rFonts w:ascii="Arial" w:hAnsi="Arial" w:cs="Arial"/>
          <w:sz w:val="24"/>
          <w:szCs w:val="24"/>
          <w:lang w:eastAsia="en-GB"/>
        </w:rPr>
        <w:t xml:space="preserve">through applying proportionately higher increases to commercial clients seen </w:t>
      </w:r>
      <w:r w:rsidR="00BF6FD7">
        <w:rPr>
          <w:rFonts w:ascii="Arial" w:hAnsi="Arial" w:cs="Arial"/>
          <w:sz w:val="24"/>
          <w:szCs w:val="24"/>
          <w:lang w:eastAsia="en-GB"/>
        </w:rPr>
        <w:tab/>
      </w:r>
      <w:r w:rsidRPr="004D4028">
        <w:rPr>
          <w:rFonts w:ascii="Arial" w:hAnsi="Arial" w:cs="Arial"/>
          <w:sz w:val="24"/>
          <w:szCs w:val="24"/>
          <w:lang w:eastAsia="en-GB"/>
        </w:rPr>
        <w:t xml:space="preserve">as being better able to meet these costs.  </w:t>
      </w:r>
    </w:p>
    <w:p w14:paraId="3B471C7B" w14:textId="27C3F153" w:rsidR="00D15D89" w:rsidRDefault="0058510F" w:rsidP="00D15D89">
      <w:pPr>
        <w:spacing w:line="240" w:lineRule="auto"/>
        <w:rPr>
          <w:rFonts w:ascii="Arial" w:hAnsi="Arial" w:cs="Arial"/>
          <w:sz w:val="24"/>
          <w:szCs w:val="24"/>
          <w:lang w:eastAsia="en-GB"/>
        </w:rPr>
      </w:pPr>
      <w:r>
        <w:rPr>
          <w:rFonts w:ascii="Arial" w:hAnsi="Arial" w:cs="Arial"/>
          <w:sz w:val="24"/>
          <w:szCs w:val="24"/>
          <w:lang w:eastAsia="en-GB"/>
        </w:rPr>
        <w:t>1.1</w:t>
      </w:r>
      <w:r w:rsidR="0042222B">
        <w:rPr>
          <w:rFonts w:ascii="Arial" w:hAnsi="Arial" w:cs="Arial"/>
          <w:sz w:val="24"/>
          <w:szCs w:val="24"/>
          <w:lang w:eastAsia="en-GB"/>
        </w:rPr>
        <w:t>6</w:t>
      </w:r>
      <w:r>
        <w:rPr>
          <w:rFonts w:ascii="Arial" w:hAnsi="Arial" w:cs="Arial"/>
          <w:sz w:val="24"/>
          <w:szCs w:val="24"/>
          <w:lang w:eastAsia="en-GB"/>
        </w:rPr>
        <w:tab/>
      </w:r>
      <w:r w:rsidR="00243EE4" w:rsidRPr="00243EE4">
        <w:rPr>
          <w:rFonts w:ascii="Arial" w:hAnsi="Arial" w:cs="Arial"/>
          <w:sz w:val="24"/>
          <w:szCs w:val="24"/>
          <w:lang w:eastAsia="en-GB"/>
        </w:rPr>
        <w:t xml:space="preserve">The Council’s charging policy is </w:t>
      </w:r>
      <w:r w:rsidR="00D15D89">
        <w:rPr>
          <w:rFonts w:ascii="Arial" w:hAnsi="Arial" w:cs="Arial"/>
          <w:sz w:val="24"/>
          <w:szCs w:val="24"/>
          <w:lang w:eastAsia="en-GB"/>
        </w:rPr>
        <w:t xml:space="preserve">also </w:t>
      </w:r>
      <w:r w:rsidR="00243EE4" w:rsidRPr="00243EE4">
        <w:rPr>
          <w:rFonts w:ascii="Arial" w:hAnsi="Arial" w:cs="Arial"/>
          <w:sz w:val="24"/>
          <w:szCs w:val="24"/>
          <w:lang w:eastAsia="en-GB"/>
        </w:rPr>
        <w:t xml:space="preserve">influenced by developments at national level, </w:t>
      </w:r>
      <w:r w:rsidR="00D15D89">
        <w:rPr>
          <w:rFonts w:ascii="Arial" w:hAnsi="Arial" w:cs="Arial"/>
          <w:sz w:val="24"/>
          <w:szCs w:val="24"/>
          <w:lang w:eastAsia="en-GB"/>
        </w:rPr>
        <w:tab/>
      </w:r>
      <w:r w:rsidR="00243EE4" w:rsidRPr="00243EE4">
        <w:rPr>
          <w:rFonts w:ascii="Arial" w:hAnsi="Arial" w:cs="Arial"/>
          <w:sz w:val="24"/>
          <w:szCs w:val="24"/>
          <w:lang w:eastAsia="en-GB"/>
        </w:rPr>
        <w:t xml:space="preserve">particularly in the case of education services.  Recent Scottish Government initiatives have </w:t>
      </w:r>
      <w:r w:rsidR="00D15D89">
        <w:rPr>
          <w:rFonts w:ascii="Arial" w:hAnsi="Arial" w:cs="Arial"/>
          <w:sz w:val="24"/>
          <w:szCs w:val="24"/>
          <w:lang w:eastAsia="en-GB"/>
        </w:rPr>
        <w:tab/>
      </w:r>
      <w:r w:rsidR="00243EE4" w:rsidRPr="00243EE4">
        <w:rPr>
          <w:rFonts w:ascii="Arial" w:hAnsi="Arial" w:cs="Arial"/>
          <w:sz w:val="24"/>
          <w:szCs w:val="24"/>
          <w:lang w:eastAsia="en-GB"/>
        </w:rPr>
        <w:t xml:space="preserve">seen the expansion of free school meals within primary schools, removal of charges for </w:t>
      </w:r>
      <w:r w:rsidR="00D15D89">
        <w:rPr>
          <w:rFonts w:ascii="Arial" w:hAnsi="Arial" w:cs="Arial"/>
          <w:sz w:val="24"/>
          <w:szCs w:val="24"/>
          <w:lang w:eastAsia="en-GB"/>
        </w:rPr>
        <w:tab/>
      </w:r>
      <w:r w:rsidR="00243EE4" w:rsidRPr="00243EE4">
        <w:rPr>
          <w:rFonts w:ascii="Arial" w:hAnsi="Arial" w:cs="Arial"/>
          <w:sz w:val="24"/>
          <w:szCs w:val="24"/>
          <w:lang w:eastAsia="en-GB"/>
        </w:rPr>
        <w:t xml:space="preserve">music tuition </w:t>
      </w:r>
      <w:r w:rsidR="00243EE4">
        <w:rPr>
          <w:rFonts w:ascii="Arial" w:hAnsi="Arial" w:cs="Arial"/>
          <w:sz w:val="24"/>
          <w:szCs w:val="24"/>
          <w:lang w:eastAsia="en-GB"/>
        </w:rPr>
        <w:tab/>
      </w:r>
      <w:r w:rsidR="00243EE4" w:rsidRPr="00243EE4">
        <w:rPr>
          <w:rFonts w:ascii="Arial" w:hAnsi="Arial" w:cs="Arial"/>
          <w:sz w:val="24"/>
          <w:szCs w:val="24"/>
          <w:lang w:eastAsia="en-GB"/>
        </w:rPr>
        <w:t xml:space="preserve">and also for some curricular activities.  The Council has furthermore played a </w:t>
      </w:r>
      <w:r w:rsidR="00D15D89">
        <w:rPr>
          <w:rFonts w:ascii="Arial" w:hAnsi="Arial" w:cs="Arial"/>
          <w:sz w:val="24"/>
          <w:szCs w:val="24"/>
          <w:lang w:eastAsia="en-GB"/>
        </w:rPr>
        <w:tab/>
      </w:r>
      <w:r w:rsidR="00243EE4" w:rsidRPr="00243EE4">
        <w:rPr>
          <w:rFonts w:ascii="Arial" w:hAnsi="Arial" w:cs="Arial"/>
          <w:sz w:val="24"/>
          <w:szCs w:val="24"/>
          <w:lang w:eastAsia="en-GB"/>
        </w:rPr>
        <w:t xml:space="preserve">lead role in the expansion of </w:t>
      </w:r>
      <w:r w:rsidR="00DE512F">
        <w:rPr>
          <w:rFonts w:ascii="Arial" w:hAnsi="Arial" w:cs="Arial"/>
          <w:sz w:val="24"/>
          <w:szCs w:val="24"/>
          <w:lang w:eastAsia="en-GB"/>
        </w:rPr>
        <w:t>Scottish Child Payments</w:t>
      </w:r>
      <w:r w:rsidR="00243EE4" w:rsidRPr="00243EE4">
        <w:rPr>
          <w:rFonts w:ascii="Arial" w:hAnsi="Arial" w:cs="Arial"/>
          <w:sz w:val="24"/>
          <w:szCs w:val="24"/>
          <w:lang w:eastAsia="en-GB"/>
        </w:rPr>
        <w:t xml:space="preserve">.  </w:t>
      </w:r>
    </w:p>
    <w:p w14:paraId="79B43799" w14:textId="4349A0B5" w:rsidR="00C15DB8" w:rsidRDefault="00D15D89" w:rsidP="008C02C2">
      <w:pPr>
        <w:spacing w:after="240" w:line="240" w:lineRule="auto"/>
        <w:rPr>
          <w:rFonts w:ascii="Arial" w:hAnsi="Arial" w:cs="Arial"/>
          <w:sz w:val="24"/>
          <w:szCs w:val="24"/>
          <w:lang w:eastAsia="en-GB"/>
        </w:rPr>
      </w:pPr>
      <w:r>
        <w:rPr>
          <w:rFonts w:ascii="Arial" w:hAnsi="Arial" w:cs="Arial"/>
          <w:sz w:val="24"/>
          <w:szCs w:val="24"/>
          <w:lang w:eastAsia="en-GB"/>
        </w:rPr>
        <w:t>1.</w:t>
      </w:r>
      <w:r w:rsidR="007D78AA">
        <w:rPr>
          <w:rFonts w:ascii="Arial" w:hAnsi="Arial" w:cs="Arial"/>
          <w:sz w:val="24"/>
          <w:szCs w:val="24"/>
          <w:lang w:eastAsia="en-GB"/>
        </w:rPr>
        <w:t>17</w:t>
      </w:r>
      <w:r>
        <w:rPr>
          <w:rFonts w:ascii="Arial" w:hAnsi="Arial" w:cs="Arial"/>
          <w:sz w:val="24"/>
          <w:szCs w:val="24"/>
          <w:lang w:eastAsia="en-GB"/>
        </w:rPr>
        <w:tab/>
      </w:r>
      <w:r w:rsidR="007518D9">
        <w:rPr>
          <w:rFonts w:ascii="Arial" w:hAnsi="Arial" w:cs="Arial"/>
          <w:sz w:val="24"/>
          <w:szCs w:val="24"/>
          <w:lang w:eastAsia="en-GB"/>
        </w:rPr>
        <w:t xml:space="preserve">As noted earlier in this briefing, </w:t>
      </w:r>
      <w:r w:rsidR="00974628">
        <w:rPr>
          <w:rFonts w:ascii="Arial" w:hAnsi="Arial" w:cs="Arial"/>
          <w:sz w:val="24"/>
          <w:szCs w:val="24"/>
          <w:lang w:eastAsia="en-GB"/>
        </w:rPr>
        <w:t>it is proposed that charges for</w:t>
      </w:r>
      <w:r w:rsidR="007518D9">
        <w:rPr>
          <w:rFonts w:ascii="Arial" w:hAnsi="Arial" w:cs="Arial"/>
          <w:sz w:val="24"/>
          <w:szCs w:val="24"/>
          <w:lang w:eastAsia="en-GB"/>
        </w:rPr>
        <w:t xml:space="preserve"> pay and display parking and </w:t>
      </w:r>
      <w:r w:rsidR="007D78AA">
        <w:rPr>
          <w:rFonts w:ascii="Arial" w:hAnsi="Arial" w:cs="Arial"/>
          <w:sz w:val="24"/>
          <w:szCs w:val="24"/>
          <w:lang w:eastAsia="en-GB"/>
        </w:rPr>
        <w:tab/>
      </w:r>
      <w:r w:rsidR="007518D9">
        <w:rPr>
          <w:rFonts w:ascii="Arial" w:hAnsi="Arial" w:cs="Arial"/>
          <w:sz w:val="24"/>
          <w:szCs w:val="24"/>
          <w:lang w:eastAsia="en-GB"/>
        </w:rPr>
        <w:t xml:space="preserve">parking permits </w:t>
      </w:r>
      <w:r w:rsidR="00974628">
        <w:rPr>
          <w:rFonts w:ascii="Arial" w:hAnsi="Arial" w:cs="Arial"/>
          <w:sz w:val="24"/>
          <w:szCs w:val="24"/>
          <w:lang w:eastAsia="en-GB"/>
        </w:rPr>
        <w:t xml:space="preserve">be increased by </w:t>
      </w:r>
      <w:r w:rsidR="007D78AA">
        <w:rPr>
          <w:rFonts w:ascii="Arial" w:hAnsi="Arial" w:cs="Arial"/>
          <w:sz w:val="24"/>
          <w:szCs w:val="24"/>
          <w:lang w:eastAsia="en-GB"/>
        </w:rPr>
        <w:t>between 10% and 12% and 3% and 7% respectivel</w:t>
      </w:r>
      <w:r w:rsidR="00974628">
        <w:rPr>
          <w:rFonts w:ascii="Arial" w:hAnsi="Arial" w:cs="Arial"/>
          <w:sz w:val="24"/>
          <w:szCs w:val="24"/>
          <w:lang w:eastAsia="en-GB"/>
        </w:rPr>
        <w:t>y.</w:t>
      </w:r>
      <w:r w:rsidR="00946BCC">
        <w:rPr>
          <w:rFonts w:ascii="Arial" w:hAnsi="Arial" w:cs="Arial"/>
          <w:sz w:val="24"/>
          <w:szCs w:val="24"/>
          <w:lang w:eastAsia="en-GB"/>
        </w:rPr>
        <w:t xml:space="preserve">  As </w:t>
      </w:r>
      <w:r w:rsidR="007D78AA">
        <w:rPr>
          <w:rFonts w:ascii="Arial" w:hAnsi="Arial" w:cs="Arial"/>
          <w:sz w:val="24"/>
          <w:szCs w:val="24"/>
          <w:lang w:eastAsia="en-GB"/>
        </w:rPr>
        <w:tab/>
      </w:r>
      <w:r w:rsidR="00946BCC">
        <w:rPr>
          <w:rFonts w:ascii="Arial" w:hAnsi="Arial" w:cs="Arial"/>
          <w:sz w:val="24"/>
          <w:szCs w:val="24"/>
          <w:lang w:eastAsia="en-GB"/>
        </w:rPr>
        <w:t xml:space="preserve">part of </w:t>
      </w:r>
      <w:r w:rsidR="00EA4DC9">
        <w:rPr>
          <w:rFonts w:ascii="Arial" w:hAnsi="Arial" w:cs="Arial"/>
          <w:sz w:val="24"/>
          <w:szCs w:val="24"/>
          <w:lang w:eastAsia="en-GB"/>
        </w:rPr>
        <w:t xml:space="preserve">developing the Parking Action Plan, </w:t>
      </w:r>
      <w:r w:rsidR="00C76910">
        <w:rPr>
          <w:rFonts w:ascii="Arial" w:hAnsi="Arial" w:cs="Arial"/>
          <w:sz w:val="24"/>
          <w:szCs w:val="24"/>
          <w:lang w:eastAsia="en-GB"/>
        </w:rPr>
        <w:t>six Integrated Impact Assessments were</w:t>
      </w:r>
      <w:r w:rsidR="00E81C20">
        <w:rPr>
          <w:rFonts w:ascii="Arial" w:hAnsi="Arial" w:cs="Arial"/>
          <w:sz w:val="24"/>
          <w:szCs w:val="24"/>
          <w:lang w:eastAsia="en-GB"/>
        </w:rPr>
        <w:t xml:space="preserve"> </w:t>
      </w:r>
      <w:r w:rsidR="007D78AA">
        <w:rPr>
          <w:rFonts w:ascii="Arial" w:hAnsi="Arial" w:cs="Arial"/>
          <w:sz w:val="24"/>
          <w:szCs w:val="24"/>
          <w:lang w:eastAsia="en-GB"/>
        </w:rPr>
        <w:tab/>
      </w:r>
      <w:r w:rsidR="00E81C20">
        <w:rPr>
          <w:rFonts w:ascii="Arial" w:hAnsi="Arial" w:cs="Arial"/>
          <w:sz w:val="24"/>
          <w:szCs w:val="24"/>
          <w:lang w:eastAsia="en-GB"/>
        </w:rPr>
        <w:t xml:space="preserve">undertaken, including those on </w:t>
      </w:r>
      <w:hyperlink r:id="rId11" w:history="1">
        <w:r w:rsidR="00E81C20" w:rsidRPr="004003CD">
          <w:rPr>
            <w:rStyle w:val="Hyperlink"/>
            <w:rFonts w:ascii="Arial" w:hAnsi="Arial" w:cs="Arial"/>
            <w:sz w:val="24"/>
            <w:szCs w:val="24"/>
            <w:lang w:eastAsia="en-GB"/>
          </w:rPr>
          <w:t>pricing strategies</w:t>
        </w:r>
      </w:hyperlink>
      <w:r w:rsidR="004C6BA1">
        <w:rPr>
          <w:rFonts w:ascii="Arial" w:hAnsi="Arial" w:cs="Arial"/>
          <w:sz w:val="24"/>
          <w:szCs w:val="24"/>
          <w:lang w:eastAsia="en-GB"/>
        </w:rPr>
        <w:t xml:space="preserve">, </w:t>
      </w:r>
      <w:hyperlink r:id="rId12" w:history="1">
        <w:r w:rsidR="004C6BA1" w:rsidRPr="004D51A2">
          <w:rPr>
            <w:rStyle w:val="Hyperlink"/>
            <w:rFonts w:ascii="Arial" w:hAnsi="Arial" w:cs="Arial"/>
            <w:sz w:val="24"/>
            <w:szCs w:val="24"/>
            <w:lang w:eastAsia="en-GB"/>
          </w:rPr>
          <w:t>residents’ parking permits</w:t>
        </w:r>
      </w:hyperlink>
      <w:r w:rsidR="004C6BA1">
        <w:rPr>
          <w:rFonts w:ascii="Arial" w:hAnsi="Arial" w:cs="Arial"/>
          <w:sz w:val="24"/>
          <w:szCs w:val="24"/>
          <w:lang w:eastAsia="en-GB"/>
        </w:rPr>
        <w:t xml:space="preserve"> </w:t>
      </w:r>
      <w:r w:rsidR="004D51A2">
        <w:rPr>
          <w:rFonts w:ascii="Arial" w:hAnsi="Arial" w:cs="Arial"/>
          <w:sz w:val="24"/>
          <w:szCs w:val="24"/>
          <w:lang w:eastAsia="en-GB"/>
        </w:rPr>
        <w:t xml:space="preserve">and </w:t>
      </w:r>
      <w:hyperlink r:id="rId13" w:history="1">
        <w:r w:rsidR="00360B03" w:rsidRPr="00360B03">
          <w:rPr>
            <w:rStyle w:val="Hyperlink"/>
            <w:rFonts w:ascii="Arial" w:hAnsi="Arial" w:cs="Arial"/>
            <w:sz w:val="24"/>
            <w:szCs w:val="24"/>
            <w:lang w:eastAsia="en-GB"/>
          </w:rPr>
          <w:t xml:space="preserve">controlled </w:t>
        </w:r>
        <w:r w:rsidR="007D78AA" w:rsidRPr="007D78AA">
          <w:rPr>
            <w:rStyle w:val="Hyperlink"/>
            <w:rFonts w:ascii="Arial" w:hAnsi="Arial" w:cs="Arial"/>
            <w:sz w:val="24"/>
            <w:szCs w:val="24"/>
            <w:u w:val="none"/>
            <w:lang w:eastAsia="en-GB"/>
          </w:rPr>
          <w:tab/>
        </w:r>
        <w:r w:rsidR="00360B03" w:rsidRPr="00360B03">
          <w:rPr>
            <w:rStyle w:val="Hyperlink"/>
            <w:rFonts w:ascii="Arial" w:hAnsi="Arial" w:cs="Arial"/>
            <w:sz w:val="24"/>
            <w:szCs w:val="24"/>
            <w:lang w:eastAsia="en-GB"/>
          </w:rPr>
          <w:t>parking zones</w:t>
        </w:r>
      </w:hyperlink>
      <w:r w:rsidR="00360B03">
        <w:rPr>
          <w:rFonts w:ascii="Arial" w:hAnsi="Arial" w:cs="Arial"/>
          <w:sz w:val="24"/>
          <w:szCs w:val="24"/>
          <w:lang w:eastAsia="en-GB"/>
        </w:rPr>
        <w:t>.</w:t>
      </w:r>
      <w:r w:rsidR="00A167D2">
        <w:rPr>
          <w:rFonts w:ascii="Arial" w:hAnsi="Arial" w:cs="Arial"/>
          <w:sz w:val="24"/>
          <w:szCs w:val="24"/>
          <w:lang w:eastAsia="en-GB"/>
        </w:rPr>
        <w:t xml:space="preserve">  These assessments include</w:t>
      </w:r>
      <w:r w:rsidR="007A6FAB">
        <w:rPr>
          <w:rFonts w:ascii="Arial" w:hAnsi="Arial" w:cs="Arial"/>
          <w:sz w:val="24"/>
          <w:szCs w:val="24"/>
          <w:lang w:eastAsia="en-GB"/>
        </w:rPr>
        <w:t>d</w:t>
      </w:r>
      <w:r w:rsidR="00A167D2">
        <w:rPr>
          <w:rFonts w:ascii="Arial" w:hAnsi="Arial" w:cs="Arial"/>
          <w:sz w:val="24"/>
          <w:szCs w:val="24"/>
          <w:lang w:eastAsia="en-GB"/>
        </w:rPr>
        <w:t xml:space="preserve"> </w:t>
      </w:r>
      <w:r w:rsidR="00A24E23">
        <w:rPr>
          <w:rFonts w:ascii="Arial" w:hAnsi="Arial" w:cs="Arial"/>
          <w:sz w:val="24"/>
          <w:szCs w:val="24"/>
          <w:lang w:eastAsia="en-GB"/>
        </w:rPr>
        <w:t xml:space="preserve">a comprehensive </w:t>
      </w:r>
      <w:r w:rsidR="007A6FAB">
        <w:rPr>
          <w:rFonts w:ascii="Arial" w:hAnsi="Arial" w:cs="Arial"/>
          <w:sz w:val="24"/>
          <w:szCs w:val="24"/>
          <w:lang w:eastAsia="en-GB"/>
        </w:rPr>
        <w:t>overview</w:t>
      </w:r>
      <w:r w:rsidR="00A24E23">
        <w:rPr>
          <w:rFonts w:ascii="Arial" w:hAnsi="Arial" w:cs="Arial"/>
          <w:sz w:val="24"/>
          <w:szCs w:val="24"/>
          <w:lang w:eastAsia="en-GB"/>
        </w:rPr>
        <w:t xml:space="preserve"> of relevant </w:t>
      </w:r>
      <w:r w:rsidR="007D78AA">
        <w:rPr>
          <w:rFonts w:ascii="Arial" w:hAnsi="Arial" w:cs="Arial"/>
          <w:sz w:val="24"/>
          <w:szCs w:val="24"/>
          <w:lang w:eastAsia="en-GB"/>
        </w:rPr>
        <w:tab/>
      </w:r>
      <w:r w:rsidR="00E46D06">
        <w:rPr>
          <w:rFonts w:ascii="Arial" w:hAnsi="Arial" w:cs="Arial"/>
          <w:sz w:val="24"/>
          <w:szCs w:val="24"/>
          <w:lang w:eastAsia="en-GB"/>
        </w:rPr>
        <w:t>environmental,</w:t>
      </w:r>
      <w:r w:rsidR="008E736F">
        <w:rPr>
          <w:rFonts w:ascii="Arial" w:hAnsi="Arial" w:cs="Arial"/>
          <w:sz w:val="24"/>
          <w:szCs w:val="24"/>
          <w:lang w:eastAsia="en-GB"/>
        </w:rPr>
        <w:t xml:space="preserve"> equality-related and environmental considerations</w:t>
      </w:r>
      <w:r w:rsidR="007D78AA">
        <w:rPr>
          <w:rFonts w:ascii="Arial" w:hAnsi="Arial" w:cs="Arial"/>
          <w:sz w:val="24"/>
          <w:szCs w:val="24"/>
          <w:lang w:eastAsia="en-GB"/>
        </w:rPr>
        <w:t xml:space="preserve"> and </w:t>
      </w:r>
      <w:hyperlink r:id="rId14" w:history="1">
        <w:r w:rsidR="007D78AA" w:rsidRPr="00EC7478">
          <w:rPr>
            <w:rStyle w:val="Hyperlink"/>
            <w:rFonts w:ascii="Arial" w:hAnsi="Arial" w:cs="Arial"/>
            <w:sz w:val="24"/>
            <w:szCs w:val="24"/>
            <w:lang w:eastAsia="en-GB"/>
          </w:rPr>
          <w:t>an updated IIA</w:t>
        </w:r>
      </w:hyperlink>
      <w:r w:rsidR="007D78AA">
        <w:rPr>
          <w:rFonts w:ascii="Arial" w:hAnsi="Arial" w:cs="Arial"/>
          <w:sz w:val="24"/>
          <w:szCs w:val="24"/>
          <w:lang w:eastAsia="en-GB"/>
        </w:rPr>
        <w:t xml:space="preserve"> has </w:t>
      </w:r>
      <w:r w:rsidR="0017119C">
        <w:rPr>
          <w:rFonts w:ascii="Arial" w:hAnsi="Arial" w:cs="Arial"/>
          <w:sz w:val="24"/>
          <w:szCs w:val="24"/>
          <w:lang w:eastAsia="en-GB"/>
        </w:rPr>
        <w:tab/>
      </w:r>
      <w:r w:rsidR="007D78AA">
        <w:rPr>
          <w:rFonts w:ascii="Arial" w:hAnsi="Arial" w:cs="Arial"/>
          <w:sz w:val="24"/>
          <w:szCs w:val="24"/>
          <w:lang w:eastAsia="en-GB"/>
        </w:rPr>
        <w:t>been produc</w:t>
      </w:r>
      <w:r w:rsidR="0017119C">
        <w:rPr>
          <w:rFonts w:ascii="Arial" w:hAnsi="Arial" w:cs="Arial"/>
          <w:sz w:val="24"/>
          <w:szCs w:val="24"/>
          <w:lang w:eastAsia="en-GB"/>
        </w:rPr>
        <w:t xml:space="preserve">ed as part of this year’s budget process.  </w:t>
      </w:r>
      <w:r w:rsidR="008E736F">
        <w:rPr>
          <w:rFonts w:ascii="Arial" w:hAnsi="Arial" w:cs="Arial"/>
          <w:sz w:val="24"/>
          <w:szCs w:val="24"/>
          <w:lang w:eastAsia="en-GB"/>
        </w:rPr>
        <w:t xml:space="preserve">  </w:t>
      </w:r>
    </w:p>
    <w:p w14:paraId="6A2EA568" w14:textId="71BB92EB" w:rsidR="00700F0D" w:rsidRDefault="00CA5A4E" w:rsidP="008C02C2">
      <w:pPr>
        <w:spacing w:after="240" w:line="240" w:lineRule="auto"/>
        <w:rPr>
          <w:rFonts w:ascii="Arial" w:hAnsi="Arial" w:cs="Arial"/>
          <w:b/>
          <w:bCs/>
          <w:sz w:val="24"/>
          <w:szCs w:val="24"/>
          <w:lang w:eastAsia="en-GB"/>
        </w:rPr>
      </w:pPr>
      <w:r>
        <w:rPr>
          <w:rFonts w:ascii="Arial" w:hAnsi="Arial" w:cs="Arial"/>
          <w:sz w:val="24"/>
          <w:szCs w:val="24"/>
          <w:lang w:eastAsia="en-GB"/>
        </w:rPr>
        <w:tab/>
      </w:r>
      <w:r w:rsidRPr="00CA5A4E">
        <w:rPr>
          <w:rFonts w:ascii="Arial" w:hAnsi="Arial" w:cs="Arial"/>
          <w:b/>
          <w:bCs/>
          <w:sz w:val="24"/>
          <w:szCs w:val="24"/>
          <w:lang w:eastAsia="en-GB"/>
        </w:rPr>
        <w:t xml:space="preserve">Income generated by changes in fees and charges rates </w:t>
      </w:r>
      <w:r w:rsidR="006F6F8D" w:rsidRPr="00CA5A4E">
        <w:rPr>
          <w:rFonts w:ascii="Arial" w:hAnsi="Arial" w:cs="Arial"/>
          <w:b/>
          <w:bCs/>
          <w:sz w:val="24"/>
          <w:szCs w:val="24"/>
          <w:lang w:eastAsia="en-GB"/>
        </w:rPr>
        <w:t xml:space="preserve"> </w:t>
      </w:r>
      <w:r w:rsidR="004D34FE" w:rsidRPr="00CA5A4E">
        <w:rPr>
          <w:rFonts w:ascii="Arial" w:hAnsi="Arial" w:cs="Arial"/>
          <w:b/>
          <w:bCs/>
          <w:sz w:val="24"/>
          <w:szCs w:val="24"/>
          <w:lang w:eastAsia="en-GB"/>
        </w:rPr>
        <w:t xml:space="preserve"> </w:t>
      </w:r>
    </w:p>
    <w:p w14:paraId="62BA8580" w14:textId="5DA42AEF" w:rsidR="000D4A45" w:rsidRDefault="00700F0D" w:rsidP="008C02C2">
      <w:pPr>
        <w:spacing w:after="240" w:line="240" w:lineRule="auto"/>
        <w:rPr>
          <w:rFonts w:ascii="Arial" w:hAnsi="Arial" w:cs="Arial"/>
          <w:sz w:val="24"/>
          <w:szCs w:val="24"/>
          <w:lang w:eastAsia="en-GB"/>
        </w:rPr>
      </w:pPr>
      <w:r w:rsidRPr="00700F0D">
        <w:rPr>
          <w:rFonts w:ascii="Arial" w:hAnsi="Arial" w:cs="Arial"/>
          <w:sz w:val="24"/>
          <w:szCs w:val="24"/>
          <w:lang w:eastAsia="en-GB"/>
        </w:rPr>
        <w:t>1.18</w:t>
      </w:r>
      <w:r w:rsidRPr="00700F0D">
        <w:rPr>
          <w:rFonts w:ascii="Arial" w:hAnsi="Arial" w:cs="Arial"/>
          <w:sz w:val="24"/>
          <w:szCs w:val="24"/>
          <w:lang w:eastAsia="en-GB"/>
        </w:rPr>
        <w:tab/>
      </w:r>
      <w:r w:rsidR="00B403C8">
        <w:rPr>
          <w:rFonts w:ascii="Arial" w:hAnsi="Arial" w:cs="Arial"/>
          <w:sz w:val="24"/>
          <w:szCs w:val="24"/>
          <w:lang w:eastAsia="en-GB"/>
        </w:rPr>
        <w:t xml:space="preserve">The table below provides a broad indication of </w:t>
      </w:r>
      <w:r w:rsidR="00033D1F">
        <w:rPr>
          <w:rFonts w:ascii="Arial" w:hAnsi="Arial" w:cs="Arial"/>
          <w:sz w:val="24"/>
          <w:szCs w:val="24"/>
          <w:lang w:eastAsia="en-GB"/>
        </w:rPr>
        <w:t xml:space="preserve">the </w:t>
      </w:r>
      <w:r w:rsidR="00DD18F6">
        <w:rPr>
          <w:rFonts w:ascii="Arial" w:hAnsi="Arial" w:cs="Arial"/>
          <w:sz w:val="24"/>
          <w:szCs w:val="24"/>
          <w:lang w:eastAsia="en-GB"/>
        </w:rPr>
        <w:t xml:space="preserve">current </w:t>
      </w:r>
      <w:r w:rsidR="00033D1F">
        <w:rPr>
          <w:rFonts w:ascii="Arial" w:hAnsi="Arial" w:cs="Arial"/>
          <w:sz w:val="24"/>
          <w:szCs w:val="24"/>
          <w:lang w:eastAsia="en-GB"/>
        </w:rPr>
        <w:t xml:space="preserve">level of income raised by a range </w:t>
      </w:r>
      <w:r w:rsidR="00DD18F6">
        <w:rPr>
          <w:rFonts w:ascii="Arial" w:hAnsi="Arial" w:cs="Arial"/>
          <w:sz w:val="24"/>
          <w:szCs w:val="24"/>
          <w:lang w:eastAsia="en-GB"/>
        </w:rPr>
        <w:tab/>
      </w:r>
      <w:r w:rsidR="00033D1F">
        <w:rPr>
          <w:rFonts w:ascii="Arial" w:hAnsi="Arial" w:cs="Arial"/>
          <w:sz w:val="24"/>
          <w:szCs w:val="24"/>
          <w:lang w:eastAsia="en-GB"/>
        </w:rPr>
        <w:t>of fees and charges.</w:t>
      </w:r>
      <w:r w:rsidR="00DD18F6">
        <w:rPr>
          <w:rFonts w:ascii="Arial" w:hAnsi="Arial" w:cs="Arial"/>
          <w:sz w:val="24"/>
          <w:szCs w:val="24"/>
          <w:lang w:eastAsia="en-GB"/>
        </w:rPr>
        <w:t xml:space="preserve">  Officers will, however, be able to provide further details on the </w:t>
      </w:r>
      <w:r w:rsidR="00DD18F6">
        <w:rPr>
          <w:rFonts w:ascii="Arial" w:hAnsi="Arial" w:cs="Arial"/>
          <w:sz w:val="24"/>
          <w:szCs w:val="24"/>
          <w:lang w:eastAsia="en-GB"/>
        </w:rPr>
        <w:lastRenderedPageBreak/>
        <w:tab/>
      </w:r>
      <w:r w:rsidR="00FB192E">
        <w:rPr>
          <w:rFonts w:ascii="Arial" w:hAnsi="Arial" w:cs="Arial"/>
          <w:sz w:val="24"/>
          <w:szCs w:val="24"/>
          <w:lang w:eastAsia="en-GB"/>
        </w:rPr>
        <w:t xml:space="preserve">associated changes </w:t>
      </w:r>
      <w:r w:rsidR="00EB57D8">
        <w:rPr>
          <w:rFonts w:ascii="Arial" w:hAnsi="Arial" w:cs="Arial"/>
          <w:sz w:val="24"/>
          <w:szCs w:val="24"/>
          <w:lang w:eastAsia="en-GB"/>
        </w:rPr>
        <w:t>i</w:t>
      </w:r>
      <w:r w:rsidR="00FB192E">
        <w:rPr>
          <w:rFonts w:ascii="Arial" w:hAnsi="Arial" w:cs="Arial"/>
          <w:sz w:val="24"/>
          <w:szCs w:val="24"/>
          <w:lang w:eastAsia="en-GB"/>
        </w:rPr>
        <w:t>n overall income levels</w:t>
      </w:r>
      <w:r w:rsidR="00012EAB">
        <w:rPr>
          <w:rFonts w:ascii="Arial" w:hAnsi="Arial" w:cs="Arial"/>
          <w:sz w:val="24"/>
          <w:szCs w:val="24"/>
          <w:lang w:eastAsia="en-GB"/>
        </w:rPr>
        <w:t xml:space="preserve"> for a range of scenarios</w:t>
      </w:r>
      <w:r w:rsidR="00FB192E">
        <w:rPr>
          <w:rFonts w:ascii="Arial" w:hAnsi="Arial" w:cs="Arial"/>
          <w:sz w:val="24"/>
          <w:szCs w:val="24"/>
          <w:lang w:eastAsia="en-GB"/>
        </w:rPr>
        <w:t xml:space="preserve">, taking into account the </w:t>
      </w:r>
      <w:r w:rsidR="00012EAB">
        <w:rPr>
          <w:rFonts w:ascii="Arial" w:hAnsi="Arial" w:cs="Arial"/>
          <w:sz w:val="24"/>
          <w:szCs w:val="24"/>
          <w:lang w:eastAsia="en-GB"/>
        </w:rPr>
        <w:tab/>
      </w:r>
      <w:r w:rsidR="00FB192E">
        <w:rPr>
          <w:rFonts w:ascii="Arial" w:hAnsi="Arial" w:cs="Arial"/>
          <w:sz w:val="24"/>
          <w:szCs w:val="24"/>
          <w:lang w:eastAsia="en-GB"/>
        </w:rPr>
        <w:t xml:space="preserve">effects on demand.  </w:t>
      </w:r>
      <w:r w:rsidR="00706964">
        <w:rPr>
          <w:rFonts w:ascii="Arial" w:hAnsi="Arial" w:cs="Arial"/>
          <w:sz w:val="24"/>
          <w:szCs w:val="24"/>
          <w:lang w:eastAsia="en-GB"/>
        </w:rPr>
        <w:tab/>
      </w:r>
    </w:p>
    <w:tbl>
      <w:tblPr>
        <w:tblW w:w="5720" w:type="dxa"/>
        <w:jc w:val="center"/>
        <w:tblLook w:val="04A0" w:firstRow="1" w:lastRow="0" w:firstColumn="1" w:lastColumn="0" w:noHBand="0" w:noVBand="1"/>
      </w:tblPr>
      <w:tblGrid>
        <w:gridCol w:w="4540"/>
        <w:gridCol w:w="1180"/>
      </w:tblGrid>
      <w:tr w:rsidR="000D4A45" w:rsidRPr="000D4A45" w14:paraId="6DFE72E6" w14:textId="77777777" w:rsidTr="000D4A45">
        <w:trPr>
          <w:trHeight w:val="315"/>
          <w:jc w:val="center"/>
        </w:trPr>
        <w:tc>
          <w:tcPr>
            <w:tcW w:w="454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8A077B0" w14:textId="77777777" w:rsidR="000D4A45" w:rsidRPr="000D4A45" w:rsidRDefault="000D4A45" w:rsidP="000D4A45">
            <w:pPr>
              <w:spacing w:after="0" w:line="240" w:lineRule="auto"/>
              <w:rPr>
                <w:rFonts w:ascii="Arial" w:eastAsia="Times New Roman" w:hAnsi="Arial" w:cs="Arial"/>
                <w:b/>
                <w:bCs/>
                <w:color w:val="000000"/>
                <w:sz w:val="24"/>
                <w:szCs w:val="24"/>
                <w:lang w:eastAsia="en-GB"/>
              </w:rPr>
            </w:pPr>
            <w:r w:rsidRPr="000D4A45">
              <w:rPr>
                <w:rFonts w:ascii="Arial" w:eastAsia="Times New Roman" w:hAnsi="Arial" w:cs="Arial"/>
                <w:b/>
                <w:bCs/>
                <w:color w:val="000000"/>
                <w:sz w:val="24"/>
                <w:szCs w:val="24"/>
                <w:lang w:eastAsia="en-GB"/>
              </w:rPr>
              <w:t>Service Area</w:t>
            </w:r>
          </w:p>
        </w:tc>
        <w:tc>
          <w:tcPr>
            <w:tcW w:w="1180" w:type="dxa"/>
            <w:tcBorders>
              <w:top w:val="single" w:sz="8" w:space="0" w:color="auto"/>
              <w:left w:val="nil"/>
              <w:bottom w:val="single" w:sz="8" w:space="0" w:color="auto"/>
              <w:right w:val="single" w:sz="8" w:space="0" w:color="auto"/>
            </w:tcBorders>
            <w:shd w:val="clear" w:color="000000" w:fill="BFBFBF"/>
            <w:noWrap/>
            <w:vAlign w:val="center"/>
            <w:hideMark/>
          </w:tcPr>
          <w:p w14:paraId="2F1C5BE7" w14:textId="77777777" w:rsidR="000D4A45" w:rsidRPr="000D4A45" w:rsidRDefault="000D4A45" w:rsidP="000D4A45">
            <w:pPr>
              <w:spacing w:after="0" w:line="240" w:lineRule="auto"/>
              <w:jc w:val="right"/>
              <w:rPr>
                <w:rFonts w:ascii="Arial" w:eastAsia="Times New Roman" w:hAnsi="Arial" w:cs="Arial"/>
                <w:b/>
                <w:bCs/>
                <w:color w:val="000000"/>
                <w:sz w:val="24"/>
                <w:szCs w:val="24"/>
                <w:lang w:eastAsia="en-GB"/>
              </w:rPr>
            </w:pPr>
            <w:r w:rsidRPr="000D4A45">
              <w:rPr>
                <w:rFonts w:ascii="Arial" w:eastAsia="Times New Roman" w:hAnsi="Arial" w:cs="Arial"/>
                <w:b/>
                <w:bCs/>
                <w:color w:val="000000"/>
                <w:sz w:val="24"/>
                <w:szCs w:val="24"/>
                <w:lang w:eastAsia="en-GB"/>
              </w:rPr>
              <w:t>£m</w:t>
            </w:r>
          </w:p>
        </w:tc>
      </w:tr>
      <w:tr w:rsidR="000D4A45" w:rsidRPr="000D4A45" w14:paraId="15574788"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000000" w:fill="FFFFFF"/>
            <w:noWrap/>
            <w:vAlign w:val="center"/>
            <w:hideMark/>
          </w:tcPr>
          <w:p w14:paraId="558AD46B" w14:textId="77777777"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Community Access to Schools</w:t>
            </w:r>
          </w:p>
        </w:tc>
        <w:tc>
          <w:tcPr>
            <w:tcW w:w="1180" w:type="dxa"/>
            <w:tcBorders>
              <w:top w:val="nil"/>
              <w:left w:val="nil"/>
              <w:bottom w:val="single" w:sz="8" w:space="0" w:color="auto"/>
              <w:right w:val="single" w:sz="8" w:space="0" w:color="auto"/>
            </w:tcBorders>
            <w:shd w:val="clear" w:color="000000" w:fill="FFFFFF"/>
            <w:noWrap/>
            <w:vAlign w:val="center"/>
            <w:hideMark/>
          </w:tcPr>
          <w:p w14:paraId="4A03F83E"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2.4</w:t>
            </w:r>
          </w:p>
        </w:tc>
      </w:tr>
      <w:tr w:rsidR="000D4A45" w:rsidRPr="000D4A45" w14:paraId="701BBFA0"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auto" w:fill="auto"/>
            <w:noWrap/>
            <w:vAlign w:val="center"/>
            <w:hideMark/>
          </w:tcPr>
          <w:p w14:paraId="505FDA30" w14:textId="77777777"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Outdoor Centres</w:t>
            </w:r>
          </w:p>
        </w:tc>
        <w:tc>
          <w:tcPr>
            <w:tcW w:w="1180" w:type="dxa"/>
            <w:tcBorders>
              <w:top w:val="nil"/>
              <w:left w:val="nil"/>
              <w:bottom w:val="single" w:sz="8" w:space="0" w:color="auto"/>
              <w:right w:val="single" w:sz="8" w:space="0" w:color="auto"/>
            </w:tcBorders>
            <w:shd w:val="clear" w:color="auto" w:fill="auto"/>
            <w:noWrap/>
            <w:vAlign w:val="center"/>
            <w:hideMark/>
          </w:tcPr>
          <w:p w14:paraId="08423C9B"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2.2</w:t>
            </w:r>
          </w:p>
        </w:tc>
      </w:tr>
      <w:tr w:rsidR="000D4A45" w:rsidRPr="000D4A45" w14:paraId="3DC8546B"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auto" w:fill="auto"/>
            <w:noWrap/>
            <w:vAlign w:val="center"/>
            <w:hideMark/>
          </w:tcPr>
          <w:p w14:paraId="73935B9A" w14:textId="77777777"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School Meals</w:t>
            </w:r>
          </w:p>
        </w:tc>
        <w:tc>
          <w:tcPr>
            <w:tcW w:w="1180" w:type="dxa"/>
            <w:tcBorders>
              <w:top w:val="nil"/>
              <w:left w:val="nil"/>
              <w:bottom w:val="single" w:sz="8" w:space="0" w:color="auto"/>
              <w:right w:val="single" w:sz="8" w:space="0" w:color="auto"/>
            </w:tcBorders>
            <w:shd w:val="clear" w:color="auto" w:fill="auto"/>
            <w:noWrap/>
            <w:vAlign w:val="center"/>
            <w:hideMark/>
          </w:tcPr>
          <w:p w14:paraId="772E1429"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1.8</w:t>
            </w:r>
          </w:p>
        </w:tc>
      </w:tr>
      <w:tr w:rsidR="000D4A45" w:rsidRPr="000D4A45" w14:paraId="48CDC304"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auto" w:fill="auto"/>
            <w:noWrap/>
            <w:vAlign w:val="center"/>
            <w:hideMark/>
          </w:tcPr>
          <w:p w14:paraId="495B5986" w14:textId="0246596C"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Usher Hall and Assembly Rooms Rental</w:t>
            </w:r>
            <w:r w:rsidR="00C80EDA">
              <w:rPr>
                <w:rFonts w:ascii="Arial" w:eastAsia="Times New Roman" w:hAnsi="Arial" w:cs="Arial"/>
                <w:color w:val="000000"/>
                <w:sz w:val="24"/>
                <w:szCs w:val="24"/>
                <w:lang w:eastAsia="en-GB"/>
              </w:rPr>
              <w:t>s</w:t>
            </w:r>
          </w:p>
        </w:tc>
        <w:tc>
          <w:tcPr>
            <w:tcW w:w="1180" w:type="dxa"/>
            <w:tcBorders>
              <w:top w:val="nil"/>
              <w:left w:val="nil"/>
              <w:bottom w:val="single" w:sz="8" w:space="0" w:color="auto"/>
              <w:right w:val="single" w:sz="8" w:space="0" w:color="auto"/>
            </w:tcBorders>
            <w:shd w:val="clear" w:color="auto" w:fill="auto"/>
            <w:noWrap/>
            <w:vAlign w:val="center"/>
            <w:hideMark/>
          </w:tcPr>
          <w:p w14:paraId="50863C8D"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1.6</w:t>
            </w:r>
          </w:p>
        </w:tc>
      </w:tr>
      <w:tr w:rsidR="000D4A45" w:rsidRPr="000D4A45" w14:paraId="25CDB3F7"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auto" w:fill="auto"/>
            <w:noWrap/>
            <w:vAlign w:val="center"/>
            <w:hideMark/>
          </w:tcPr>
          <w:p w14:paraId="18BF4978" w14:textId="77777777"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Culture - Various</w:t>
            </w:r>
          </w:p>
        </w:tc>
        <w:tc>
          <w:tcPr>
            <w:tcW w:w="1180" w:type="dxa"/>
            <w:tcBorders>
              <w:top w:val="nil"/>
              <w:left w:val="nil"/>
              <w:bottom w:val="single" w:sz="8" w:space="0" w:color="auto"/>
              <w:right w:val="single" w:sz="8" w:space="0" w:color="auto"/>
            </w:tcBorders>
            <w:shd w:val="clear" w:color="auto" w:fill="auto"/>
            <w:noWrap/>
            <w:vAlign w:val="center"/>
            <w:hideMark/>
          </w:tcPr>
          <w:p w14:paraId="7D725256"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1.2</w:t>
            </w:r>
          </w:p>
        </w:tc>
      </w:tr>
      <w:tr w:rsidR="000D4A45" w:rsidRPr="000D4A45" w14:paraId="0B24C441"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auto" w:fill="auto"/>
            <w:noWrap/>
            <w:vAlign w:val="center"/>
            <w:hideMark/>
          </w:tcPr>
          <w:p w14:paraId="5F7DD4FC" w14:textId="77777777"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Tables and chairs permits</w:t>
            </w:r>
          </w:p>
        </w:tc>
        <w:tc>
          <w:tcPr>
            <w:tcW w:w="1180" w:type="dxa"/>
            <w:tcBorders>
              <w:top w:val="nil"/>
              <w:left w:val="nil"/>
              <w:bottom w:val="single" w:sz="8" w:space="0" w:color="auto"/>
              <w:right w:val="single" w:sz="8" w:space="0" w:color="auto"/>
            </w:tcBorders>
            <w:shd w:val="clear" w:color="auto" w:fill="auto"/>
            <w:noWrap/>
            <w:vAlign w:val="center"/>
            <w:hideMark/>
          </w:tcPr>
          <w:p w14:paraId="7960A19C"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0.6</w:t>
            </w:r>
          </w:p>
        </w:tc>
      </w:tr>
      <w:tr w:rsidR="000D4A45" w:rsidRPr="000D4A45" w14:paraId="412FD585"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auto" w:fill="auto"/>
            <w:noWrap/>
            <w:vAlign w:val="center"/>
            <w:hideMark/>
          </w:tcPr>
          <w:p w14:paraId="1C89985B" w14:textId="77777777"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Port Facilities - Cruise Liners</w:t>
            </w:r>
          </w:p>
        </w:tc>
        <w:tc>
          <w:tcPr>
            <w:tcW w:w="1180" w:type="dxa"/>
            <w:tcBorders>
              <w:top w:val="nil"/>
              <w:left w:val="nil"/>
              <w:bottom w:val="single" w:sz="8" w:space="0" w:color="auto"/>
              <w:right w:val="single" w:sz="8" w:space="0" w:color="auto"/>
            </w:tcBorders>
            <w:shd w:val="clear" w:color="auto" w:fill="auto"/>
            <w:noWrap/>
            <w:vAlign w:val="center"/>
            <w:hideMark/>
          </w:tcPr>
          <w:p w14:paraId="65A68B03"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0.5</w:t>
            </w:r>
          </w:p>
        </w:tc>
      </w:tr>
      <w:tr w:rsidR="000D4A45" w:rsidRPr="000D4A45" w14:paraId="56C04134"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auto" w:fill="auto"/>
            <w:noWrap/>
            <w:vAlign w:val="center"/>
            <w:hideMark/>
          </w:tcPr>
          <w:p w14:paraId="631F2A94" w14:textId="77777777"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Housing - Stair cleaning</w:t>
            </w:r>
          </w:p>
        </w:tc>
        <w:tc>
          <w:tcPr>
            <w:tcW w:w="1180" w:type="dxa"/>
            <w:tcBorders>
              <w:top w:val="nil"/>
              <w:left w:val="nil"/>
              <w:bottom w:val="single" w:sz="8" w:space="0" w:color="auto"/>
              <w:right w:val="single" w:sz="8" w:space="0" w:color="auto"/>
            </w:tcBorders>
            <w:shd w:val="clear" w:color="auto" w:fill="auto"/>
            <w:noWrap/>
            <w:vAlign w:val="center"/>
            <w:hideMark/>
          </w:tcPr>
          <w:p w14:paraId="3DB152BF"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0.4</w:t>
            </w:r>
          </w:p>
        </w:tc>
      </w:tr>
      <w:tr w:rsidR="000D4A45" w:rsidRPr="000D4A45" w14:paraId="04356643"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auto" w:fill="auto"/>
            <w:noWrap/>
            <w:vAlign w:val="center"/>
            <w:hideMark/>
          </w:tcPr>
          <w:p w14:paraId="28923D3C" w14:textId="77777777"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 xml:space="preserve">TTROs </w:t>
            </w:r>
          </w:p>
        </w:tc>
        <w:tc>
          <w:tcPr>
            <w:tcW w:w="1180" w:type="dxa"/>
            <w:tcBorders>
              <w:top w:val="nil"/>
              <w:left w:val="nil"/>
              <w:bottom w:val="single" w:sz="8" w:space="0" w:color="auto"/>
              <w:right w:val="single" w:sz="8" w:space="0" w:color="auto"/>
            </w:tcBorders>
            <w:shd w:val="clear" w:color="auto" w:fill="auto"/>
            <w:noWrap/>
            <w:vAlign w:val="center"/>
            <w:hideMark/>
          </w:tcPr>
          <w:p w14:paraId="0D43FC5E"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0.4</w:t>
            </w:r>
          </w:p>
        </w:tc>
      </w:tr>
      <w:tr w:rsidR="000D4A45" w:rsidRPr="000D4A45" w14:paraId="052A74BE"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auto" w:fill="auto"/>
            <w:noWrap/>
            <w:vAlign w:val="center"/>
            <w:hideMark/>
          </w:tcPr>
          <w:p w14:paraId="0FA0D017" w14:textId="77777777"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Registrars - Discretionary Charges</w:t>
            </w:r>
          </w:p>
        </w:tc>
        <w:tc>
          <w:tcPr>
            <w:tcW w:w="1180" w:type="dxa"/>
            <w:tcBorders>
              <w:top w:val="nil"/>
              <w:left w:val="nil"/>
              <w:bottom w:val="single" w:sz="8" w:space="0" w:color="auto"/>
              <w:right w:val="single" w:sz="8" w:space="0" w:color="auto"/>
            </w:tcBorders>
            <w:shd w:val="clear" w:color="auto" w:fill="auto"/>
            <w:noWrap/>
            <w:vAlign w:val="center"/>
            <w:hideMark/>
          </w:tcPr>
          <w:p w14:paraId="275BBB3A"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0.4</w:t>
            </w:r>
          </w:p>
        </w:tc>
      </w:tr>
      <w:tr w:rsidR="000D4A45" w:rsidRPr="000D4A45" w14:paraId="22B9072A" w14:textId="77777777" w:rsidTr="000D4A45">
        <w:trPr>
          <w:trHeight w:val="315"/>
          <w:jc w:val="center"/>
        </w:trPr>
        <w:tc>
          <w:tcPr>
            <w:tcW w:w="4540" w:type="dxa"/>
            <w:tcBorders>
              <w:top w:val="nil"/>
              <w:left w:val="single" w:sz="8" w:space="0" w:color="auto"/>
              <w:bottom w:val="single" w:sz="8" w:space="0" w:color="auto"/>
              <w:right w:val="single" w:sz="8" w:space="0" w:color="auto"/>
            </w:tcBorders>
            <w:shd w:val="clear" w:color="auto" w:fill="auto"/>
            <w:noWrap/>
            <w:vAlign w:val="center"/>
            <w:hideMark/>
          </w:tcPr>
          <w:p w14:paraId="48CD5A3D" w14:textId="77777777" w:rsidR="000D4A45" w:rsidRPr="000D4A45" w:rsidRDefault="000D4A45" w:rsidP="000D4A45">
            <w:pPr>
              <w:spacing w:after="0" w:line="240" w:lineRule="auto"/>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 xml:space="preserve">Adult Education </w:t>
            </w:r>
          </w:p>
        </w:tc>
        <w:tc>
          <w:tcPr>
            <w:tcW w:w="1180" w:type="dxa"/>
            <w:tcBorders>
              <w:top w:val="nil"/>
              <w:left w:val="nil"/>
              <w:bottom w:val="single" w:sz="8" w:space="0" w:color="auto"/>
              <w:right w:val="single" w:sz="8" w:space="0" w:color="auto"/>
            </w:tcBorders>
            <w:shd w:val="clear" w:color="auto" w:fill="auto"/>
            <w:noWrap/>
            <w:vAlign w:val="center"/>
            <w:hideMark/>
          </w:tcPr>
          <w:p w14:paraId="090BBF5D" w14:textId="77777777" w:rsidR="000D4A45" w:rsidRPr="000D4A45" w:rsidRDefault="000D4A45" w:rsidP="000D4A45">
            <w:pPr>
              <w:spacing w:after="0" w:line="240" w:lineRule="auto"/>
              <w:jc w:val="right"/>
              <w:rPr>
                <w:rFonts w:ascii="Arial" w:eastAsia="Times New Roman" w:hAnsi="Arial" w:cs="Arial"/>
                <w:color w:val="000000"/>
                <w:sz w:val="24"/>
                <w:szCs w:val="24"/>
                <w:lang w:eastAsia="en-GB"/>
              </w:rPr>
            </w:pPr>
            <w:r w:rsidRPr="000D4A45">
              <w:rPr>
                <w:rFonts w:ascii="Arial" w:eastAsia="Times New Roman" w:hAnsi="Arial" w:cs="Arial"/>
                <w:color w:val="000000"/>
                <w:sz w:val="24"/>
                <w:szCs w:val="24"/>
                <w:lang w:eastAsia="en-GB"/>
              </w:rPr>
              <w:t>0.3</w:t>
            </w:r>
          </w:p>
        </w:tc>
      </w:tr>
    </w:tbl>
    <w:p w14:paraId="205553CA" w14:textId="38504F0C" w:rsidR="009D630F" w:rsidRDefault="009D630F" w:rsidP="008C02C2">
      <w:pPr>
        <w:spacing w:after="240" w:line="240" w:lineRule="auto"/>
        <w:rPr>
          <w:rFonts w:ascii="Arial" w:hAnsi="Arial" w:cs="Arial"/>
          <w:sz w:val="24"/>
          <w:szCs w:val="24"/>
          <w:lang w:eastAsia="en-GB"/>
        </w:rPr>
      </w:pPr>
    </w:p>
    <w:p w14:paraId="775C0C65" w14:textId="1BF1C626" w:rsidR="000D4A45" w:rsidRDefault="000D4A45" w:rsidP="008C02C2">
      <w:pPr>
        <w:spacing w:after="240" w:line="240" w:lineRule="auto"/>
        <w:rPr>
          <w:rFonts w:ascii="Arial" w:hAnsi="Arial" w:cs="Arial"/>
          <w:sz w:val="24"/>
          <w:szCs w:val="24"/>
          <w:lang w:eastAsia="en-GB"/>
        </w:rPr>
      </w:pPr>
      <w:r>
        <w:rPr>
          <w:rFonts w:ascii="Arial" w:hAnsi="Arial" w:cs="Arial"/>
          <w:sz w:val="24"/>
          <w:szCs w:val="24"/>
          <w:lang w:eastAsia="en-GB"/>
        </w:rPr>
        <w:t>1.19</w:t>
      </w:r>
      <w:r>
        <w:rPr>
          <w:rFonts w:ascii="Arial" w:hAnsi="Arial" w:cs="Arial"/>
          <w:sz w:val="24"/>
          <w:szCs w:val="24"/>
          <w:lang w:eastAsia="en-GB"/>
        </w:rPr>
        <w:tab/>
      </w:r>
      <w:r w:rsidR="00EB57D8">
        <w:rPr>
          <w:rFonts w:ascii="Arial" w:hAnsi="Arial" w:cs="Arial"/>
          <w:sz w:val="24"/>
          <w:szCs w:val="24"/>
          <w:lang w:eastAsia="en-GB"/>
        </w:rPr>
        <w:t xml:space="preserve">The additional income raised by changes in </w:t>
      </w:r>
      <w:r w:rsidR="00EB57D8" w:rsidRPr="00B00CDC">
        <w:rPr>
          <w:rFonts w:ascii="Arial" w:hAnsi="Arial" w:cs="Arial"/>
          <w:b/>
          <w:bCs/>
          <w:sz w:val="24"/>
          <w:szCs w:val="24"/>
          <w:lang w:eastAsia="en-GB"/>
        </w:rPr>
        <w:t>parking charges</w:t>
      </w:r>
      <w:r w:rsidR="00EB57D8">
        <w:rPr>
          <w:rFonts w:ascii="Arial" w:hAnsi="Arial" w:cs="Arial"/>
          <w:sz w:val="24"/>
          <w:szCs w:val="24"/>
          <w:lang w:eastAsia="en-GB"/>
        </w:rPr>
        <w:t xml:space="preserve"> is affected by consequent </w:t>
      </w:r>
      <w:r w:rsidR="00EB57D8">
        <w:rPr>
          <w:rFonts w:ascii="Arial" w:hAnsi="Arial" w:cs="Arial"/>
          <w:sz w:val="24"/>
          <w:szCs w:val="24"/>
          <w:lang w:eastAsia="en-GB"/>
        </w:rPr>
        <w:tab/>
        <w:t>changes in deman</w:t>
      </w:r>
      <w:r w:rsidR="0020369E">
        <w:rPr>
          <w:rFonts w:ascii="Arial" w:hAnsi="Arial" w:cs="Arial"/>
          <w:sz w:val="24"/>
          <w:szCs w:val="24"/>
          <w:lang w:eastAsia="en-GB"/>
        </w:rPr>
        <w:t xml:space="preserve">d, consistent with the policy intent.  It is estimated by officers that each 1% </w:t>
      </w:r>
      <w:r w:rsidR="002240F8">
        <w:rPr>
          <w:rFonts w:ascii="Arial" w:hAnsi="Arial" w:cs="Arial"/>
          <w:sz w:val="24"/>
          <w:szCs w:val="24"/>
          <w:lang w:eastAsia="en-GB"/>
        </w:rPr>
        <w:tab/>
      </w:r>
      <w:r w:rsidR="0020369E">
        <w:rPr>
          <w:rFonts w:ascii="Arial" w:hAnsi="Arial" w:cs="Arial"/>
          <w:sz w:val="24"/>
          <w:szCs w:val="24"/>
          <w:lang w:eastAsia="en-GB"/>
        </w:rPr>
        <w:t xml:space="preserve">change </w:t>
      </w:r>
      <w:r w:rsidR="002240F8">
        <w:rPr>
          <w:rFonts w:ascii="Arial" w:hAnsi="Arial" w:cs="Arial"/>
          <w:sz w:val="24"/>
          <w:szCs w:val="24"/>
          <w:lang w:eastAsia="en-GB"/>
        </w:rPr>
        <w:t>in charge would increase, or decrease, overall income by £0.120m.  Th</w:t>
      </w:r>
      <w:r w:rsidR="00E12126">
        <w:rPr>
          <w:rFonts w:ascii="Arial" w:hAnsi="Arial" w:cs="Arial"/>
          <w:sz w:val="24"/>
          <w:szCs w:val="24"/>
          <w:lang w:eastAsia="en-GB"/>
        </w:rPr>
        <w:t xml:space="preserve">e officer </w:t>
      </w:r>
      <w:r w:rsidR="00E12126">
        <w:rPr>
          <w:rFonts w:ascii="Arial" w:hAnsi="Arial" w:cs="Arial"/>
          <w:sz w:val="24"/>
          <w:szCs w:val="24"/>
          <w:lang w:eastAsia="en-GB"/>
        </w:rPr>
        <w:tab/>
        <w:t>assumption is for a 10% increase</w:t>
      </w:r>
      <w:r w:rsidR="00B644BD">
        <w:rPr>
          <w:rFonts w:ascii="Arial" w:hAnsi="Arial" w:cs="Arial"/>
          <w:sz w:val="24"/>
          <w:szCs w:val="24"/>
          <w:lang w:eastAsia="en-GB"/>
        </w:rPr>
        <w:t xml:space="preserve">.  This level of income </w:t>
      </w:r>
      <w:r w:rsidR="00766AEE">
        <w:rPr>
          <w:rFonts w:ascii="Arial" w:hAnsi="Arial" w:cs="Arial"/>
          <w:sz w:val="24"/>
          <w:szCs w:val="24"/>
          <w:lang w:eastAsia="en-GB"/>
        </w:rPr>
        <w:t xml:space="preserve">change </w:t>
      </w:r>
      <w:r w:rsidR="00B644BD">
        <w:rPr>
          <w:rFonts w:ascii="Arial" w:hAnsi="Arial" w:cs="Arial"/>
          <w:sz w:val="24"/>
          <w:szCs w:val="24"/>
          <w:lang w:eastAsia="en-GB"/>
        </w:rPr>
        <w:t xml:space="preserve">applies to increases between </w:t>
      </w:r>
      <w:r w:rsidR="00766AEE">
        <w:rPr>
          <w:rFonts w:ascii="Arial" w:hAnsi="Arial" w:cs="Arial"/>
          <w:sz w:val="24"/>
          <w:szCs w:val="24"/>
          <w:lang w:eastAsia="en-GB"/>
        </w:rPr>
        <w:tab/>
      </w:r>
      <w:r w:rsidR="00B644BD">
        <w:rPr>
          <w:rFonts w:ascii="Arial" w:hAnsi="Arial" w:cs="Arial"/>
          <w:sz w:val="24"/>
          <w:szCs w:val="24"/>
          <w:lang w:eastAsia="en-GB"/>
        </w:rPr>
        <w:t>10% and 15%</w:t>
      </w:r>
      <w:r w:rsidR="00085C7B">
        <w:rPr>
          <w:rFonts w:ascii="Arial" w:hAnsi="Arial" w:cs="Arial"/>
          <w:sz w:val="24"/>
          <w:szCs w:val="24"/>
          <w:lang w:eastAsia="en-GB"/>
        </w:rPr>
        <w:t xml:space="preserve">.  </w:t>
      </w:r>
    </w:p>
    <w:p w14:paraId="2323A888" w14:textId="5B833A00" w:rsidR="00085C7B" w:rsidRDefault="00085C7B" w:rsidP="008C02C2">
      <w:pPr>
        <w:spacing w:after="240" w:line="240" w:lineRule="auto"/>
        <w:rPr>
          <w:rFonts w:ascii="Arial" w:hAnsi="Arial" w:cs="Arial"/>
          <w:sz w:val="24"/>
          <w:szCs w:val="24"/>
          <w:lang w:eastAsia="en-GB"/>
        </w:rPr>
      </w:pPr>
      <w:r>
        <w:rPr>
          <w:rFonts w:ascii="Arial" w:hAnsi="Arial" w:cs="Arial"/>
          <w:sz w:val="24"/>
          <w:szCs w:val="24"/>
          <w:lang w:eastAsia="en-GB"/>
        </w:rPr>
        <w:t>1.20</w:t>
      </w:r>
      <w:r>
        <w:rPr>
          <w:rFonts w:ascii="Arial" w:hAnsi="Arial" w:cs="Arial"/>
          <w:sz w:val="24"/>
          <w:szCs w:val="24"/>
          <w:lang w:eastAsia="en-GB"/>
        </w:rPr>
        <w:tab/>
        <w:t xml:space="preserve">It is officers’ assessment that an increase of 20% would see a consequent reduction in </w:t>
      </w:r>
      <w:r w:rsidR="00C80EDA">
        <w:rPr>
          <w:rFonts w:ascii="Arial" w:hAnsi="Arial" w:cs="Arial"/>
          <w:sz w:val="24"/>
          <w:szCs w:val="24"/>
          <w:lang w:eastAsia="en-GB"/>
        </w:rPr>
        <w:tab/>
      </w:r>
      <w:r>
        <w:rPr>
          <w:rFonts w:ascii="Arial" w:hAnsi="Arial" w:cs="Arial"/>
          <w:sz w:val="24"/>
          <w:szCs w:val="24"/>
          <w:lang w:eastAsia="en-GB"/>
        </w:rPr>
        <w:t xml:space="preserve">demand, such that the </w:t>
      </w:r>
      <w:r w:rsidR="00E8426E">
        <w:rPr>
          <w:rFonts w:ascii="Arial" w:hAnsi="Arial" w:cs="Arial"/>
          <w:sz w:val="24"/>
          <w:szCs w:val="24"/>
          <w:lang w:eastAsia="en-GB"/>
        </w:rPr>
        <w:t xml:space="preserve">overall level of income generated would only be £0.2m higher than in </w:t>
      </w:r>
      <w:r w:rsidR="00E8426E">
        <w:rPr>
          <w:rFonts w:ascii="Arial" w:hAnsi="Arial" w:cs="Arial"/>
          <w:sz w:val="24"/>
          <w:szCs w:val="24"/>
          <w:lang w:eastAsia="en-GB"/>
        </w:rPr>
        <w:tab/>
        <w:t xml:space="preserve">the case of a 15% increase.  </w:t>
      </w:r>
    </w:p>
    <w:p w14:paraId="1B9C4FFD" w14:textId="156DEA06" w:rsidR="00A27234" w:rsidRPr="00700F0D" w:rsidRDefault="00B00CDC" w:rsidP="008C02C2">
      <w:pPr>
        <w:spacing w:after="240" w:line="240" w:lineRule="auto"/>
        <w:rPr>
          <w:rFonts w:ascii="Arial" w:hAnsi="Arial" w:cs="Arial"/>
          <w:sz w:val="24"/>
          <w:szCs w:val="24"/>
          <w:lang w:eastAsia="en-GB"/>
        </w:rPr>
        <w:sectPr w:rsidR="00A27234" w:rsidRPr="00700F0D" w:rsidSect="0014126A">
          <w:pgSz w:w="11906" w:h="16838" w:code="9"/>
          <w:pgMar w:top="576" w:right="720" w:bottom="720" w:left="576" w:header="576" w:footer="576" w:gutter="0"/>
          <w:cols w:space="708"/>
          <w:docGrid w:linePitch="360"/>
        </w:sectPr>
      </w:pPr>
      <w:r>
        <w:rPr>
          <w:rFonts w:ascii="Arial" w:hAnsi="Arial" w:cs="Arial"/>
          <w:sz w:val="24"/>
          <w:szCs w:val="24"/>
          <w:lang w:eastAsia="en-GB"/>
        </w:rPr>
        <w:t>1.21</w:t>
      </w:r>
      <w:r>
        <w:rPr>
          <w:rFonts w:ascii="Arial" w:hAnsi="Arial" w:cs="Arial"/>
          <w:sz w:val="24"/>
          <w:szCs w:val="24"/>
          <w:lang w:eastAsia="en-GB"/>
        </w:rPr>
        <w:tab/>
      </w:r>
      <w:r w:rsidRPr="00EF6E35">
        <w:rPr>
          <w:rFonts w:ascii="Arial" w:hAnsi="Arial" w:cs="Arial"/>
          <w:b/>
          <w:bCs/>
          <w:sz w:val="24"/>
          <w:szCs w:val="24"/>
          <w:lang w:eastAsia="en-GB"/>
        </w:rPr>
        <w:t>Parking permits</w:t>
      </w:r>
      <w:r w:rsidR="00EF6E35">
        <w:rPr>
          <w:rFonts w:ascii="Arial" w:hAnsi="Arial" w:cs="Arial"/>
          <w:sz w:val="24"/>
          <w:szCs w:val="24"/>
          <w:lang w:eastAsia="en-GB"/>
        </w:rPr>
        <w:t xml:space="preserve"> currently raise around £7m per year.  </w:t>
      </w:r>
    </w:p>
    <w:p w14:paraId="56B562AB" w14:textId="22CDAAF5" w:rsidR="008E180F" w:rsidRPr="008E180F" w:rsidRDefault="008E180F" w:rsidP="00C15DB8">
      <w:pPr>
        <w:spacing w:after="240" w:line="240" w:lineRule="auto"/>
        <w:rPr>
          <w:rFonts w:ascii="Arial" w:hAnsi="Arial" w:cs="Arial"/>
          <w:b/>
          <w:bCs/>
          <w:sz w:val="24"/>
          <w:szCs w:val="24"/>
          <w:lang w:eastAsia="en-GB"/>
        </w:rPr>
      </w:pPr>
      <w:r w:rsidRPr="008E180F">
        <w:rPr>
          <w:rFonts w:ascii="Arial" w:hAnsi="Arial" w:cs="Arial"/>
          <w:b/>
          <w:bCs/>
          <w:sz w:val="24"/>
          <w:szCs w:val="24"/>
          <w:lang w:eastAsia="en-GB"/>
        </w:rPr>
        <w:lastRenderedPageBreak/>
        <w:t xml:space="preserve">Existing concession arrangements for fees and charges </w:t>
      </w:r>
      <w:r w:rsidR="00C15DB8">
        <w:rPr>
          <w:rFonts w:ascii="Arial" w:hAnsi="Arial" w:cs="Arial"/>
          <w:b/>
          <w:bCs/>
          <w:sz w:val="24"/>
          <w:szCs w:val="24"/>
          <w:lang w:eastAsia="en-GB"/>
        </w:rPr>
        <w:t xml:space="preserve">                                                                                                              Appendix 1</w:t>
      </w:r>
    </w:p>
    <w:tbl>
      <w:tblPr>
        <w:tblW w:w="15689" w:type="dxa"/>
        <w:tblInd w:w="-147" w:type="dxa"/>
        <w:tblCellMar>
          <w:left w:w="0" w:type="dxa"/>
          <w:right w:w="0" w:type="dxa"/>
        </w:tblCellMar>
        <w:tblLook w:val="04A0" w:firstRow="1" w:lastRow="0" w:firstColumn="1" w:lastColumn="0" w:noHBand="0" w:noVBand="1"/>
      </w:tblPr>
      <w:tblGrid>
        <w:gridCol w:w="1697"/>
        <w:gridCol w:w="13992"/>
      </w:tblGrid>
      <w:tr w:rsidR="008E180F" w:rsidRPr="008E180F" w14:paraId="23614105" w14:textId="77777777" w:rsidTr="00C15DB8">
        <w:trPr>
          <w:trHeight w:val="331"/>
        </w:trPr>
        <w:tc>
          <w:tcPr>
            <w:tcW w:w="1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20F23C5" w14:textId="77777777" w:rsidR="008E180F" w:rsidRPr="00C15DB8" w:rsidRDefault="008E180F" w:rsidP="00AF0D62">
            <w:pPr>
              <w:spacing w:after="80" w:line="259" w:lineRule="auto"/>
              <w:rPr>
                <w:rFonts w:ascii="Arial" w:hAnsi="Arial" w:cs="Arial"/>
                <w:color w:val="000000"/>
                <w:sz w:val="21"/>
                <w:szCs w:val="21"/>
                <w:lang w:eastAsia="en-GB"/>
              </w:rPr>
            </w:pPr>
            <w:r w:rsidRPr="00C15DB8">
              <w:rPr>
                <w:rFonts w:ascii="Arial" w:hAnsi="Arial" w:cs="Arial"/>
                <w:color w:val="000000"/>
                <w:sz w:val="21"/>
                <w:szCs w:val="21"/>
                <w:lang w:eastAsia="en-GB"/>
              </w:rPr>
              <w:t xml:space="preserve">Adult Education </w:t>
            </w:r>
          </w:p>
        </w:tc>
        <w:tc>
          <w:tcPr>
            <w:tcW w:w="13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BE15C" w14:textId="77777777" w:rsidR="008E180F" w:rsidRPr="00C15DB8" w:rsidRDefault="008E180F" w:rsidP="008E180F">
            <w:pPr>
              <w:spacing w:after="0" w:line="259" w:lineRule="auto"/>
              <w:rPr>
                <w:rFonts w:ascii="Arial" w:hAnsi="Arial" w:cs="Arial"/>
                <w:color w:val="000000"/>
                <w:sz w:val="21"/>
                <w:szCs w:val="21"/>
                <w:lang w:eastAsia="en-GB"/>
              </w:rPr>
            </w:pPr>
            <w:r w:rsidRPr="00C15DB8">
              <w:rPr>
                <w:rFonts w:ascii="Arial" w:hAnsi="Arial" w:cs="Arial"/>
                <w:color w:val="000000"/>
                <w:sz w:val="21"/>
                <w:szCs w:val="21"/>
                <w:lang w:eastAsia="en-GB"/>
              </w:rPr>
              <w:t xml:space="preserve">50% and 80% concessions are available within the existing service charging structure. </w:t>
            </w:r>
          </w:p>
        </w:tc>
      </w:tr>
      <w:tr w:rsidR="008E180F" w:rsidRPr="008E180F" w14:paraId="74A3CCC9" w14:textId="77777777" w:rsidTr="00C15DB8">
        <w:trPr>
          <w:trHeight w:val="2816"/>
        </w:trPr>
        <w:tc>
          <w:tcPr>
            <w:tcW w:w="1697"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50828F1" w14:textId="77777777" w:rsidR="008E180F" w:rsidRPr="00C15DB8" w:rsidRDefault="008E180F" w:rsidP="008E180F">
            <w:pPr>
              <w:spacing w:after="160" w:line="259" w:lineRule="auto"/>
              <w:rPr>
                <w:rFonts w:ascii="Arial" w:hAnsi="Arial" w:cs="Arial"/>
                <w:color w:val="000000"/>
                <w:sz w:val="21"/>
                <w:szCs w:val="21"/>
                <w:lang w:eastAsia="en-GB"/>
              </w:rPr>
            </w:pPr>
            <w:r w:rsidRPr="00C15DB8">
              <w:rPr>
                <w:rFonts w:ascii="Arial" w:hAnsi="Arial" w:cs="Arial"/>
                <w:color w:val="000000"/>
                <w:sz w:val="21"/>
                <w:szCs w:val="21"/>
                <w:lang w:eastAsia="en-GB"/>
              </w:rPr>
              <w:t>Outdoor Education</w:t>
            </w:r>
          </w:p>
        </w:tc>
        <w:tc>
          <w:tcPr>
            <w:tcW w:w="1399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6CF0EED" w14:textId="4D79527F" w:rsidR="005C0050" w:rsidRPr="00C15DB8" w:rsidRDefault="005C0050" w:rsidP="005C0050">
            <w:pPr>
              <w:spacing w:line="259" w:lineRule="auto"/>
              <w:rPr>
                <w:rFonts w:ascii="Arial" w:hAnsi="Arial" w:cs="Arial"/>
                <w:color w:val="000000"/>
                <w:sz w:val="21"/>
                <w:szCs w:val="21"/>
                <w:lang w:eastAsia="en-GB"/>
              </w:rPr>
            </w:pPr>
            <w:r w:rsidRPr="00C15DB8">
              <w:rPr>
                <w:rFonts w:ascii="Arial" w:hAnsi="Arial" w:cs="Arial"/>
                <w:color w:val="000000"/>
                <w:sz w:val="21"/>
                <w:szCs w:val="21"/>
                <w:lang w:eastAsia="en-GB"/>
              </w:rPr>
              <w:t>The Council and the Scottish Child Poverty Action Group regard curriculum residential visits as a “‘cost of the school day”. Left unaddressed, the cost of a residential excursion can be a significant barrier to the participation of pupils from low-income families.</w:t>
            </w:r>
            <w:r w:rsidR="00B464B2" w:rsidRPr="00C15DB8">
              <w:rPr>
                <w:rFonts w:ascii="Arial" w:hAnsi="Arial" w:cs="Arial"/>
                <w:color w:val="000000"/>
                <w:sz w:val="21"/>
                <w:szCs w:val="21"/>
                <w:lang w:eastAsia="en-GB"/>
              </w:rPr>
              <w:t xml:space="preserve">  </w:t>
            </w:r>
            <w:r w:rsidRPr="00C15DB8">
              <w:rPr>
                <w:rFonts w:ascii="Arial" w:hAnsi="Arial" w:cs="Arial"/>
                <w:color w:val="000000"/>
                <w:sz w:val="21"/>
                <w:szCs w:val="21"/>
                <w:lang w:eastAsia="en-GB"/>
              </w:rPr>
              <w:t xml:space="preserve">A range of strategies </w:t>
            </w:r>
            <w:r w:rsidR="00D62C99" w:rsidRPr="00C15DB8">
              <w:rPr>
                <w:rFonts w:ascii="Arial" w:hAnsi="Arial" w:cs="Arial"/>
                <w:color w:val="000000"/>
                <w:sz w:val="21"/>
                <w:szCs w:val="21"/>
                <w:lang w:eastAsia="en-GB"/>
              </w:rPr>
              <w:t>is</w:t>
            </w:r>
            <w:r w:rsidRPr="00C15DB8">
              <w:rPr>
                <w:rFonts w:ascii="Arial" w:hAnsi="Arial" w:cs="Arial"/>
                <w:color w:val="000000"/>
                <w:sz w:val="21"/>
                <w:szCs w:val="21"/>
                <w:lang w:eastAsia="en-GB"/>
              </w:rPr>
              <w:t xml:space="preserve"> </w:t>
            </w:r>
            <w:r w:rsidR="00B464B2" w:rsidRPr="00C15DB8">
              <w:rPr>
                <w:rFonts w:ascii="Arial" w:hAnsi="Arial" w:cs="Arial"/>
                <w:color w:val="000000"/>
                <w:sz w:val="21"/>
                <w:szCs w:val="21"/>
                <w:lang w:eastAsia="en-GB"/>
              </w:rPr>
              <w:t xml:space="preserve">therefore </w:t>
            </w:r>
            <w:r w:rsidRPr="00C15DB8">
              <w:rPr>
                <w:rFonts w:ascii="Arial" w:hAnsi="Arial" w:cs="Arial"/>
                <w:color w:val="000000"/>
                <w:sz w:val="21"/>
                <w:szCs w:val="21"/>
                <w:lang w:eastAsia="en-GB"/>
              </w:rPr>
              <w:t xml:space="preserve">used by schools to maximise attendance. These include Pupil Equity Funding (PEF), out-of-community fundraising, Parent Council contributions, third party grant applications, extended payment plans for parental/carer contributions, and clothing banks. Average attendance in Autumn </w:t>
            </w:r>
            <w:r w:rsidR="00A96026" w:rsidRPr="00C15DB8">
              <w:rPr>
                <w:rFonts w:ascii="Arial" w:hAnsi="Arial" w:cs="Arial"/>
                <w:color w:val="000000"/>
                <w:sz w:val="21"/>
                <w:szCs w:val="21"/>
                <w:lang w:eastAsia="en-GB"/>
              </w:rPr>
              <w:t>20</w:t>
            </w:r>
            <w:r w:rsidRPr="00C15DB8">
              <w:rPr>
                <w:rFonts w:ascii="Arial" w:hAnsi="Arial" w:cs="Arial"/>
                <w:color w:val="000000"/>
                <w:sz w:val="21"/>
                <w:szCs w:val="21"/>
                <w:lang w:eastAsia="en-GB"/>
              </w:rPr>
              <w:t xml:space="preserve">22 was 90%, with 65% of </w:t>
            </w:r>
            <w:r w:rsidR="0015650E" w:rsidRPr="00C15DB8">
              <w:rPr>
                <w:rFonts w:ascii="Arial" w:hAnsi="Arial" w:cs="Arial"/>
                <w:color w:val="000000"/>
                <w:sz w:val="21"/>
                <w:szCs w:val="21"/>
                <w:lang w:eastAsia="en-GB"/>
              </w:rPr>
              <w:t xml:space="preserve">these </w:t>
            </w:r>
            <w:r w:rsidRPr="00C15DB8">
              <w:rPr>
                <w:rFonts w:ascii="Arial" w:hAnsi="Arial" w:cs="Arial"/>
                <w:color w:val="000000"/>
                <w:sz w:val="21"/>
                <w:szCs w:val="21"/>
                <w:lang w:eastAsia="en-GB"/>
              </w:rPr>
              <w:t xml:space="preserve">pupils attending paying the full fee and 35% of pupils attending receiving support through the above strategies.  Linked to the ‘cost of living crisis’, schools are reporting significant and growing concerns about maintaining high attendance and meeting residential costs across the school community, not just families on low incomes. External funders are reporting significant increases in grant applications alongside an unsustainable depletion of reserves.   </w:t>
            </w:r>
          </w:p>
          <w:p w14:paraId="05179460" w14:textId="237533C9" w:rsidR="00C15DB8" w:rsidRPr="00C15DB8" w:rsidRDefault="005C0050" w:rsidP="005C0050">
            <w:pPr>
              <w:pStyle w:val="11"/>
              <w:spacing w:before="0" w:after="0" w:line="259" w:lineRule="auto"/>
              <w:ind w:left="0" w:firstLine="0"/>
              <w:rPr>
                <w:rFonts w:cs="Arial"/>
                <w:color w:val="000000"/>
                <w:sz w:val="21"/>
                <w:szCs w:val="21"/>
              </w:rPr>
            </w:pPr>
            <w:r w:rsidRPr="00C15DB8">
              <w:rPr>
                <w:rFonts w:cs="Arial"/>
                <w:color w:val="000000"/>
                <w:sz w:val="21"/>
                <w:szCs w:val="21"/>
              </w:rPr>
              <w:t>PEF guidance is designed to close the poverty</w:t>
            </w:r>
            <w:r w:rsidR="00B464B2" w:rsidRPr="00C15DB8">
              <w:rPr>
                <w:rFonts w:cs="Arial"/>
                <w:color w:val="000000"/>
                <w:sz w:val="21"/>
                <w:szCs w:val="21"/>
              </w:rPr>
              <w:t>-</w:t>
            </w:r>
            <w:r w:rsidRPr="00C15DB8">
              <w:rPr>
                <w:rFonts w:cs="Arial"/>
                <w:color w:val="000000"/>
                <w:sz w:val="21"/>
                <w:szCs w:val="21"/>
              </w:rPr>
              <w:t xml:space="preserve">related attainment gap. It expects all spends to be linked to priority criteria, including ‘reducing the cost of the school day’ and the ‘cost of wider achievement opportunities’. This enables schools to allocate PEF to residential offsite visits. </w:t>
            </w:r>
          </w:p>
        </w:tc>
      </w:tr>
      <w:tr w:rsidR="008E180F" w:rsidRPr="008E180F" w14:paraId="7B32FA86" w14:textId="77777777" w:rsidTr="00C15DB8">
        <w:trPr>
          <w:trHeight w:val="965"/>
        </w:trPr>
        <w:tc>
          <w:tcPr>
            <w:tcW w:w="16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F437C6" w14:textId="77777777" w:rsidR="008E180F" w:rsidRPr="00C15DB8" w:rsidRDefault="008E180F" w:rsidP="008E180F">
            <w:pPr>
              <w:spacing w:after="160" w:line="259" w:lineRule="auto"/>
              <w:rPr>
                <w:rFonts w:ascii="Arial" w:hAnsi="Arial" w:cs="Arial"/>
                <w:color w:val="000000"/>
                <w:sz w:val="21"/>
                <w:szCs w:val="21"/>
                <w:lang w:eastAsia="en-GB"/>
              </w:rPr>
            </w:pPr>
            <w:r w:rsidRPr="00C15DB8">
              <w:rPr>
                <w:rFonts w:ascii="Arial" w:hAnsi="Arial" w:cs="Arial"/>
                <w:color w:val="000000"/>
                <w:sz w:val="21"/>
                <w:szCs w:val="21"/>
                <w:lang w:eastAsia="en-GB"/>
              </w:rPr>
              <w:t>Burial and Cremation Charges</w:t>
            </w:r>
          </w:p>
        </w:tc>
        <w:tc>
          <w:tcPr>
            <w:tcW w:w="13992" w:type="dxa"/>
            <w:tcBorders>
              <w:top w:val="nil"/>
              <w:left w:val="nil"/>
              <w:bottom w:val="single" w:sz="8" w:space="0" w:color="auto"/>
              <w:right w:val="single" w:sz="8" w:space="0" w:color="auto"/>
            </w:tcBorders>
            <w:tcMar>
              <w:top w:w="0" w:type="dxa"/>
              <w:left w:w="108" w:type="dxa"/>
              <w:bottom w:w="0" w:type="dxa"/>
              <w:right w:w="108" w:type="dxa"/>
            </w:tcMar>
            <w:hideMark/>
          </w:tcPr>
          <w:p w14:paraId="160C9168" w14:textId="065D7556" w:rsidR="00C15DB8" w:rsidRPr="00C15DB8" w:rsidRDefault="008E180F" w:rsidP="008E180F">
            <w:pPr>
              <w:spacing w:after="0" w:line="259" w:lineRule="auto"/>
              <w:rPr>
                <w:rFonts w:ascii="Arial" w:hAnsi="Arial" w:cs="Arial"/>
                <w:color w:val="000000"/>
                <w:sz w:val="21"/>
                <w:szCs w:val="21"/>
                <w:lang w:eastAsia="en-GB"/>
              </w:rPr>
            </w:pPr>
            <w:r w:rsidRPr="00C15DB8">
              <w:rPr>
                <w:rFonts w:ascii="Arial" w:hAnsi="Arial" w:cs="Arial"/>
                <w:color w:val="000000"/>
                <w:sz w:val="21"/>
                <w:szCs w:val="21"/>
                <w:lang w:eastAsia="en-GB"/>
              </w:rPr>
              <w:t>Local councils do not charge a burial or cremation fee where a child (under 18) has died.</w:t>
            </w:r>
            <w:r w:rsidR="00B533E5" w:rsidRPr="00C15DB8">
              <w:rPr>
                <w:rFonts w:ascii="Arial" w:hAnsi="Arial" w:cs="Arial"/>
                <w:color w:val="000000"/>
                <w:sz w:val="21"/>
                <w:szCs w:val="21"/>
                <w:lang w:eastAsia="en-GB"/>
              </w:rPr>
              <w:t xml:space="preserve">  After charges were frozen in 2023/24, t</w:t>
            </w:r>
            <w:r w:rsidRPr="00C15DB8">
              <w:rPr>
                <w:rFonts w:ascii="Arial" w:hAnsi="Arial" w:cs="Arial"/>
                <w:color w:val="000000"/>
                <w:sz w:val="21"/>
                <w:szCs w:val="21"/>
                <w:lang w:eastAsia="en-GB"/>
              </w:rPr>
              <w:t xml:space="preserve">he proposals </w:t>
            </w:r>
            <w:r w:rsidR="00253AB6" w:rsidRPr="00C15DB8">
              <w:rPr>
                <w:rFonts w:ascii="Arial" w:hAnsi="Arial" w:cs="Arial"/>
                <w:color w:val="000000"/>
                <w:sz w:val="21"/>
                <w:szCs w:val="21"/>
                <w:lang w:eastAsia="en-GB"/>
              </w:rPr>
              <w:t xml:space="preserve">to be </w:t>
            </w:r>
            <w:r w:rsidRPr="00C15DB8">
              <w:rPr>
                <w:rFonts w:ascii="Arial" w:hAnsi="Arial" w:cs="Arial"/>
                <w:color w:val="000000"/>
                <w:sz w:val="21"/>
                <w:szCs w:val="21"/>
                <w:lang w:eastAsia="en-GB"/>
              </w:rPr>
              <w:t xml:space="preserve">considered by Council on </w:t>
            </w:r>
            <w:r w:rsidR="00253AB6" w:rsidRPr="00C15DB8">
              <w:rPr>
                <w:rFonts w:ascii="Arial" w:hAnsi="Arial" w:cs="Arial"/>
                <w:color w:val="000000"/>
                <w:sz w:val="21"/>
                <w:szCs w:val="21"/>
                <w:lang w:eastAsia="en-GB"/>
              </w:rPr>
              <w:t>2</w:t>
            </w:r>
            <w:r w:rsidR="00EA3696">
              <w:rPr>
                <w:rFonts w:ascii="Arial" w:hAnsi="Arial" w:cs="Arial"/>
                <w:color w:val="000000"/>
                <w:sz w:val="21"/>
                <w:szCs w:val="21"/>
                <w:lang w:eastAsia="en-GB"/>
              </w:rPr>
              <w:t>0</w:t>
            </w:r>
            <w:r w:rsidR="00253AB6" w:rsidRPr="00C15DB8">
              <w:rPr>
                <w:rFonts w:ascii="Arial" w:hAnsi="Arial" w:cs="Arial"/>
                <w:color w:val="000000"/>
                <w:sz w:val="21"/>
                <w:szCs w:val="21"/>
                <w:lang w:eastAsia="en-GB"/>
              </w:rPr>
              <w:t xml:space="preserve"> February</w:t>
            </w:r>
            <w:r w:rsidR="00EA3696">
              <w:rPr>
                <w:rFonts w:ascii="Arial" w:hAnsi="Arial" w:cs="Arial"/>
                <w:color w:val="000000"/>
                <w:sz w:val="21"/>
                <w:szCs w:val="21"/>
                <w:lang w:eastAsia="en-GB"/>
              </w:rPr>
              <w:t xml:space="preserve"> </w:t>
            </w:r>
            <w:r w:rsidR="00B533E5" w:rsidRPr="00C15DB8">
              <w:rPr>
                <w:rFonts w:ascii="Arial" w:hAnsi="Arial" w:cs="Arial"/>
                <w:color w:val="000000"/>
                <w:sz w:val="21"/>
                <w:szCs w:val="21"/>
                <w:lang w:eastAsia="en-GB"/>
              </w:rPr>
              <w:t>reflect an average increase for 202</w:t>
            </w:r>
            <w:r w:rsidR="00EA3696">
              <w:rPr>
                <w:rFonts w:ascii="Arial" w:hAnsi="Arial" w:cs="Arial"/>
                <w:color w:val="000000"/>
                <w:sz w:val="21"/>
                <w:szCs w:val="21"/>
                <w:lang w:eastAsia="en-GB"/>
              </w:rPr>
              <w:t>5</w:t>
            </w:r>
            <w:r w:rsidR="00B533E5" w:rsidRPr="00C15DB8">
              <w:rPr>
                <w:rFonts w:ascii="Arial" w:hAnsi="Arial" w:cs="Arial"/>
                <w:color w:val="000000"/>
                <w:sz w:val="21"/>
                <w:szCs w:val="21"/>
                <w:lang w:eastAsia="en-GB"/>
              </w:rPr>
              <w:t>/2</w:t>
            </w:r>
            <w:r w:rsidR="00EA3696">
              <w:rPr>
                <w:rFonts w:ascii="Arial" w:hAnsi="Arial" w:cs="Arial"/>
                <w:color w:val="000000"/>
                <w:sz w:val="21"/>
                <w:szCs w:val="21"/>
                <w:lang w:eastAsia="en-GB"/>
              </w:rPr>
              <w:t>6</w:t>
            </w:r>
            <w:r w:rsidR="00B533E5" w:rsidRPr="00C15DB8">
              <w:rPr>
                <w:rFonts w:ascii="Arial" w:hAnsi="Arial" w:cs="Arial"/>
                <w:color w:val="000000"/>
                <w:sz w:val="21"/>
                <w:szCs w:val="21"/>
                <w:lang w:eastAsia="en-GB"/>
              </w:rPr>
              <w:t xml:space="preserve"> of around 5%</w:t>
            </w:r>
            <w:r w:rsidR="00A2506D" w:rsidRPr="00C15DB8">
              <w:rPr>
                <w:rFonts w:ascii="Arial" w:hAnsi="Arial" w:cs="Arial"/>
                <w:color w:val="000000"/>
                <w:sz w:val="21"/>
                <w:szCs w:val="21"/>
                <w:lang w:eastAsia="en-GB"/>
              </w:rPr>
              <w:t xml:space="preserve"> but </w:t>
            </w:r>
            <w:r w:rsidR="0090051A" w:rsidRPr="00C15DB8">
              <w:rPr>
                <w:rFonts w:ascii="Arial" w:hAnsi="Arial" w:cs="Arial"/>
                <w:color w:val="000000"/>
                <w:sz w:val="21"/>
                <w:szCs w:val="21"/>
                <w:lang w:eastAsia="en-GB"/>
              </w:rPr>
              <w:t xml:space="preserve">with simpler arrangements </w:t>
            </w:r>
            <w:r w:rsidR="007C6253" w:rsidRPr="00C15DB8">
              <w:rPr>
                <w:rFonts w:ascii="Arial" w:hAnsi="Arial" w:cs="Arial"/>
                <w:color w:val="000000"/>
                <w:sz w:val="21"/>
                <w:szCs w:val="21"/>
                <w:lang w:eastAsia="en-GB"/>
              </w:rPr>
              <w:t xml:space="preserve">(with lower associated charges) </w:t>
            </w:r>
            <w:r w:rsidR="0090051A" w:rsidRPr="00C15DB8">
              <w:rPr>
                <w:rFonts w:ascii="Arial" w:hAnsi="Arial" w:cs="Arial"/>
                <w:color w:val="000000"/>
                <w:sz w:val="21"/>
                <w:szCs w:val="21"/>
                <w:lang w:eastAsia="en-GB"/>
              </w:rPr>
              <w:t xml:space="preserve">retained.  </w:t>
            </w:r>
            <w:r w:rsidRPr="00C15DB8">
              <w:rPr>
                <w:rFonts w:ascii="Arial" w:hAnsi="Arial" w:cs="Arial"/>
                <w:color w:val="000000"/>
                <w:sz w:val="21"/>
                <w:szCs w:val="21"/>
                <w:lang w:eastAsia="en-GB"/>
              </w:rPr>
              <w:t xml:space="preserve">In addition, Funeral Support Payments are also available where the individual accepting responsibility for funeral costs is in receipt of certain benefits. </w:t>
            </w:r>
          </w:p>
        </w:tc>
      </w:tr>
      <w:tr w:rsidR="008E180F" w:rsidRPr="008E180F" w14:paraId="5AF65664" w14:textId="77777777" w:rsidTr="00C15DB8">
        <w:trPr>
          <w:trHeight w:val="501"/>
        </w:trPr>
        <w:tc>
          <w:tcPr>
            <w:tcW w:w="169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C1EC46" w14:textId="77777777" w:rsidR="008E180F" w:rsidRPr="00C15DB8" w:rsidRDefault="008E180F" w:rsidP="008E180F">
            <w:pPr>
              <w:spacing w:after="160" w:line="259" w:lineRule="auto"/>
              <w:rPr>
                <w:rFonts w:ascii="Arial" w:hAnsi="Arial" w:cs="Arial"/>
                <w:color w:val="000000"/>
                <w:sz w:val="21"/>
                <w:szCs w:val="21"/>
                <w:lang w:eastAsia="en-GB"/>
              </w:rPr>
            </w:pPr>
            <w:r w:rsidRPr="00C15DB8">
              <w:rPr>
                <w:rFonts w:ascii="Arial" w:hAnsi="Arial" w:cs="Arial"/>
                <w:color w:val="000000"/>
                <w:sz w:val="21"/>
                <w:szCs w:val="21"/>
                <w:lang w:eastAsia="en-GB"/>
              </w:rPr>
              <w:t>School Meals</w:t>
            </w:r>
          </w:p>
        </w:tc>
        <w:tc>
          <w:tcPr>
            <w:tcW w:w="13992" w:type="dxa"/>
            <w:tcBorders>
              <w:top w:val="nil"/>
              <w:left w:val="nil"/>
              <w:bottom w:val="single" w:sz="8" w:space="0" w:color="auto"/>
              <w:right w:val="single" w:sz="8" w:space="0" w:color="auto"/>
            </w:tcBorders>
            <w:tcMar>
              <w:top w:w="0" w:type="dxa"/>
              <w:left w:w="108" w:type="dxa"/>
              <w:bottom w:w="0" w:type="dxa"/>
              <w:right w:w="108" w:type="dxa"/>
            </w:tcMar>
            <w:hideMark/>
          </w:tcPr>
          <w:p w14:paraId="43923489" w14:textId="2B6A5645" w:rsidR="00C15DB8" w:rsidRPr="00C15DB8" w:rsidRDefault="008E180F" w:rsidP="008E180F">
            <w:pPr>
              <w:spacing w:after="0" w:line="259" w:lineRule="auto"/>
              <w:rPr>
                <w:rFonts w:ascii="Arial" w:hAnsi="Arial" w:cs="Arial"/>
                <w:color w:val="000000"/>
                <w:sz w:val="21"/>
                <w:szCs w:val="21"/>
                <w:lang w:eastAsia="en-GB"/>
              </w:rPr>
            </w:pPr>
            <w:r w:rsidRPr="00C15DB8">
              <w:rPr>
                <w:rFonts w:ascii="Arial" w:hAnsi="Arial" w:cs="Arial"/>
                <w:color w:val="000000"/>
                <w:sz w:val="21"/>
                <w:szCs w:val="21"/>
                <w:lang w:eastAsia="en-GB"/>
              </w:rPr>
              <w:t>Universal Free School Meal provision is in place for P1-P5</w:t>
            </w:r>
            <w:r w:rsidR="00CB5C7D">
              <w:rPr>
                <w:rFonts w:ascii="Arial" w:hAnsi="Arial" w:cs="Arial"/>
                <w:color w:val="000000"/>
                <w:sz w:val="21"/>
                <w:szCs w:val="21"/>
                <w:lang w:eastAsia="en-GB"/>
              </w:rPr>
              <w:t xml:space="preserve">, with </w:t>
            </w:r>
            <w:r w:rsidR="00D03FF8">
              <w:rPr>
                <w:rFonts w:ascii="Arial" w:hAnsi="Arial" w:cs="Arial"/>
                <w:color w:val="000000"/>
                <w:sz w:val="21"/>
                <w:szCs w:val="21"/>
                <w:lang w:eastAsia="en-GB"/>
              </w:rPr>
              <w:t>this provision extended to P6 and P7 pupils whose families are in receipt of the Scottish Child Payment</w:t>
            </w:r>
            <w:r w:rsidRPr="00C15DB8">
              <w:rPr>
                <w:rFonts w:ascii="Arial" w:hAnsi="Arial" w:cs="Arial"/>
                <w:color w:val="000000"/>
                <w:sz w:val="21"/>
                <w:szCs w:val="21"/>
                <w:lang w:eastAsia="en-GB"/>
              </w:rPr>
              <w:t>.  Eligibility for Free School Meals in secondary schools is linked to receipt of certain benefits.</w:t>
            </w:r>
            <w:r w:rsidR="00983565">
              <w:rPr>
                <w:rFonts w:ascii="Arial" w:hAnsi="Arial" w:cs="Arial"/>
                <w:color w:val="000000"/>
                <w:sz w:val="21"/>
                <w:szCs w:val="21"/>
                <w:lang w:eastAsia="en-GB"/>
              </w:rPr>
              <w:t xml:space="preserve">  The Scottish Government has also confirmed its intention to </w:t>
            </w:r>
            <w:r w:rsidR="0020207A">
              <w:rPr>
                <w:rFonts w:ascii="Arial" w:hAnsi="Arial" w:cs="Arial"/>
                <w:color w:val="000000"/>
                <w:sz w:val="21"/>
                <w:szCs w:val="21"/>
                <w:lang w:eastAsia="en-GB"/>
              </w:rPr>
              <w:t>e</w:t>
            </w:r>
            <w:r w:rsidR="0020207A" w:rsidRPr="0020207A">
              <w:rPr>
                <w:rFonts w:ascii="Arial" w:hAnsi="Arial" w:cs="Arial"/>
                <w:color w:val="000000"/>
                <w:sz w:val="21"/>
                <w:szCs w:val="21"/>
                <w:lang w:eastAsia="en-GB"/>
              </w:rPr>
              <w:t>xtend free school meal eligibility in S1-S3 in eight local authority areas for pupils in receipt of Scottish Child Payment</w:t>
            </w:r>
            <w:r w:rsidR="0020207A">
              <w:rPr>
                <w:rFonts w:ascii="Arial" w:hAnsi="Arial" w:cs="Arial"/>
                <w:color w:val="000000"/>
                <w:sz w:val="21"/>
                <w:szCs w:val="21"/>
                <w:lang w:eastAsia="en-GB"/>
              </w:rPr>
              <w:t xml:space="preserve">.  </w:t>
            </w:r>
          </w:p>
        </w:tc>
      </w:tr>
      <w:tr w:rsidR="008E180F" w:rsidRPr="008E180F" w14:paraId="15B8A512" w14:textId="77777777" w:rsidTr="00C15DB8">
        <w:trPr>
          <w:trHeight w:val="827"/>
        </w:trPr>
        <w:tc>
          <w:tcPr>
            <w:tcW w:w="1697"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375D2660" w14:textId="77777777" w:rsidR="008E180F" w:rsidRPr="00C15DB8" w:rsidRDefault="008E180F" w:rsidP="008E180F">
            <w:pPr>
              <w:spacing w:after="160" w:line="259" w:lineRule="auto"/>
              <w:rPr>
                <w:rFonts w:ascii="Arial" w:hAnsi="Arial" w:cs="Arial"/>
                <w:color w:val="000000"/>
                <w:sz w:val="21"/>
                <w:szCs w:val="21"/>
                <w:lang w:eastAsia="en-GB"/>
              </w:rPr>
            </w:pPr>
            <w:r w:rsidRPr="00C15DB8">
              <w:rPr>
                <w:rFonts w:ascii="Arial" w:hAnsi="Arial" w:cs="Arial"/>
                <w:color w:val="000000"/>
                <w:sz w:val="21"/>
                <w:szCs w:val="21"/>
                <w:lang w:eastAsia="en-GB"/>
              </w:rPr>
              <w:t>Cultural Venues</w:t>
            </w:r>
          </w:p>
        </w:tc>
        <w:tc>
          <w:tcPr>
            <w:tcW w:w="13992" w:type="dxa"/>
            <w:tcBorders>
              <w:top w:val="nil"/>
              <w:left w:val="nil"/>
              <w:bottom w:val="single" w:sz="4" w:space="0" w:color="auto"/>
              <w:right w:val="single" w:sz="8" w:space="0" w:color="auto"/>
            </w:tcBorders>
            <w:tcMar>
              <w:top w:w="0" w:type="dxa"/>
              <w:left w:w="108" w:type="dxa"/>
              <w:bottom w:w="0" w:type="dxa"/>
              <w:right w:w="108" w:type="dxa"/>
            </w:tcMar>
            <w:hideMark/>
          </w:tcPr>
          <w:p w14:paraId="0B9607DF" w14:textId="71B70126" w:rsidR="008E180F" w:rsidRPr="00C15DB8" w:rsidRDefault="008E180F" w:rsidP="008E180F">
            <w:pPr>
              <w:spacing w:after="0" w:line="259" w:lineRule="auto"/>
              <w:rPr>
                <w:rFonts w:ascii="Arial" w:hAnsi="Arial" w:cs="Arial"/>
                <w:color w:val="000000"/>
                <w:sz w:val="21"/>
                <w:szCs w:val="21"/>
                <w:lang w:eastAsia="en-GB"/>
              </w:rPr>
            </w:pPr>
            <w:r w:rsidRPr="00C15DB8">
              <w:rPr>
                <w:rFonts w:ascii="Arial" w:hAnsi="Arial" w:cs="Arial"/>
                <w:color w:val="000000"/>
                <w:sz w:val="21"/>
                <w:szCs w:val="21"/>
                <w:lang w:eastAsia="en-GB"/>
              </w:rPr>
              <w:t>Various discounts for amateur groups and charities are in place e.g. c.50% reduction at Church Hill Theatre; 20% reduction at Assembly Rooms for UK-registered charities; various reductions at Ross Theatre for charity / amateur events; discretionary 30% reduction in rates at Usher Hall can be offered to key partners (RSNO</w:t>
            </w:r>
            <w:r w:rsidR="00A553F0" w:rsidRPr="00C15DB8">
              <w:rPr>
                <w:rFonts w:ascii="Arial" w:hAnsi="Arial" w:cs="Arial"/>
                <w:color w:val="000000"/>
                <w:sz w:val="21"/>
                <w:szCs w:val="21"/>
                <w:lang w:eastAsia="en-GB"/>
              </w:rPr>
              <w:t xml:space="preserve"> and </w:t>
            </w:r>
            <w:r w:rsidRPr="00C15DB8">
              <w:rPr>
                <w:rFonts w:ascii="Arial" w:hAnsi="Arial" w:cs="Arial"/>
                <w:color w:val="000000"/>
                <w:sz w:val="21"/>
                <w:szCs w:val="21"/>
                <w:lang w:eastAsia="en-GB"/>
              </w:rPr>
              <w:t xml:space="preserve">SCO), charitable and amateur organisations.  </w:t>
            </w:r>
          </w:p>
        </w:tc>
      </w:tr>
      <w:tr w:rsidR="008E180F" w:rsidRPr="008E180F" w14:paraId="52A2B714" w14:textId="77777777" w:rsidTr="00C15DB8">
        <w:trPr>
          <w:trHeight w:val="240"/>
        </w:trPr>
        <w:tc>
          <w:tcPr>
            <w:tcW w:w="1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7A159B6" w14:textId="77777777" w:rsidR="008E180F" w:rsidRPr="00C15DB8" w:rsidRDefault="008E180F" w:rsidP="008E180F">
            <w:pPr>
              <w:spacing w:after="160" w:line="259" w:lineRule="auto"/>
              <w:rPr>
                <w:rFonts w:ascii="Arial" w:hAnsi="Arial" w:cs="Arial"/>
                <w:color w:val="000000"/>
                <w:sz w:val="21"/>
                <w:szCs w:val="21"/>
                <w:lang w:eastAsia="en-GB"/>
              </w:rPr>
            </w:pPr>
            <w:r w:rsidRPr="00C15DB8">
              <w:rPr>
                <w:rFonts w:ascii="Arial" w:hAnsi="Arial" w:cs="Arial"/>
                <w:color w:val="000000"/>
                <w:sz w:val="21"/>
                <w:szCs w:val="21"/>
                <w:lang w:eastAsia="en-GB"/>
              </w:rPr>
              <w:t>Civic Licensing</w:t>
            </w:r>
          </w:p>
        </w:tc>
        <w:tc>
          <w:tcPr>
            <w:tcW w:w="13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B8178" w14:textId="77777777" w:rsidR="008E180F" w:rsidRPr="00C15DB8" w:rsidRDefault="008E180F" w:rsidP="008E180F">
            <w:pPr>
              <w:spacing w:after="0" w:line="259" w:lineRule="auto"/>
              <w:rPr>
                <w:rFonts w:ascii="Arial" w:hAnsi="Arial" w:cs="Arial"/>
                <w:color w:val="000000"/>
                <w:sz w:val="21"/>
                <w:szCs w:val="21"/>
                <w:lang w:eastAsia="en-GB"/>
              </w:rPr>
            </w:pPr>
            <w:r w:rsidRPr="00C15DB8">
              <w:rPr>
                <w:rFonts w:ascii="Arial" w:hAnsi="Arial" w:cs="Arial"/>
                <w:color w:val="000000"/>
                <w:sz w:val="21"/>
                <w:szCs w:val="21"/>
                <w:lang w:eastAsia="en-GB"/>
              </w:rPr>
              <w:t xml:space="preserve">Public Entertainment licences - various discounts / reductions are applied for community / charitable / religious / political groups. </w:t>
            </w:r>
          </w:p>
        </w:tc>
      </w:tr>
      <w:tr w:rsidR="008E180F" w:rsidRPr="008E180F" w14:paraId="20B9DC58" w14:textId="77777777" w:rsidTr="00C15DB8">
        <w:trPr>
          <w:trHeight w:val="915"/>
        </w:trPr>
        <w:tc>
          <w:tcPr>
            <w:tcW w:w="1697"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14:paraId="475655FA" w14:textId="77777777" w:rsidR="008E180F" w:rsidRPr="00C15DB8" w:rsidRDefault="008E180F" w:rsidP="008E180F">
            <w:pPr>
              <w:spacing w:after="160" w:line="259" w:lineRule="auto"/>
              <w:rPr>
                <w:rFonts w:ascii="Arial" w:hAnsi="Arial" w:cs="Arial"/>
                <w:color w:val="000000"/>
                <w:sz w:val="21"/>
                <w:szCs w:val="21"/>
                <w:lang w:eastAsia="en-GB"/>
              </w:rPr>
            </w:pPr>
            <w:r w:rsidRPr="00C15DB8">
              <w:rPr>
                <w:rFonts w:ascii="Arial" w:hAnsi="Arial" w:cs="Arial"/>
                <w:color w:val="000000"/>
                <w:sz w:val="21"/>
                <w:szCs w:val="21"/>
                <w:lang w:eastAsia="en-GB"/>
              </w:rPr>
              <w:t>Garden Aid</w:t>
            </w:r>
          </w:p>
        </w:tc>
        <w:tc>
          <w:tcPr>
            <w:tcW w:w="13992"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562D3E3F" w14:textId="3F204420" w:rsidR="008E180F" w:rsidRPr="00C15DB8" w:rsidRDefault="008E180F" w:rsidP="008E180F">
            <w:pPr>
              <w:spacing w:after="0" w:line="259" w:lineRule="auto"/>
              <w:rPr>
                <w:rFonts w:ascii="Arial" w:hAnsi="Arial" w:cs="Arial"/>
                <w:sz w:val="21"/>
                <w:szCs w:val="21"/>
                <w:lang w:eastAsia="en-GB"/>
              </w:rPr>
            </w:pPr>
            <w:r w:rsidRPr="00C15DB8">
              <w:rPr>
                <w:rFonts w:ascii="Arial" w:hAnsi="Arial" w:cs="Arial"/>
                <w:sz w:val="21"/>
                <w:szCs w:val="21"/>
                <w:lang w:eastAsia="en-GB"/>
              </w:rPr>
              <w:t>The Garden Aid scheme is available for: Council tenants over 60 years of age and in receipt of housing benefit; Council tenants, private tenants and homeowners that have a disability and are in receipt of either the Personal Independence Payment (mobility) or the Disability Living Allowance (mobility component); Private tenants and homeowners over 80 years of age.</w:t>
            </w:r>
            <w:r w:rsidR="006A2555" w:rsidRPr="00C15DB8">
              <w:rPr>
                <w:rFonts w:ascii="Arial" w:hAnsi="Arial" w:cs="Arial"/>
                <w:sz w:val="21"/>
                <w:szCs w:val="21"/>
                <w:lang w:eastAsia="en-GB"/>
              </w:rPr>
              <w:t xml:space="preserve">  An annual administration fee is charged to all private tenants and homeowners which is dependent on their grass area and hedge size</w:t>
            </w:r>
            <w:r w:rsidR="00B62D12" w:rsidRPr="00C15DB8">
              <w:rPr>
                <w:rFonts w:ascii="Arial" w:hAnsi="Arial" w:cs="Arial"/>
                <w:sz w:val="21"/>
                <w:szCs w:val="21"/>
                <w:lang w:eastAsia="en-GB"/>
              </w:rPr>
              <w:t xml:space="preserve">  If an application has been certified by a Medical Professional (a GP or a Health Worker), the VAT cost will be removed.</w:t>
            </w:r>
          </w:p>
        </w:tc>
      </w:tr>
      <w:tr w:rsidR="008E180F" w:rsidRPr="008E180F" w14:paraId="65622EA9" w14:textId="77777777" w:rsidTr="00C15DB8">
        <w:trPr>
          <w:trHeight w:val="607"/>
        </w:trPr>
        <w:tc>
          <w:tcPr>
            <w:tcW w:w="1697"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14:paraId="1546CD33" w14:textId="77777777" w:rsidR="008E180F" w:rsidRPr="00C15DB8" w:rsidRDefault="008E180F" w:rsidP="008E180F">
            <w:pPr>
              <w:spacing w:after="160" w:line="259" w:lineRule="auto"/>
              <w:rPr>
                <w:rFonts w:ascii="Arial" w:hAnsi="Arial" w:cs="Arial"/>
                <w:color w:val="000000"/>
                <w:sz w:val="21"/>
                <w:szCs w:val="21"/>
                <w:lang w:eastAsia="en-GB"/>
              </w:rPr>
            </w:pPr>
            <w:r w:rsidRPr="00C15DB8">
              <w:rPr>
                <w:rFonts w:ascii="Arial" w:hAnsi="Arial" w:cs="Arial"/>
                <w:color w:val="000000"/>
                <w:sz w:val="21"/>
                <w:szCs w:val="21"/>
                <w:lang w:eastAsia="en-GB"/>
              </w:rPr>
              <w:t>Libraries</w:t>
            </w:r>
          </w:p>
        </w:tc>
        <w:tc>
          <w:tcPr>
            <w:tcW w:w="13992"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583ADDF7" w14:textId="77777777" w:rsidR="008E180F" w:rsidRPr="00C15DB8" w:rsidRDefault="008E180F" w:rsidP="008E180F">
            <w:pPr>
              <w:spacing w:after="0" w:line="259" w:lineRule="auto"/>
              <w:rPr>
                <w:rFonts w:ascii="Arial" w:hAnsi="Arial" w:cs="Arial"/>
                <w:color w:val="000000"/>
                <w:sz w:val="21"/>
                <w:szCs w:val="21"/>
                <w:lang w:eastAsia="en-GB"/>
              </w:rPr>
            </w:pPr>
            <w:r w:rsidRPr="00C15DB8">
              <w:rPr>
                <w:rFonts w:ascii="Arial" w:hAnsi="Arial" w:cs="Arial"/>
                <w:color w:val="000000"/>
                <w:sz w:val="21"/>
                <w:szCs w:val="21"/>
                <w:lang w:eastAsia="en-GB"/>
              </w:rPr>
              <w:t xml:space="preserve">Various concessions and reductions are applied to libraries charges. For example a 50% concession is available on audio and DVD loans (with no charge for under 16s) with room hire reductions of c. 65% for community groups.  </w:t>
            </w:r>
          </w:p>
        </w:tc>
      </w:tr>
      <w:tr w:rsidR="008E180F" w:rsidRPr="008E180F" w14:paraId="5102AC64" w14:textId="77777777" w:rsidTr="00C15DB8">
        <w:trPr>
          <w:trHeight w:val="406"/>
        </w:trPr>
        <w:tc>
          <w:tcPr>
            <w:tcW w:w="1697"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A157CBC" w14:textId="77777777" w:rsidR="008E180F" w:rsidRPr="00C15DB8" w:rsidRDefault="008E180F" w:rsidP="008E180F">
            <w:pPr>
              <w:spacing w:after="160" w:line="259" w:lineRule="auto"/>
              <w:rPr>
                <w:rFonts w:ascii="Arial" w:hAnsi="Arial" w:cs="Arial"/>
                <w:color w:val="000000"/>
                <w:sz w:val="21"/>
                <w:szCs w:val="21"/>
                <w:lang w:eastAsia="en-GB"/>
              </w:rPr>
            </w:pPr>
            <w:r w:rsidRPr="00C15DB8">
              <w:rPr>
                <w:rFonts w:ascii="Arial" w:hAnsi="Arial" w:cs="Arial"/>
                <w:color w:val="000000"/>
                <w:sz w:val="21"/>
                <w:szCs w:val="21"/>
                <w:lang w:eastAsia="en-GB"/>
              </w:rPr>
              <w:t>Allotment Rentals</w:t>
            </w:r>
          </w:p>
        </w:tc>
        <w:tc>
          <w:tcPr>
            <w:tcW w:w="13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5F3861" w14:textId="77777777" w:rsidR="008E180F" w:rsidRPr="00C15DB8" w:rsidRDefault="008E180F" w:rsidP="008E180F">
            <w:pPr>
              <w:spacing w:after="160" w:line="259" w:lineRule="auto"/>
              <w:rPr>
                <w:rFonts w:ascii="Arial" w:hAnsi="Arial" w:cs="Arial"/>
                <w:color w:val="000000"/>
                <w:sz w:val="21"/>
                <w:szCs w:val="21"/>
                <w:lang w:eastAsia="en-GB"/>
              </w:rPr>
            </w:pPr>
            <w:r w:rsidRPr="00C15DB8">
              <w:rPr>
                <w:rFonts w:ascii="Arial" w:hAnsi="Arial" w:cs="Arial"/>
                <w:color w:val="000000"/>
                <w:sz w:val="21"/>
                <w:szCs w:val="21"/>
                <w:lang w:eastAsia="en-GB"/>
              </w:rPr>
              <w:t>Elderly, student and unemployment residents are entitled to a discount of c.50% on allotment rentals.</w:t>
            </w:r>
          </w:p>
        </w:tc>
      </w:tr>
    </w:tbl>
    <w:p w14:paraId="7E7C1213" w14:textId="77777777" w:rsidR="008E180F" w:rsidRDefault="008E180F" w:rsidP="00B62D12">
      <w:pPr>
        <w:pStyle w:val="Default"/>
        <w:rPr>
          <w:color w:val="auto"/>
        </w:rPr>
      </w:pPr>
    </w:p>
    <w:sectPr w:rsidR="008E180F" w:rsidSect="0014126A">
      <w:footerReference w:type="default" r:id="rId15"/>
      <w:pgSz w:w="16838" w:h="11906" w:orient="landscape" w:code="9"/>
      <w:pgMar w:top="720" w:right="720" w:bottom="720" w:left="72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51B0" w14:textId="77777777" w:rsidR="00104C59" w:rsidRDefault="00104C59" w:rsidP="000246F7">
      <w:pPr>
        <w:spacing w:after="0" w:line="240" w:lineRule="auto"/>
      </w:pPr>
      <w:r>
        <w:separator/>
      </w:r>
    </w:p>
  </w:endnote>
  <w:endnote w:type="continuationSeparator" w:id="0">
    <w:p w14:paraId="27E1016E" w14:textId="77777777" w:rsidR="00104C59" w:rsidRDefault="00104C59" w:rsidP="0002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Bol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817584"/>
      <w:docPartObj>
        <w:docPartGallery w:val="Page Numbers (Bottom of Page)"/>
        <w:docPartUnique/>
      </w:docPartObj>
    </w:sdtPr>
    <w:sdtEndPr/>
    <w:sdtContent>
      <w:p w14:paraId="1E90C7CE" w14:textId="77777777" w:rsidR="006519A8" w:rsidRDefault="006519A8">
        <w:pPr>
          <w:pStyle w:val="Footer"/>
          <w:jc w:val="right"/>
        </w:pPr>
        <w:r>
          <w:fldChar w:fldCharType="begin"/>
        </w:r>
        <w:r>
          <w:instrText xml:space="preserve"> PAGE   \* MERGEFORMAT </w:instrText>
        </w:r>
        <w:r>
          <w:fldChar w:fldCharType="separate"/>
        </w:r>
        <w:r w:rsidR="0017744A">
          <w:rPr>
            <w:noProof/>
          </w:rPr>
          <w:t>1</w:t>
        </w:r>
        <w:r>
          <w:rPr>
            <w:noProof/>
          </w:rPr>
          <w:fldChar w:fldCharType="end"/>
        </w:r>
      </w:p>
    </w:sdtContent>
  </w:sdt>
  <w:p w14:paraId="334DDD50" w14:textId="77777777" w:rsidR="006519A8" w:rsidRPr="000246F7" w:rsidRDefault="006519A8" w:rsidP="00912DD9">
    <w:pPr>
      <w:pStyle w:val="Header"/>
      <w:tabs>
        <w:tab w:val="right" w:pos="0"/>
      </w:tabs>
      <w:jc w:val="cen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50AE" w14:textId="77777777" w:rsidR="00104C59" w:rsidRDefault="00104C59" w:rsidP="000246F7">
      <w:pPr>
        <w:spacing w:after="0" w:line="240" w:lineRule="auto"/>
      </w:pPr>
      <w:r>
        <w:separator/>
      </w:r>
    </w:p>
  </w:footnote>
  <w:footnote w:type="continuationSeparator" w:id="0">
    <w:p w14:paraId="7C47AF76" w14:textId="77777777" w:rsidR="00104C59" w:rsidRDefault="00104C59" w:rsidP="000246F7">
      <w:pPr>
        <w:spacing w:after="0" w:line="240" w:lineRule="auto"/>
      </w:pPr>
      <w:r>
        <w:continuationSeparator/>
      </w:r>
    </w:p>
  </w:footnote>
  <w:footnote w:id="1">
    <w:p w14:paraId="5F09A946" w14:textId="26A1D63A" w:rsidR="009F0411" w:rsidRDefault="009F0411">
      <w:pPr>
        <w:pStyle w:val="FootnoteText"/>
      </w:pPr>
      <w:r>
        <w:rPr>
          <w:rStyle w:val="FootnoteReference"/>
        </w:rPr>
        <w:footnoteRef/>
      </w:r>
      <w:r>
        <w:t xml:space="preserve"> </w:t>
      </w:r>
      <w:r w:rsidRPr="009F0411">
        <w:t>unless in the case of pre-approved charging policies, the effect of which would be to require a different level of increase, or for some commercial charges.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AE72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E3065"/>
    <w:multiLevelType w:val="hybridMultilevel"/>
    <w:tmpl w:val="159ED3BE"/>
    <w:lvl w:ilvl="0" w:tplc="2CCA926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7680"/>
    <w:multiLevelType w:val="multilevel"/>
    <w:tmpl w:val="B1EC53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7E0415"/>
    <w:multiLevelType w:val="hybridMultilevel"/>
    <w:tmpl w:val="3A425760"/>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A6455DB"/>
    <w:multiLevelType w:val="hybridMultilevel"/>
    <w:tmpl w:val="0398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970C6"/>
    <w:multiLevelType w:val="hybridMultilevel"/>
    <w:tmpl w:val="69E85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102C6D"/>
    <w:multiLevelType w:val="hybridMultilevel"/>
    <w:tmpl w:val="053899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pStyle w:val="paragraph"/>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9B15182"/>
    <w:multiLevelType w:val="hybridMultilevel"/>
    <w:tmpl w:val="3CA63C90"/>
    <w:lvl w:ilvl="0" w:tplc="E93896D4">
      <w:start w:val="1"/>
      <w:numFmt w:val="decimal"/>
      <w:pStyle w:val="Style2blu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5156E0"/>
    <w:multiLevelType w:val="multilevel"/>
    <w:tmpl w:val="0E3C95E2"/>
    <w:styleLink w:val="NumberedList"/>
    <w:lvl w:ilvl="0">
      <w:start w:val="1"/>
      <w:numFmt w:val="decimal"/>
      <w:lvlText w:val="%1."/>
      <w:lvlJc w:val="left"/>
      <w:pPr>
        <w:ind w:left="0" w:firstLine="0"/>
      </w:pPr>
      <w:rPr>
        <w:rFonts w:ascii="Arial" w:hAnsi="Arial" w:hint="default"/>
        <w:b/>
        <w:i w:val="0"/>
        <w:color w:val="007F9F"/>
        <w:sz w:val="24"/>
      </w:rPr>
    </w:lvl>
    <w:lvl w:ilvl="1">
      <w:start w:val="1"/>
      <w:numFmt w:val="decimal"/>
      <w:lvlText w:val="%1.%2"/>
      <w:lvlJc w:val="left"/>
      <w:pPr>
        <w:ind w:left="709" w:hanging="709"/>
      </w:pPr>
      <w:rPr>
        <w:rFonts w:ascii="Arial" w:hAnsi="Arial" w:hint="default"/>
        <w:sz w:val="24"/>
      </w:rPr>
    </w:lvl>
    <w:lvl w:ilvl="2">
      <w:start w:val="1"/>
      <w:numFmt w:val="decimal"/>
      <w:lvlText w:val="%1.%2.%3"/>
      <w:lvlJc w:val="left"/>
      <w:pPr>
        <w:tabs>
          <w:tab w:val="num" w:pos="1559"/>
        </w:tabs>
        <w:ind w:left="1418" w:hanging="709"/>
      </w:pPr>
      <w:rPr>
        <w:rFonts w:ascii="Arial" w:hAnsi="Arial" w:hint="default"/>
        <w:sz w:val="24"/>
      </w:rPr>
    </w:lvl>
    <w:lvl w:ilvl="3">
      <w:start w:val="1"/>
      <w:numFmt w:val="decimal"/>
      <w:lvlText w:val="%1.%2.%3.%4"/>
      <w:lvlJc w:val="left"/>
      <w:pPr>
        <w:tabs>
          <w:tab w:val="num" w:pos="1559"/>
        </w:tabs>
        <w:ind w:left="2268" w:hanging="850"/>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9A81D23"/>
    <w:multiLevelType w:val="multilevel"/>
    <w:tmpl w:val="FE1AF43C"/>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004"/>
        </w:tabs>
        <w:ind w:left="1004" w:hanging="720"/>
      </w:pPr>
      <w:rPr>
        <w:color w:val="000000"/>
      </w:rPr>
    </w:lvl>
    <w:lvl w:ilvl="2">
      <w:start w:val="1"/>
      <w:numFmt w:val="decimal"/>
      <w:pStyle w:val="Heading3"/>
      <w:lvlText w:val="%1.%2.%3"/>
      <w:lvlJc w:val="left"/>
      <w:pPr>
        <w:tabs>
          <w:tab w:val="num" w:pos="720"/>
        </w:tabs>
        <w:ind w:left="720" w:hanging="720"/>
      </w:pPr>
    </w:lvl>
    <w:lvl w:ilvl="3">
      <w:start w:val="1"/>
      <w:numFmt w:val="lowerLetter"/>
      <w:pStyle w:val="Heading4"/>
      <w:lvlText w:val="%4)"/>
      <w:lvlJc w:val="left"/>
      <w:pPr>
        <w:tabs>
          <w:tab w:val="num" w:pos="1440"/>
        </w:tabs>
        <w:ind w:left="1440" w:hanging="1440"/>
      </w:pPr>
    </w:lvl>
    <w:lvl w:ilvl="4">
      <w:start w:val="1"/>
      <w:numFmt w:val="lowerRoman"/>
      <w:pStyle w:val="Heading5"/>
      <w:lvlText w:val="%5"/>
      <w:lvlJc w:val="left"/>
      <w:pPr>
        <w:tabs>
          <w:tab w:val="num" w:pos="1440"/>
        </w:tabs>
        <w:ind w:left="1440" w:hanging="1440"/>
      </w:pPr>
    </w:lvl>
    <w:lvl w:ilvl="5">
      <w:start w:val="1"/>
      <w:numFmt w:val="decimal"/>
      <w:pStyle w:val="Heading6"/>
      <w:lvlText w:val="%6"/>
      <w:lvlJc w:val="left"/>
      <w:pPr>
        <w:tabs>
          <w:tab w:val="num" w:pos="1440"/>
        </w:tabs>
        <w:ind w:left="1440" w:hanging="144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337581127">
    <w:abstractNumId w:val="9"/>
  </w:num>
  <w:num w:numId="2" w16cid:durableId="1424842129">
    <w:abstractNumId w:val="6"/>
  </w:num>
  <w:num w:numId="3" w16cid:durableId="808592834">
    <w:abstractNumId w:val="7"/>
  </w:num>
  <w:num w:numId="4" w16cid:durableId="1768192264">
    <w:abstractNumId w:val="0"/>
  </w:num>
  <w:num w:numId="5" w16cid:durableId="1782647173">
    <w:abstractNumId w:val="2"/>
  </w:num>
  <w:num w:numId="6" w16cid:durableId="108209348">
    <w:abstractNumId w:val="8"/>
  </w:num>
  <w:num w:numId="7" w16cid:durableId="504436841">
    <w:abstractNumId w:val="5"/>
  </w:num>
  <w:num w:numId="8" w16cid:durableId="208803772">
    <w:abstractNumId w:val="4"/>
  </w:num>
  <w:num w:numId="9" w16cid:durableId="406995552">
    <w:abstractNumId w:val="1"/>
  </w:num>
  <w:num w:numId="10" w16cid:durableId="117934998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A7"/>
    <w:rsid w:val="0000625C"/>
    <w:rsid w:val="000078BA"/>
    <w:rsid w:val="00012EAB"/>
    <w:rsid w:val="00013C4B"/>
    <w:rsid w:val="00015690"/>
    <w:rsid w:val="00015F5D"/>
    <w:rsid w:val="0002128E"/>
    <w:rsid w:val="00021302"/>
    <w:rsid w:val="000246F7"/>
    <w:rsid w:val="00031F59"/>
    <w:rsid w:val="00032E2A"/>
    <w:rsid w:val="00033D1F"/>
    <w:rsid w:val="0003417C"/>
    <w:rsid w:val="00034DD3"/>
    <w:rsid w:val="000376F5"/>
    <w:rsid w:val="00040B0B"/>
    <w:rsid w:val="00040E81"/>
    <w:rsid w:val="00041B5D"/>
    <w:rsid w:val="000512EA"/>
    <w:rsid w:val="0006026F"/>
    <w:rsid w:val="00060CE7"/>
    <w:rsid w:val="00065439"/>
    <w:rsid w:val="00067DE5"/>
    <w:rsid w:val="0007035D"/>
    <w:rsid w:val="00073615"/>
    <w:rsid w:val="00085C7B"/>
    <w:rsid w:val="00086378"/>
    <w:rsid w:val="00086822"/>
    <w:rsid w:val="0009163A"/>
    <w:rsid w:val="00091E78"/>
    <w:rsid w:val="000962F9"/>
    <w:rsid w:val="000A19AB"/>
    <w:rsid w:val="000A32E0"/>
    <w:rsid w:val="000B341A"/>
    <w:rsid w:val="000B6477"/>
    <w:rsid w:val="000C30A3"/>
    <w:rsid w:val="000D0FE9"/>
    <w:rsid w:val="000D26B4"/>
    <w:rsid w:val="000D29D9"/>
    <w:rsid w:val="000D4A45"/>
    <w:rsid w:val="000D6AE0"/>
    <w:rsid w:val="000E3A1B"/>
    <w:rsid w:val="00104C59"/>
    <w:rsid w:val="00104CEA"/>
    <w:rsid w:val="001078FD"/>
    <w:rsid w:val="001079E0"/>
    <w:rsid w:val="00112CB9"/>
    <w:rsid w:val="00121263"/>
    <w:rsid w:val="001213AC"/>
    <w:rsid w:val="00123B2E"/>
    <w:rsid w:val="00125D3C"/>
    <w:rsid w:val="00126772"/>
    <w:rsid w:val="00130B11"/>
    <w:rsid w:val="0013661F"/>
    <w:rsid w:val="0013708E"/>
    <w:rsid w:val="0013770B"/>
    <w:rsid w:val="0014126A"/>
    <w:rsid w:val="00141AAE"/>
    <w:rsid w:val="00142C37"/>
    <w:rsid w:val="001458B9"/>
    <w:rsid w:val="00152147"/>
    <w:rsid w:val="0015650E"/>
    <w:rsid w:val="00157D31"/>
    <w:rsid w:val="00164311"/>
    <w:rsid w:val="0017119C"/>
    <w:rsid w:val="00175FB2"/>
    <w:rsid w:val="0017744A"/>
    <w:rsid w:val="001836C0"/>
    <w:rsid w:val="00191106"/>
    <w:rsid w:val="00194FE8"/>
    <w:rsid w:val="00196979"/>
    <w:rsid w:val="001A0815"/>
    <w:rsid w:val="001A2EC4"/>
    <w:rsid w:val="001A4192"/>
    <w:rsid w:val="001B0658"/>
    <w:rsid w:val="001B078F"/>
    <w:rsid w:val="001B2417"/>
    <w:rsid w:val="001B42C0"/>
    <w:rsid w:val="001B5860"/>
    <w:rsid w:val="001B6FC3"/>
    <w:rsid w:val="001B7408"/>
    <w:rsid w:val="001C07C1"/>
    <w:rsid w:val="001C4365"/>
    <w:rsid w:val="001C4748"/>
    <w:rsid w:val="001C6FF5"/>
    <w:rsid w:val="001D2EF9"/>
    <w:rsid w:val="001D3469"/>
    <w:rsid w:val="001D3D18"/>
    <w:rsid w:val="001E2EDE"/>
    <w:rsid w:val="001E4E58"/>
    <w:rsid w:val="001E6F28"/>
    <w:rsid w:val="001E72BC"/>
    <w:rsid w:val="001F2484"/>
    <w:rsid w:val="001F2A9E"/>
    <w:rsid w:val="00200BA2"/>
    <w:rsid w:val="00200FCD"/>
    <w:rsid w:val="00201FBB"/>
    <w:rsid w:val="0020207A"/>
    <w:rsid w:val="0020369E"/>
    <w:rsid w:val="00210556"/>
    <w:rsid w:val="00212102"/>
    <w:rsid w:val="00213431"/>
    <w:rsid w:val="00221BF2"/>
    <w:rsid w:val="002231F6"/>
    <w:rsid w:val="0022350A"/>
    <w:rsid w:val="002240F8"/>
    <w:rsid w:val="00224C59"/>
    <w:rsid w:val="00231237"/>
    <w:rsid w:val="002313A1"/>
    <w:rsid w:val="00231544"/>
    <w:rsid w:val="00235A05"/>
    <w:rsid w:val="002360EF"/>
    <w:rsid w:val="00240916"/>
    <w:rsid w:val="00240A3A"/>
    <w:rsid w:val="002420D9"/>
    <w:rsid w:val="002427DB"/>
    <w:rsid w:val="0024323E"/>
    <w:rsid w:val="00243EE4"/>
    <w:rsid w:val="00253AB6"/>
    <w:rsid w:val="00257FCA"/>
    <w:rsid w:val="002667E7"/>
    <w:rsid w:val="00276F59"/>
    <w:rsid w:val="00284A6D"/>
    <w:rsid w:val="00290618"/>
    <w:rsid w:val="00290BC2"/>
    <w:rsid w:val="00294D20"/>
    <w:rsid w:val="0029651B"/>
    <w:rsid w:val="00296FCE"/>
    <w:rsid w:val="002A15F1"/>
    <w:rsid w:val="002B7477"/>
    <w:rsid w:val="002C04BE"/>
    <w:rsid w:val="002C0F4A"/>
    <w:rsid w:val="002C321D"/>
    <w:rsid w:val="002C562A"/>
    <w:rsid w:val="002C6DEF"/>
    <w:rsid w:val="002D078E"/>
    <w:rsid w:val="002D0B51"/>
    <w:rsid w:val="002D353E"/>
    <w:rsid w:val="002D547A"/>
    <w:rsid w:val="002D5DE5"/>
    <w:rsid w:val="002D7B56"/>
    <w:rsid w:val="002E2221"/>
    <w:rsid w:val="002E2609"/>
    <w:rsid w:val="002E2E78"/>
    <w:rsid w:val="002E5957"/>
    <w:rsid w:val="002F1272"/>
    <w:rsid w:val="00301083"/>
    <w:rsid w:val="00301B8C"/>
    <w:rsid w:val="00304CB1"/>
    <w:rsid w:val="00310561"/>
    <w:rsid w:val="00311425"/>
    <w:rsid w:val="00313D92"/>
    <w:rsid w:val="0031746C"/>
    <w:rsid w:val="00317472"/>
    <w:rsid w:val="00317F31"/>
    <w:rsid w:val="00324195"/>
    <w:rsid w:val="0032546B"/>
    <w:rsid w:val="00326AA1"/>
    <w:rsid w:val="00326DDD"/>
    <w:rsid w:val="00331652"/>
    <w:rsid w:val="00332797"/>
    <w:rsid w:val="0033604D"/>
    <w:rsid w:val="003364AD"/>
    <w:rsid w:val="0034377A"/>
    <w:rsid w:val="003445B3"/>
    <w:rsid w:val="00345232"/>
    <w:rsid w:val="0034634B"/>
    <w:rsid w:val="003471F7"/>
    <w:rsid w:val="0035038B"/>
    <w:rsid w:val="00353867"/>
    <w:rsid w:val="003571EA"/>
    <w:rsid w:val="003578A5"/>
    <w:rsid w:val="00360B03"/>
    <w:rsid w:val="00366DB7"/>
    <w:rsid w:val="00371F92"/>
    <w:rsid w:val="003741A2"/>
    <w:rsid w:val="003761C1"/>
    <w:rsid w:val="003762D7"/>
    <w:rsid w:val="00377748"/>
    <w:rsid w:val="00380CF6"/>
    <w:rsid w:val="00381F40"/>
    <w:rsid w:val="00392278"/>
    <w:rsid w:val="003A1BC9"/>
    <w:rsid w:val="003A2598"/>
    <w:rsid w:val="003A4DC1"/>
    <w:rsid w:val="003A6895"/>
    <w:rsid w:val="003B4AE7"/>
    <w:rsid w:val="003C0590"/>
    <w:rsid w:val="003C2BB0"/>
    <w:rsid w:val="003D5328"/>
    <w:rsid w:val="003E383B"/>
    <w:rsid w:val="003E40AC"/>
    <w:rsid w:val="003E4BA4"/>
    <w:rsid w:val="003F34AA"/>
    <w:rsid w:val="003F4723"/>
    <w:rsid w:val="003F5094"/>
    <w:rsid w:val="003F5B07"/>
    <w:rsid w:val="003F7EC2"/>
    <w:rsid w:val="004003CD"/>
    <w:rsid w:val="00400DA1"/>
    <w:rsid w:val="0040268C"/>
    <w:rsid w:val="004030A4"/>
    <w:rsid w:val="004037BD"/>
    <w:rsid w:val="004143D3"/>
    <w:rsid w:val="00420E16"/>
    <w:rsid w:val="0042222B"/>
    <w:rsid w:val="0042665E"/>
    <w:rsid w:val="00426D90"/>
    <w:rsid w:val="0043110D"/>
    <w:rsid w:val="004335C7"/>
    <w:rsid w:val="00434FA5"/>
    <w:rsid w:val="00446A77"/>
    <w:rsid w:val="00446BC0"/>
    <w:rsid w:val="00451097"/>
    <w:rsid w:val="00451195"/>
    <w:rsid w:val="00455E21"/>
    <w:rsid w:val="00457369"/>
    <w:rsid w:val="004627AA"/>
    <w:rsid w:val="00470089"/>
    <w:rsid w:val="00472F1C"/>
    <w:rsid w:val="00483EEC"/>
    <w:rsid w:val="004938F6"/>
    <w:rsid w:val="00495F7C"/>
    <w:rsid w:val="004A508D"/>
    <w:rsid w:val="004A599E"/>
    <w:rsid w:val="004A67C2"/>
    <w:rsid w:val="004A6FCE"/>
    <w:rsid w:val="004B4D7D"/>
    <w:rsid w:val="004C097A"/>
    <w:rsid w:val="004C31D0"/>
    <w:rsid w:val="004C6BA1"/>
    <w:rsid w:val="004D34FE"/>
    <w:rsid w:val="004D4028"/>
    <w:rsid w:val="004D51A2"/>
    <w:rsid w:val="004D650E"/>
    <w:rsid w:val="004E0E7C"/>
    <w:rsid w:val="004E403C"/>
    <w:rsid w:val="004E538D"/>
    <w:rsid w:val="004E78D7"/>
    <w:rsid w:val="00504B5E"/>
    <w:rsid w:val="00505A7D"/>
    <w:rsid w:val="00505CC0"/>
    <w:rsid w:val="00506621"/>
    <w:rsid w:val="00507A53"/>
    <w:rsid w:val="00510688"/>
    <w:rsid w:val="005110EC"/>
    <w:rsid w:val="0051239E"/>
    <w:rsid w:val="00512720"/>
    <w:rsid w:val="0051378B"/>
    <w:rsid w:val="00513C1C"/>
    <w:rsid w:val="005145A7"/>
    <w:rsid w:val="00514B13"/>
    <w:rsid w:val="005155AA"/>
    <w:rsid w:val="00517CB2"/>
    <w:rsid w:val="005246A5"/>
    <w:rsid w:val="005246BA"/>
    <w:rsid w:val="0052729B"/>
    <w:rsid w:val="005306BD"/>
    <w:rsid w:val="00531CDF"/>
    <w:rsid w:val="005325E1"/>
    <w:rsid w:val="00536075"/>
    <w:rsid w:val="00540AB9"/>
    <w:rsid w:val="0054380F"/>
    <w:rsid w:val="005448BB"/>
    <w:rsid w:val="005455A3"/>
    <w:rsid w:val="005500C3"/>
    <w:rsid w:val="0055016E"/>
    <w:rsid w:val="00554B5A"/>
    <w:rsid w:val="005572FB"/>
    <w:rsid w:val="00560CC2"/>
    <w:rsid w:val="0056274C"/>
    <w:rsid w:val="0057099D"/>
    <w:rsid w:val="00571EC8"/>
    <w:rsid w:val="00582444"/>
    <w:rsid w:val="0058510F"/>
    <w:rsid w:val="00592A57"/>
    <w:rsid w:val="0059485A"/>
    <w:rsid w:val="005A061E"/>
    <w:rsid w:val="005A5375"/>
    <w:rsid w:val="005B3E6F"/>
    <w:rsid w:val="005B5E7D"/>
    <w:rsid w:val="005B72EB"/>
    <w:rsid w:val="005C0050"/>
    <w:rsid w:val="005C2BEE"/>
    <w:rsid w:val="005D3F1F"/>
    <w:rsid w:val="005E24A0"/>
    <w:rsid w:val="005E2FEB"/>
    <w:rsid w:val="005E4E2C"/>
    <w:rsid w:val="005F31CD"/>
    <w:rsid w:val="005F435A"/>
    <w:rsid w:val="00603C4B"/>
    <w:rsid w:val="00604825"/>
    <w:rsid w:val="00606B3A"/>
    <w:rsid w:val="00610050"/>
    <w:rsid w:val="006136B3"/>
    <w:rsid w:val="00622F3D"/>
    <w:rsid w:val="00630532"/>
    <w:rsid w:val="00632251"/>
    <w:rsid w:val="00633F0B"/>
    <w:rsid w:val="0063667A"/>
    <w:rsid w:val="006378BB"/>
    <w:rsid w:val="00642BCD"/>
    <w:rsid w:val="00643AE8"/>
    <w:rsid w:val="006519A8"/>
    <w:rsid w:val="0065598F"/>
    <w:rsid w:val="00661C74"/>
    <w:rsid w:val="006704A6"/>
    <w:rsid w:val="0067093C"/>
    <w:rsid w:val="00673C78"/>
    <w:rsid w:val="00674A64"/>
    <w:rsid w:val="006849F8"/>
    <w:rsid w:val="006872C8"/>
    <w:rsid w:val="00695F1A"/>
    <w:rsid w:val="006A0643"/>
    <w:rsid w:val="006A1F89"/>
    <w:rsid w:val="006A2454"/>
    <w:rsid w:val="006A2555"/>
    <w:rsid w:val="006A3BD3"/>
    <w:rsid w:val="006A579E"/>
    <w:rsid w:val="006A63DA"/>
    <w:rsid w:val="006A670F"/>
    <w:rsid w:val="006A7994"/>
    <w:rsid w:val="006B29C6"/>
    <w:rsid w:val="006B5F9A"/>
    <w:rsid w:val="006B7263"/>
    <w:rsid w:val="006C1B3C"/>
    <w:rsid w:val="006C1CD4"/>
    <w:rsid w:val="006C7029"/>
    <w:rsid w:val="006D0F7C"/>
    <w:rsid w:val="006D387B"/>
    <w:rsid w:val="006D5830"/>
    <w:rsid w:val="006D71BA"/>
    <w:rsid w:val="006E7271"/>
    <w:rsid w:val="006F07C8"/>
    <w:rsid w:val="006F2756"/>
    <w:rsid w:val="006F3BBE"/>
    <w:rsid w:val="006F4197"/>
    <w:rsid w:val="006F6F8D"/>
    <w:rsid w:val="00700F0D"/>
    <w:rsid w:val="00702205"/>
    <w:rsid w:val="00706964"/>
    <w:rsid w:val="00710452"/>
    <w:rsid w:val="007104A3"/>
    <w:rsid w:val="00713DB8"/>
    <w:rsid w:val="00714FBB"/>
    <w:rsid w:val="00722162"/>
    <w:rsid w:val="00727B0F"/>
    <w:rsid w:val="00727E19"/>
    <w:rsid w:val="007317F2"/>
    <w:rsid w:val="0073244D"/>
    <w:rsid w:val="00732ED1"/>
    <w:rsid w:val="007333B5"/>
    <w:rsid w:val="00734FF9"/>
    <w:rsid w:val="00735536"/>
    <w:rsid w:val="007379DF"/>
    <w:rsid w:val="00742765"/>
    <w:rsid w:val="00745254"/>
    <w:rsid w:val="007462A8"/>
    <w:rsid w:val="00746DF6"/>
    <w:rsid w:val="007518D9"/>
    <w:rsid w:val="00754CA7"/>
    <w:rsid w:val="00757721"/>
    <w:rsid w:val="00764A1A"/>
    <w:rsid w:val="007657A6"/>
    <w:rsid w:val="00765CD6"/>
    <w:rsid w:val="00766AEE"/>
    <w:rsid w:val="007718EE"/>
    <w:rsid w:val="00774648"/>
    <w:rsid w:val="00777C99"/>
    <w:rsid w:val="0078026E"/>
    <w:rsid w:val="00780302"/>
    <w:rsid w:val="00783F98"/>
    <w:rsid w:val="0078672A"/>
    <w:rsid w:val="00790E34"/>
    <w:rsid w:val="00791F0C"/>
    <w:rsid w:val="007935D5"/>
    <w:rsid w:val="007A115F"/>
    <w:rsid w:val="007A6FAB"/>
    <w:rsid w:val="007B30EB"/>
    <w:rsid w:val="007B519C"/>
    <w:rsid w:val="007B682E"/>
    <w:rsid w:val="007B6FC6"/>
    <w:rsid w:val="007C04CE"/>
    <w:rsid w:val="007C3917"/>
    <w:rsid w:val="007C6253"/>
    <w:rsid w:val="007C6272"/>
    <w:rsid w:val="007D2A32"/>
    <w:rsid w:val="007D2F38"/>
    <w:rsid w:val="007D5266"/>
    <w:rsid w:val="007D78AA"/>
    <w:rsid w:val="007D7A88"/>
    <w:rsid w:val="007E3665"/>
    <w:rsid w:val="007E6CDC"/>
    <w:rsid w:val="007E79FD"/>
    <w:rsid w:val="007F18BA"/>
    <w:rsid w:val="007F5FDF"/>
    <w:rsid w:val="007F7A33"/>
    <w:rsid w:val="007F7ADC"/>
    <w:rsid w:val="008052ED"/>
    <w:rsid w:val="00805E78"/>
    <w:rsid w:val="00807D7B"/>
    <w:rsid w:val="00813519"/>
    <w:rsid w:val="00814AE4"/>
    <w:rsid w:val="0081580E"/>
    <w:rsid w:val="00817D93"/>
    <w:rsid w:val="008213D6"/>
    <w:rsid w:val="008309A8"/>
    <w:rsid w:val="008341F0"/>
    <w:rsid w:val="0084070F"/>
    <w:rsid w:val="00845195"/>
    <w:rsid w:val="008532E0"/>
    <w:rsid w:val="008578A6"/>
    <w:rsid w:val="008602B4"/>
    <w:rsid w:val="008608D7"/>
    <w:rsid w:val="008613A5"/>
    <w:rsid w:val="008621A8"/>
    <w:rsid w:val="008636DF"/>
    <w:rsid w:val="00864C2D"/>
    <w:rsid w:val="008679D8"/>
    <w:rsid w:val="008700BC"/>
    <w:rsid w:val="008718D0"/>
    <w:rsid w:val="00872919"/>
    <w:rsid w:val="00872D74"/>
    <w:rsid w:val="00875816"/>
    <w:rsid w:val="008810B6"/>
    <w:rsid w:val="00883A17"/>
    <w:rsid w:val="00883D12"/>
    <w:rsid w:val="00884233"/>
    <w:rsid w:val="00885ED0"/>
    <w:rsid w:val="00892529"/>
    <w:rsid w:val="0089291B"/>
    <w:rsid w:val="00895D39"/>
    <w:rsid w:val="008B017C"/>
    <w:rsid w:val="008B2026"/>
    <w:rsid w:val="008B6452"/>
    <w:rsid w:val="008B75AF"/>
    <w:rsid w:val="008C02C2"/>
    <w:rsid w:val="008C37C2"/>
    <w:rsid w:val="008C6074"/>
    <w:rsid w:val="008D1521"/>
    <w:rsid w:val="008D17CB"/>
    <w:rsid w:val="008D377F"/>
    <w:rsid w:val="008D4222"/>
    <w:rsid w:val="008D5273"/>
    <w:rsid w:val="008D6E7B"/>
    <w:rsid w:val="008E180F"/>
    <w:rsid w:val="008E670C"/>
    <w:rsid w:val="008E736F"/>
    <w:rsid w:val="008F2E5A"/>
    <w:rsid w:val="008F61D1"/>
    <w:rsid w:val="0090051A"/>
    <w:rsid w:val="00901D71"/>
    <w:rsid w:val="009112D3"/>
    <w:rsid w:val="00911BF5"/>
    <w:rsid w:val="00912DD9"/>
    <w:rsid w:val="0091493E"/>
    <w:rsid w:val="00915149"/>
    <w:rsid w:val="00916417"/>
    <w:rsid w:val="00917DD2"/>
    <w:rsid w:val="00917F28"/>
    <w:rsid w:val="009221F0"/>
    <w:rsid w:val="009327F4"/>
    <w:rsid w:val="00933206"/>
    <w:rsid w:val="00941889"/>
    <w:rsid w:val="0094427D"/>
    <w:rsid w:val="00946BCC"/>
    <w:rsid w:val="009500EF"/>
    <w:rsid w:val="0095321C"/>
    <w:rsid w:val="009561CD"/>
    <w:rsid w:val="00961DAC"/>
    <w:rsid w:val="00965A3D"/>
    <w:rsid w:val="00966A1C"/>
    <w:rsid w:val="0096720C"/>
    <w:rsid w:val="009702CE"/>
    <w:rsid w:val="00974628"/>
    <w:rsid w:val="00974848"/>
    <w:rsid w:val="00975AF9"/>
    <w:rsid w:val="00976C04"/>
    <w:rsid w:val="00983565"/>
    <w:rsid w:val="00985153"/>
    <w:rsid w:val="0098543B"/>
    <w:rsid w:val="009A5F31"/>
    <w:rsid w:val="009A5FDD"/>
    <w:rsid w:val="009A72EF"/>
    <w:rsid w:val="009B050A"/>
    <w:rsid w:val="009B2489"/>
    <w:rsid w:val="009B7340"/>
    <w:rsid w:val="009C1142"/>
    <w:rsid w:val="009C3A18"/>
    <w:rsid w:val="009C7353"/>
    <w:rsid w:val="009C7F6B"/>
    <w:rsid w:val="009D3A04"/>
    <w:rsid w:val="009D3D57"/>
    <w:rsid w:val="009D630F"/>
    <w:rsid w:val="009D6E00"/>
    <w:rsid w:val="009D710C"/>
    <w:rsid w:val="009E0EF4"/>
    <w:rsid w:val="009E1D69"/>
    <w:rsid w:val="009E1DA5"/>
    <w:rsid w:val="009F0411"/>
    <w:rsid w:val="009F2C49"/>
    <w:rsid w:val="009F3573"/>
    <w:rsid w:val="009F6768"/>
    <w:rsid w:val="009F6E35"/>
    <w:rsid w:val="00A04130"/>
    <w:rsid w:val="00A05BF2"/>
    <w:rsid w:val="00A10F82"/>
    <w:rsid w:val="00A11DAE"/>
    <w:rsid w:val="00A12D59"/>
    <w:rsid w:val="00A167D2"/>
    <w:rsid w:val="00A16DB7"/>
    <w:rsid w:val="00A225C8"/>
    <w:rsid w:val="00A24E23"/>
    <w:rsid w:val="00A2506D"/>
    <w:rsid w:val="00A250C6"/>
    <w:rsid w:val="00A25F97"/>
    <w:rsid w:val="00A25FB7"/>
    <w:rsid w:val="00A27234"/>
    <w:rsid w:val="00A2770F"/>
    <w:rsid w:val="00A308D5"/>
    <w:rsid w:val="00A32F93"/>
    <w:rsid w:val="00A34A9F"/>
    <w:rsid w:val="00A36E8D"/>
    <w:rsid w:val="00A40B68"/>
    <w:rsid w:val="00A553F0"/>
    <w:rsid w:val="00A555AB"/>
    <w:rsid w:val="00A61C14"/>
    <w:rsid w:val="00A65208"/>
    <w:rsid w:val="00A67F30"/>
    <w:rsid w:val="00A72A40"/>
    <w:rsid w:val="00A7351F"/>
    <w:rsid w:val="00A750A5"/>
    <w:rsid w:val="00A8320B"/>
    <w:rsid w:val="00A832BB"/>
    <w:rsid w:val="00A83C77"/>
    <w:rsid w:val="00A85BC1"/>
    <w:rsid w:val="00A91E66"/>
    <w:rsid w:val="00A96026"/>
    <w:rsid w:val="00AA0A2B"/>
    <w:rsid w:val="00AA0F46"/>
    <w:rsid w:val="00AA39DB"/>
    <w:rsid w:val="00AA7112"/>
    <w:rsid w:val="00AA730D"/>
    <w:rsid w:val="00AC0CFF"/>
    <w:rsid w:val="00AC188D"/>
    <w:rsid w:val="00AC3545"/>
    <w:rsid w:val="00AC6B15"/>
    <w:rsid w:val="00AD6D31"/>
    <w:rsid w:val="00AE29C9"/>
    <w:rsid w:val="00AE7198"/>
    <w:rsid w:val="00AF0D62"/>
    <w:rsid w:val="00AF1E22"/>
    <w:rsid w:val="00AF306B"/>
    <w:rsid w:val="00AF442C"/>
    <w:rsid w:val="00AF6ADD"/>
    <w:rsid w:val="00AF6C7E"/>
    <w:rsid w:val="00B00CDC"/>
    <w:rsid w:val="00B01DA9"/>
    <w:rsid w:val="00B058CD"/>
    <w:rsid w:val="00B15262"/>
    <w:rsid w:val="00B165EF"/>
    <w:rsid w:val="00B17258"/>
    <w:rsid w:val="00B17506"/>
    <w:rsid w:val="00B17AEB"/>
    <w:rsid w:val="00B23D8F"/>
    <w:rsid w:val="00B24948"/>
    <w:rsid w:val="00B24D14"/>
    <w:rsid w:val="00B25DE0"/>
    <w:rsid w:val="00B35A4A"/>
    <w:rsid w:val="00B403C8"/>
    <w:rsid w:val="00B43DB1"/>
    <w:rsid w:val="00B464B2"/>
    <w:rsid w:val="00B508F0"/>
    <w:rsid w:val="00B5298E"/>
    <w:rsid w:val="00B533E5"/>
    <w:rsid w:val="00B535CD"/>
    <w:rsid w:val="00B54CE4"/>
    <w:rsid w:val="00B55209"/>
    <w:rsid w:val="00B567D8"/>
    <w:rsid w:val="00B62D12"/>
    <w:rsid w:val="00B62FD2"/>
    <w:rsid w:val="00B644BD"/>
    <w:rsid w:val="00B645BD"/>
    <w:rsid w:val="00B74FF0"/>
    <w:rsid w:val="00B77E2D"/>
    <w:rsid w:val="00B84818"/>
    <w:rsid w:val="00B84820"/>
    <w:rsid w:val="00B8615F"/>
    <w:rsid w:val="00B869E4"/>
    <w:rsid w:val="00B91250"/>
    <w:rsid w:val="00B92603"/>
    <w:rsid w:val="00B944D7"/>
    <w:rsid w:val="00B946B2"/>
    <w:rsid w:val="00B94D00"/>
    <w:rsid w:val="00BA342D"/>
    <w:rsid w:val="00BB0CD8"/>
    <w:rsid w:val="00BB1FBE"/>
    <w:rsid w:val="00BC23B2"/>
    <w:rsid w:val="00BC5C23"/>
    <w:rsid w:val="00BD186F"/>
    <w:rsid w:val="00BD5A1B"/>
    <w:rsid w:val="00BE0450"/>
    <w:rsid w:val="00BE0BD0"/>
    <w:rsid w:val="00BE4A67"/>
    <w:rsid w:val="00BF11C1"/>
    <w:rsid w:val="00BF444F"/>
    <w:rsid w:val="00BF599B"/>
    <w:rsid w:val="00BF6FD7"/>
    <w:rsid w:val="00C00163"/>
    <w:rsid w:val="00C03141"/>
    <w:rsid w:val="00C15D2A"/>
    <w:rsid w:val="00C15DB8"/>
    <w:rsid w:val="00C212DD"/>
    <w:rsid w:val="00C23F2B"/>
    <w:rsid w:val="00C27500"/>
    <w:rsid w:val="00C27660"/>
    <w:rsid w:val="00C361A4"/>
    <w:rsid w:val="00C41491"/>
    <w:rsid w:val="00C414BC"/>
    <w:rsid w:val="00C468DB"/>
    <w:rsid w:val="00C47A0A"/>
    <w:rsid w:val="00C65CDC"/>
    <w:rsid w:val="00C678AD"/>
    <w:rsid w:val="00C76910"/>
    <w:rsid w:val="00C80EDA"/>
    <w:rsid w:val="00C81B99"/>
    <w:rsid w:val="00C81BD9"/>
    <w:rsid w:val="00C93C59"/>
    <w:rsid w:val="00C93C68"/>
    <w:rsid w:val="00C968BC"/>
    <w:rsid w:val="00CA242A"/>
    <w:rsid w:val="00CA36D1"/>
    <w:rsid w:val="00CA5A4E"/>
    <w:rsid w:val="00CA63E8"/>
    <w:rsid w:val="00CA687E"/>
    <w:rsid w:val="00CB5C7D"/>
    <w:rsid w:val="00CC19D6"/>
    <w:rsid w:val="00CC216F"/>
    <w:rsid w:val="00CC269D"/>
    <w:rsid w:val="00CC444D"/>
    <w:rsid w:val="00CD5608"/>
    <w:rsid w:val="00CE283B"/>
    <w:rsid w:val="00CE6BE6"/>
    <w:rsid w:val="00CF35E2"/>
    <w:rsid w:val="00CF3BB4"/>
    <w:rsid w:val="00CF430F"/>
    <w:rsid w:val="00CF6D97"/>
    <w:rsid w:val="00D03FF8"/>
    <w:rsid w:val="00D066D1"/>
    <w:rsid w:val="00D072B1"/>
    <w:rsid w:val="00D079C7"/>
    <w:rsid w:val="00D1422A"/>
    <w:rsid w:val="00D15D89"/>
    <w:rsid w:val="00D21D45"/>
    <w:rsid w:val="00D24707"/>
    <w:rsid w:val="00D329D8"/>
    <w:rsid w:val="00D344FD"/>
    <w:rsid w:val="00D35DFE"/>
    <w:rsid w:val="00D401D5"/>
    <w:rsid w:val="00D41D3C"/>
    <w:rsid w:val="00D42521"/>
    <w:rsid w:val="00D434FC"/>
    <w:rsid w:val="00D50ED9"/>
    <w:rsid w:val="00D51BEE"/>
    <w:rsid w:val="00D53DB2"/>
    <w:rsid w:val="00D55B4B"/>
    <w:rsid w:val="00D6052E"/>
    <w:rsid w:val="00D61010"/>
    <w:rsid w:val="00D6225E"/>
    <w:rsid w:val="00D62C99"/>
    <w:rsid w:val="00D637C0"/>
    <w:rsid w:val="00D6416F"/>
    <w:rsid w:val="00D6784A"/>
    <w:rsid w:val="00D7575C"/>
    <w:rsid w:val="00D75C5A"/>
    <w:rsid w:val="00D770AE"/>
    <w:rsid w:val="00D8563D"/>
    <w:rsid w:val="00D87733"/>
    <w:rsid w:val="00D92EDB"/>
    <w:rsid w:val="00D93E9D"/>
    <w:rsid w:val="00D96240"/>
    <w:rsid w:val="00D96D79"/>
    <w:rsid w:val="00D978EE"/>
    <w:rsid w:val="00D978FA"/>
    <w:rsid w:val="00DA5292"/>
    <w:rsid w:val="00DB063C"/>
    <w:rsid w:val="00DB2EC6"/>
    <w:rsid w:val="00DB56E9"/>
    <w:rsid w:val="00DC28F3"/>
    <w:rsid w:val="00DC2D4D"/>
    <w:rsid w:val="00DC5ED8"/>
    <w:rsid w:val="00DD18F6"/>
    <w:rsid w:val="00DD2A5E"/>
    <w:rsid w:val="00DD3FFB"/>
    <w:rsid w:val="00DD4682"/>
    <w:rsid w:val="00DE1A3B"/>
    <w:rsid w:val="00DE24B7"/>
    <w:rsid w:val="00DE3BB6"/>
    <w:rsid w:val="00DE512F"/>
    <w:rsid w:val="00DF1AD6"/>
    <w:rsid w:val="00DF1FCF"/>
    <w:rsid w:val="00DF6B3E"/>
    <w:rsid w:val="00E01097"/>
    <w:rsid w:val="00E01D25"/>
    <w:rsid w:val="00E0255D"/>
    <w:rsid w:val="00E036EA"/>
    <w:rsid w:val="00E0540E"/>
    <w:rsid w:val="00E076C9"/>
    <w:rsid w:val="00E12126"/>
    <w:rsid w:val="00E15C33"/>
    <w:rsid w:val="00E20F65"/>
    <w:rsid w:val="00E21616"/>
    <w:rsid w:val="00E2406C"/>
    <w:rsid w:val="00E27D84"/>
    <w:rsid w:val="00E34F96"/>
    <w:rsid w:val="00E35042"/>
    <w:rsid w:val="00E36B25"/>
    <w:rsid w:val="00E40212"/>
    <w:rsid w:val="00E40F9C"/>
    <w:rsid w:val="00E46D06"/>
    <w:rsid w:val="00E50AF7"/>
    <w:rsid w:val="00E517BC"/>
    <w:rsid w:val="00E551F1"/>
    <w:rsid w:val="00E564A8"/>
    <w:rsid w:val="00E60E19"/>
    <w:rsid w:val="00E633F1"/>
    <w:rsid w:val="00E70D8E"/>
    <w:rsid w:val="00E71FFB"/>
    <w:rsid w:val="00E81C20"/>
    <w:rsid w:val="00E82A1F"/>
    <w:rsid w:val="00E8426E"/>
    <w:rsid w:val="00E8569D"/>
    <w:rsid w:val="00E860F0"/>
    <w:rsid w:val="00E91EB9"/>
    <w:rsid w:val="00E93002"/>
    <w:rsid w:val="00E93848"/>
    <w:rsid w:val="00E95972"/>
    <w:rsid w:val="00E95C33"/>
    <w:rsid w:val="00EA1E95"/>
    <w:rsid w:val="00EA3696"/>
    <w:rsid w:val="00EA4DC9"/>
    <w:rsid w:val="00EB05D2"/>
    <w:rsid w:val="00EB3AEB"/>
    <w:rsid w:val="00EB57D8"/>
    <w:rsid w:val="00EB5B3C"/>
    <w:rsid w:val="00EC0F45"/>
    <w:rsid w:val="00EC157D"/>
    <w:rsid w:val="00EC1838"/>
    <w:rsid w:val="00EC30CD"/>
    <w:rsid w:val="00EC52D3"/>
    <w:rsid w:val="00EC71D2"/>
    <w:rsid w:val="00EC7478"/>
    <w:rsid w:val="00ED156C"/>
    <w:rsid w:val="00ED6CA3"/>
    <w:rsid w:val="00ED74C3"/>
    <w:rsid w:val="00ED7A63"/>
    <w:rsid w:val="00EE18F9"/>
    <w:rsid w:val="00EE46C1"/>
    <w:rsid w:val="00EE5B6A"/>
    <w:rsid w:val="00EE6579"/>
    <w:rsid w:val="00EF22C1"/>
    <w:rsid w:val="00EF3E20"/>
    <w:rsid w:val="00EF4BF3"/>
    <w:rsid w:val="00EF6E35"/>
    <w:rsid w:val="00F02323"/>
    <w:rsid w:val="00F043D5"/>
    <w:rsid w:val="00F05716"/>
    <w:rsid w:val="00F07D37"/>
    <w:rsid w:val="00F20856"/>
    <w:rsid w:val="00F21623"/>
    <w:rsid w:val="00F21EA8"/>
    <w:rsid w:val="00F2274B"/>
    <w:rsid w:val="00F22BAD"/>
    <w:rsid w:val="00F237B3"/>
    <w:rsid w:val="00F23DA3"/>
    <w:rsid w:val="00F35695"/>
    <w:rsid w:val="00F37229"/>
    <w:rsid w:val="00F37767"/>
    <w:rsid w:val="00F4174D"/>
    <w:rsid w:val="00F41771"/>
    <w:rsid w:val="00F42D74"/>
    <w:rsid w:val="00F43449"/>
    <w:rsid w:val="00F446E3"/>
    <w:rsid w:val="00F50BA6"/>
    <w:rsid w:val="00F55222"/>
    <w:rsid w:val="00F571B6"/>
    <w:rsid w:val="00F664BE"/>
    <w:rsid w:val="00F767CD"/>
    <w:rsid w:val="00F85E61"/>
    <w:rsid w:val="00F91DC1"/>
    <w:rsid w:val="00F92CCC"/>
    <w:rsid w:val="00F952B9"/>
    <w:rsid w:val="00F9617A"/>
    <w:rsid w:val="00F9685F"/>
    <w:rsid w:val="00FA13FE"/>
    <w:rsid w:val="00FA3A98"/>
    <w:rsid w:val="00FA424F"/>
    <w:rsid w:val="00FA6945"/>
    <w:rsid w:val="00FB192E"/>
    <w:rsid w:val="00FB3CB1"/>
    <w:rsid w:val="00FB54F9"/>
    <w:rsid w:val="00FB5545"/>
    <w:rsid w:val="00FC51D1"/>
    <w:rsid w:val="00FC6FDB"/>
    <w:rsid w:val="00FC7583"/>
    <w:rsid w:val="00FD0E1C"/>
    <w:rsid w:val="00FD103B"/>
    <w:rsid w:val="00FE1336"/>
    <w:rsid w:val="00FE4F6E"/>
    <w:rsid w:val="00FE53DB"/>
    <w:rsid w:val="00FF011A"/>
    <w:rsid w:val="00FF0633"/>
    <w:rsid w:val="00FF4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12D03"/>
  <w15:docId w15:val="{28792F93-FF2A-4393-83DE-1D11E6B4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D1"/>
    <w:pPr>
      <w:spacing w:after="200" w:line="276" w:lineRule="auto"/>
    </w:pPr>
    <w:rPr>
      <w:sz w:val="22"/>
      <w:szCs w:val="22"/>
      <w:lang w:eastAsia="en-US"/>
    </w:rPr>
  </w:style>
  <w:style w:type="paragraph" w:styleId="Heading1">
    <w:name w:val="heading 1"/>
    <w:basedOn w:val="Normal"/>
    <w:next w:val="Normal"/>
    <w:link w:val="Heading1Char"/>
    <w:qFormat/>
    <w:rsid w:val="00754CA7"/>
    <w:pPr>
      <w:numPr>
        <w:numId w:val="1"/>
      </w:numPr>
      <w:spacing w:after="280" w:line="240" w:lineRule="auto"/>
      <w:outlineLvl w:val="0"/>
    </w:pPr>
    <w:rPr>
      <w:rFonts w:ascii="Arial" w:eastAsia="Times New Roman" w:hAnsi="Arial"/>
      <w:b/>
      <w:sz w:val="24"/>
      <w:szCs w:val="20"/>
    </w:rPr>
  </w:style>
  <w:style w:type="paragraph" w:styleId="Heading2">
    <w:name w:val="heading 2"/>
    <w:basedOn w:val="Normal"/>
    <w:next w:val="Normal"/>
    <w:link w:val="Heading2Char"/>
    <w:qFormat/>
    <w:rsid w:val="00754CA7"/>
    <w:pPr>
      <w:numPr>
        <w:ilvl w:val="1"/>
        <w:numId w:val="1"/>
      </w:numPr>
      <w:spacing w:after="240" w:line="240" w:lineRule="auto"/>
      <w:outlineLvl w:val="1"/>
    </w:pPr>
    <w:rPr>
      <w:rFonts w:ascii="Arial" w:eastAsia="Times New Roman" w:hAnsi="Arial"/>
      <w:sz w:val="24"/>
      <w:szCs w:val="20"/>
    </w:rPr>
  </w:style>
  <w:style w:type="paragraph" w:styleId="Heading3">
    <w:name w:val="heading 3"/>
    <w:basedOn w:val="Normal"/>
    <w:next w:val="Normal"/>
    <w:link w:val="Heading3Char"/>
    <w:qFormat/>
    <w:rsid w:val="00754CA7"/>
    <w:pPr>
      <w:numPr>
        <w:ilvl w:val="2"/>
        <w:numId w:val="1"/>
      </w:numPr>
      <w:spacing w:after="240" w:line="240" w:lineRule="auto"/>
      <w:ind w:left="1440"/>
      <w:outlineLvl w:val="2"/>
    </w:pPr>
    <w:rPr>
      <w:rFonts w:ascii="Arial" w:eastAsia="Times New Roman" w:hAnsi="Arial"/>
      <w:sz w:val="24"/>
      <w:szCs w:val="20"/>
    </w:rPr>
  </w:style>
  <w:style w:type="paragraph" w:styleId="Heading4">
    <w:name w:val="heading 4"/>
    <w:basedOn w:val="Normal"/>
    <w:next w:val="Normal"/>
    <w:link w:val="Heading4Char"/>
    <w:qFormat/>
    <w:rsid w:val="00754CA7"/>
    <w:pPr>
      <w:numPr>
        <w:ilvl w:val="3"/>
        <w:numId w:val="1"/>
      </w:numPr>
      <w:spacing w:after="120" w:line="240" w:lineRule="auto"/>
      <w:ind w:hanging="720"/>
      <w:outlineLvl w:val="3"/>
    </w:pPr>
    <w:rPr>
      <w:rFonts w:ascii="Arial" w:eastAsia="Times New Roman" w:hAnsi="Arial"/>
      <w:sz w:val="24"/>
      <w:szCs w:val="20"/>
    </w:rPr>
  </w:style>
  <w:style w:type="paragraph" w:styleId="Heading5">
    <w:name w:val="heading 5"/>
    <w:basedOn w:val="Normal"/>
    <w:next w:val="Normal"/>
    <w:link w:val="Heading5Char"/>
    <w:uiPriority w:val="9"/>
    <w:qFormat/>
    <w:rsid w:val="00754CA7"/>
    <w:pPr>
      <w:numPr>
        <w:ilvl w:val="4"/>
        <w:numId w:val="1"/>
      </w:numPr>
      <w:spacing w:after="120" w:line="240" w:lineRule="auto"/>
      <w:ind w:hanging="720"/>
      <w:outlineLvl w:val="4"/>
    </w:pPr>
    <w:rPr>
      <w:rFonts w:ascii="Arial" w:eastAsia="Times New Roman" w:hAnsi="Arial"/>
      <w:sz w:val="24"/>
      <w:szCs w:val="20"/>
    </w:rPr>
  </w:style>
  <w:style w:type="paragraph" w:styleId="Heading6">
    <w:name w:val="heading 6"/>
    <w:basedOn w:val="Normal"/>
    <w:next w:val="Normal"/>
    <w:link w:val="Heading6Char"/>
    <w:qFormat/>
    <w:rsid w:val="00754CA7"/>
    <w:pPr>
      <w:numPr>
        <w:ilvl w:val="5"/>
        <w:numId w:val="1"/>
      </w:numPr>
      <w:spacing w:after="120" w:line="240" w:lineRule="auto"/>
      <w:ind w:hanging="720"/>
      <w:outlineLvl w:val="5"/>
    </w:pPr>
    <w:rPr>
      <w:rFonts w:ascii="Arial" w:eastAsia="Times New Roman" w:hAnsi="Arial"/>
      <w:sz w:val="24"/>
      <w:szCs w:val="20"/>
    </w:rPr>
  </w:style>
  <w:style w:type="paragraph" w:styleId="Heading7">
    <w:name w:val="heading 7"/>
    <w:basedOn w:val="Normal"/>
    <w:next w:val="Normal"/>
    <w:link w:val="Heading7Char"/>
    <w:qFormat/>
    <w:rsid w:val="00754CA7"/>
    <w:pPr>
      <w:numPr>
        <w:ilvl w:val="6"/>
        <w:numId w:val="1"/>
      </w:numPr>
      <w:spacing w:before="240" w:after="60" w:line="240" w:lineRule="auto"/>
      <w:outlineLvl w:val="6"/>
    </w:pPr>
    <w:rPr>
      <w:rFonts w:ascii="Arial" w:eastAsia="Times New Roman" w:hAnsi="Arial"/>
      <w:sz w:val="20"/>
      <w:szCs w:val="20"/>
    </w:rPr>
  </w:style>
  <w:style w:type="paragraph" w:styleId="Heading8">
    <w:name w:val="heading 8"/>
    <w:basedOn w:val="Normal"/>
    <w:next w:val="Normal"/>
    <w:link w:val="Heading8Char"/>
    <w:qFormat/>
    <w:rsid w:val="00754CA7"/>
    <w:pPr>
      <w:numPr>
        <w:ilvl w:val="7"/>
        <w:numId w:val="1"/>
      </w:numPr>
      <w:spacing w:before="240" w:after="60" w:line="240" w:lineRule="auto"/>
      <w:outlineLvl w:val="7"/>
    </w:pPr>
    <w:rPr>
      <w:rFonts w:ascii="Arial" w:eastAsia="Times New Roman" w:hAnsi="Arial"/>
      <w:i/>
      <w:sz w:val="20"/>
      <w:szCs w:val="20"/>
    </w:rPr>
  </w:style>
  <w:style w:type="paragraph" w:styleId="Heading9">
    <w:name w:val="heading 9"/>
    <w:basedOn w:val="Normal"/>
    <w:next w:val="Normal"/>
    <w:link w:val="Heading9Char"/>
    <w:qFormat/>
    <w:rsid w:val="00754CA7"/>
    <w:pPr>
      <w:numPr>
        <w:ilvl w:val="8"/>
        <w:numId w:val="1"/>
      </w:numPr>
      <w:spacing w:before="240" w:after="60" w:line="240" w:lineRule="auto"/>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CA7"/>
    <w:rPr>
      <w:rFonts w:ascii="Arial" w:eastAsia="Times New Roman" w:hAnsi="Arial"/>
      <w:b/>
      <w:sz w:val="24"/>
      <w:lang w:eastAsia="en-US"/>
    </w:rPr>
  </w:style>
  <w:style w:type="character" w:customStyle="1" w:styleId="Heading2Char">
    <w:name w:val="Heading 2 Char"/>
    <w:basedOn w:val="DefaultParagraphFont"/>
    <w:link w:val="Heading2"/>
    <w:rsid w:val="00754CA7"/>
    <w:rPr>
      <w:rFonts w:ascii="Arial" w:eastAsia="Times New Roman" w:hAnsi="Arial"/>
      <w:sz w:val="24"/>
      <w:lang w:eastAsia="en-US"/>
    </w:rPr>
  </w:style>
  <w:style w:type="character" w:customStyle="1" w:styleId="Heading3Char">
    <w:name w:val="Heading 3 Char"/>
    <w:basedOn w:val="DefaultParagraphFont"/>
    <w:link w:val="Heading3"/>
    <w:rsid w:val="00754CA7"/>
    <w:rPr>
      <w:rFonts w:ascii="Arial" w:eastAsia="Times New Roman" w:hAnsi="Arial"/>
      <w:sz w:val="24"/>
      <w:lang w:eastAsia="en-US"/>
    </w:rPr>
  </w:style>
  <w:style w:type="character" w:customStyle="1" w:styleId="Heading4Char">
    <w:name w:val="Heading 4 Char"/>
    <w:basedOn w:val="DefaultParagraphFont"/>
    <w:link w:val="Heading4"/>
    <w:rsid w:val="00754CA7"/>
    <w:rPr>
      <w:rFonts w:ascii="Arial" w:eastAsia="Times New Roman" w:hAnsi="Arial"/>
      <w:sz w:val="24"/>
      <w:lang w:eastAsia="en-US"/>
    </w:rPr>
  </w:style>
  <w:style w:type="character" w:customStyle="1" w:styleId="Heading5Char">
    <w:name w:val="Heading 5 Char"/>
    <w:basedOn w:val="DefaultParagraphFont"/>
    <w:link w:val="Heading5"/>
    <w:uiPriority w:val="9"/>
    <w:rsid w:val="00754CA7"/>
    <w:rPr>
      <w:rFonts w:ascii="Arial" w:eastAsia="Times New Roman" w:hAnsi="Arial"/>
      <w:sz w:val="24"/>
      <w:lang w:eastAsia="en-US"/>
    </w:rPr>
  </w:style>
  <w:style w:type="character" w:customStyle="1" w:styleId="Heading6Char">
    <w:name w:val="Heading 6 Char"/>
    <w:basedOn w:val="DefaultParagraphFont"/>
    <w:link w:val="Heading6"/>
    <w:rsid w:val="00754CA7"/>
    <w:rPr>
      <w:rFonts w:ascii="Arial" w:eastAsia="Times New Roman" w:hAnsi="Arial"/>
      <w:sz w:val="24"/>
      <w:lang w:eastAsia="en-US"/>
    </w:rPr>
  </w:style>
  <w:style w:type="character" w:customStyle="1" w:styleId="Heading7Char">
    <w:name w:val="Heading 7 Char"/>
    <w:basedOn w:val="DefaultParagraphFont"/>
    <w:link w:val="Heading7"/>
    <w:rsid w:val="00754CA7"/>
    <w:rPr>
      <w:rFonts w:ascii="Arial" w:eastAsia="Times New Roman" w:hAnsi="Arial"/>
      <w:lang w:eastAsia="en-US"/>
    </w:rPr>
  </w:style>
  <w:style w:type="character" w:customStyle="1" w:styleId="Heading8Char">
    <w:name w:val="Heading 8 Char"/>
    <w:basedOn w:val="DefaultParagraphFont"/>
    <w:link w:val="Heading8"/>
    <w:rsid w:val="00754CA7"/>
    <w:rPr>
      <w:rFonts w:ascii="Arial" w:eastAsia="Times New Roman" w:hAnsi="Arial"/>
      <w:i/>
      <w:lang w:eastAsia="en-US"/>
    </w:rPr>
  </w:style>
  <w:style w:type="character" w:customStyle="1" w:styleId="Heading9Char">
    <w:name w:val="Heading 9 Char"/>
    <w:basedOn w:val="DefaultParagraphFont"/>
    <w:link w:val="Heading9"/>
    <w:rsid w:val="00754CA7"/>
    <w:rPr>
      <w:rFonts w:ascii="Arial" w:eastAsia="Times New Roman" w:hAnsi="Arial"/>
      <w:b/>
      <w:i/>
      <w:sz w:val="18"/>
      <w:lang w:eastAsia="en-US"/>
    </w:rPr>
  </w:style>
  <w:style w:type="paragraph" w:customStyle="1" w:styleId="subheading">
    <w:name w:val="subheading"/>
    <w:basedOn w:val="Normal"/>
    <w:rsid w:val="00754CA7"/>
    <w:pPr>
      <w:spacing w:after="240" w:line="240" w:lineRule="auto"/>
      <w:ind w:left="720"/>
    </w:pPr>
    <w:rPr>
      <w:rFonts w:ascii="Arial" w:eastAsia="Times New Roman" w:hAnsi="Arial"/>
      <w:b/>
      <w:szCs w:val="20"/>
    </w:rPr>
  </w:style>
  <w:style w:type="paragraph" w:customStyle="1" w:styleId="paragraph">
    <w:name w:val="paragraph"/>
    <w:basedOn w:val="Normal"/>
    <w:rsid w:val="00754CA7"/>
    <w:pPr>
      <w:numPr>
        <w:ilvl w:val="1"/>
        <w:numId w:val="2"/>
      </w:numPr>
      <w:spacing w:after="240"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94427D"/>
    <w:pPr>
      <w:ind w:left="720"/>
    </w:pPr>
    <w:rPr>
      <w:rFonts w:eastAsia="Times New Roman" w:cs="Calibri"/>
      <w:lang w:eastAsia="en-GB"/>
    </w:rPr>
  </w:style>
  <w:style w:type="paragraph" w:styleId="Header">
    <w:name w:val="header"/>
    <w:basedOn w:val="Normal"/>
    <w:link w:val="HeaderChar"/>
    <w:unhideWhenUsed/>
    <w:rsid w:val="000246F7"/>
    <w:pPr>
      <w:tabs>
        <w:tab w:val="center" w:pos="4513"/>
        <w:tab w:val="right" w:pos="9026"/>
      </w:tabs>
    </w:pPr>
  </w:style>
  <w:style w:type="character" w:customStyle="1" w:styleId="HeaderChar">
    <w:name w:val="Header Char"/>
    <w:basedOn w:val="DefaultParagraphFont"/>
    <w:link w:val="Header"/>
    <w:uiPriority w:val="99"/>
    <w:semiHidden/>
    <w:rsid w:val="000246F7"/>
    <w:rPr>
      <w:sz w:val="22"/>
      <w:szCs w:val="22"/>
      <w:lang w:eastAsia="en-US"/>
    </w:rPr>
  </w:style>
  <w:style w:type="paragraph" w:styleId="Footer">
    <w:name w:val="footer"/>
    <w:basedOn w:val="Normal"/>
    <w:link w:val="FooterChar"/>
    <w:uiPriority w:val="99"/>
    <w:unhideWhenUsed/>
    <w:rsid w:val="000246F7"/>
    <w:pPr>
      <w:tabs>
        <w:tab w:val="center" w:pos="4513"/>
        <w:tab w:val="right" w:pos="9026"/>
      </w:tabs>
    </w:pPr>
  </w:style>
  <w:style w:type="character" w:customStyle="1" w:styleId="FooterChar">
    <w:name w:val="Footer Char"/>
    <w:basedOn w:val="DefaultParagraphFont"/>
    <w:link w:val="Footer"/>
    <w:uiPriority w:val="99"/>
    <w:rsid w:val="000246F7"/>
    <w:rPr>
      <w:sz w:val="22"/>
      <w:szCs w:val="22"/>
      <w:lang w:eastAsia="en-US"/>
    </w:rPr>
  </w:style>
  <w:style w:type="paragraph" w:customStyle="1" w:styleId="Style2blue">
    <w:name w:val="Style2 blue"/>
    <w:basedOn w:val="Normal"/>
    <w:rsid w:val="00FB54F9"/>
    <w:pPr>
      <w:numPr>
        <w:numId w:val="3"/>
      </w:numPr>
      <w:pBdr>
        <w:bottom w:val="single" w:sz="18" w:space="1" w:color="0099CC"/>
      </w:pBdr>
      <w:spacing w:before="120" w:after="120"/>
      <w:ind w:left="709" w:hanging="709"/>
      <w:outlineLvl w:val="4"/>
    </w:pPr>
    <w:rPr>
      <w:rFonts w:ascii="Arial" w:eastAsia="Times New Roman" w:hAnsi="Arial"/>
      <w:b/>
      <w:bCs/>
      <w:iCs/>
      <w:color w:val="0099CC"/>
      <w:sz w:val="28"/>
      <w:szCs w:val="26"/>
      <w:lang w:eastAsia="en-GB"/>
    </w:rPr>
  </w:style>
  <w:style w:type="character" w:styleId="Hyperlink">
    <w:name w:val="Hyperlink"/>
    <w:basedOn w:val="DefaultParagraphFont"/>
    <w:uiPriority w:val="99"/>
    <w:unhideWhenUsed/>
    <w:rsid w:val="004E78D7"/>
    <w:rPr>
      <w:color w:val="0000FF"/>
      <w:u w:val="single"/>
    </w:rPr>
  </w:style>
  <w:style w:type="table" w:styleId="TableGrid">
    <w:name w:val="Table Grid"/>
    <w:basedOn w:val="TableNormal"/>
    <w:uiPriority w:val="59"/>
    <w:rsid w:val="004E78D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78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8D7"/>
    <w:rPr>
      <w:rFonts w:ascii="Calibri" w:eastAsia="Calibri" w:hAnsi="Calibri" w:cs="Times New Roman"/>
      <w:lang w:eastAsia="en-US"/>
    </w:rPr>
  </w:style>
  <w:style w:type="character" w:styleId="FootnoteReference">
    <w:name w:val="footnote reference"/>
    <w:basedOn w:val="DefaultParagraphFont"/>
    <w:uiPriority w:val="99"/>
    <w:semiHidden/>
    <w:unhideWhenUsed/>
    <w:rsid w:val="004E78D7"/>
    <w:rPr>
      <w:vertAlign w:val="superscript"/>
    </w:rPr>
  </w:style>
  <w:style w:type="character" w:styleId="FollowedHyperlink">
    <w:name w:val="FollowedHyperlink"/>
    <w:basedOn w:val="DefaultParagraphFont"/>
    <w:uiPriority w:val="99"/>
    <w:semiHidden/>
    <w:unhideWhenUsed/>
    <w:rsid w:val="00A8320B"/>
    <w:rPr>
      <w:color w:val="800080"/>
      <w:u w:val="single"/>
    </w:rPr>
  </w:style>
  <w:style w:type="character" w:styleId="EndnoteReference">
    <w:name w:val="endnote reference"/>
    <w:basedOn w:val="DefaultParagraphFont"/>
    <w:uiPriority w:val="99"/>
    <w:semiHidden/>
    <w:unhideWhenUsed/>
    <w:rsid w:val="001F2A9E"/>
    <w:rPr>
      <w:vertAlign w:val="superscript"/>
    </w:rPr>
  </w:style>
  <w:style w:type="paragraph" w:styleId="ListBullet">
    <w:name w:val="List Bullet"/>
    <w:basedOn w:val="Normal"/>
    <w:rsid w:val="00EE46C1"/>
    <w:pPr>
      <w:numPr>
        <w:numId w:val="4"/>
      </w:numPr>
      <w:spacing w:after="120"/>
    </w:pPr>
    <w:rPr>
      <w:rFonts w:ascii="Arial" w:eastAsia="Times New Roman" w:hAnsi="Arial"/>
      <w:sz w:val="24"/>
      <w:szCs w:val="24"/>
      <w:lang w:eastAsia="en-GB"/>
    </w:rPr>
  </w:style>
  <w:style w:type="paragraph" w:styleId="CommentText">
    <w:name w:val="annotation text"/>
    <w:basedOn w:val="Normal"/>
    <w:link w:val="CommentTextChar"/>
    <w:uiPriority w:val="99"/>
    <w:semiHidden/>
    <w:rsid w:val="00EE46C1"/>
    <w:pPr>
      <w:spacing w:before="120" w:after="120"/>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semiHidden/>
    <w:rsid w:val="00EE46C1"/>
    <w:rPr>
      <w:rFonts w:ascii="Arial" w:eastAsia="Times New Roman" w:hAnsi="Arial"/>
    </w:rPr>
  </w:style>
  <w:style w:type="character" w:styleId="CommentReference">
    <w:name w:val="annotation reference"/>
    <w:basedOn w:val="DefaultParagraphFont"/>
    <w:uiPriority w:val="99"/>
    <w:semiHidden/>
    <w:rsid w:val="00EE46C1"/>
    <w:rPr>
      <w:sz w:val="16"/>
      <w:szCs w:val="16"/>
    </w:rPr>
  </w:style>
  <w:style w:type="paragraph" w:styleId="BalloonText">
    <w:name w:val="Balloon Text"/>
    <w:basedOn w:val="Normal"/>
    <w:link w:val="BalloonTextChar"/>
    <w:uiPriority w:val="99"/>
    <w:semiHidden/>
    <w:unhideWhenUsed/>
    <w:rsid w:val="00EE4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6C1"/>
    <w:rPr>
      <w:rFonts w:ascii="Tahoma" w:hAnsi="Tahoma" w:cs="Tahoma"/>
      <w:sz w:val="16"/>
      <w:szCs w:val="16"/>
      <w:lang w:eastAsia="en-US"/>
    </w:rPr>
  </w:style>
  <w:style w:type="paragraph" w:customStyle="1" w:styleId="Default">
    <w:name w:val="Default"/>
    <w:rsid w:val="00B35A4A"/>
    <w:pPr>
      <w:autoSpaceDE w:val="0"/>
      <w:autoSpaceDN w:val="0"/>
      <w:adjustRightInd w:val="0"/>
    </w:pPr>
    <w:rPr>
      <w:rFonts w:ascii="Arial" w:eastAsiaTheme="minorHAnsi" w:hAnsi="Arial" w:cs="Arial"/>
      <w:color w:val="000000"/>
      <w:sz w:val="24"/>
      <w:szCs w:val="24"/>
      <w:lang w:eastAsia="en-US"/>
    </w:rPr>
  </w:style>
  <w:style w:type="paragraph" w:styleId="EndnoteText">
    <w:name w:val="endnote text"/>
    <w:basedOn w:val="Normal"/>
    <w:link w:val="EndnoteTextChar"/>
    <w:uiPriority w:val="99"/>
    <w:semiHidden/>
    <w:unhideWhenUsed/>
    <w:rsid w:val="00F92C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2CCC"/>
    <w:rPr>
      <w:lang w:eastAsia="en-US"/>
    </w:rPr>
  </w:style>
  <w:style w:type="paragraph" w:customStyle="1" w:styleId="11">
    <w:name w:val="1.1"/>
    <w:basedOn w:val="Normal"/>
    <w:qFormat/>
    <w:rsid w:val="00E036EA"/>
    <w:pPr>
      <w:shd w:val="clear" w:color="auto" w:fill="FFFFFF" w:themeFill="background1"/>
      <w:spacing w:before="120" w:after="120"/>
      <w:ind w:left="709" w:hanging="709"/>
    </w:pPr>
    <w:rPr>
      <w:rFonts w:ascii="Arial" w:eastAsia="Times New Roman" w:hAnsi="Arial"/>
      <w:sz w:val="24"/>
      <w:szCs w:val="24"/>
      <w:lang w:eastAsia="en-GB"/>
    </w:rPr>
  </w:style>
  <w:style w:type="paragraph" w:customStyle="1" w:styleId="111">
    <w:name w:val="1.1.1"/>
    <w:basedOn w:val="Normal"/>
    <w:qFormat/>
    <w:rsid w:val="00E036EA"/>
    <w:pPr>
      <w:shd w:val="clear" w:color="auto" w:fill="FFFFFF" w:themeFill="background1"/>
      <w:tabs>
        <w:tab w:val="num" w:pos="1559"/>
      </w:tabs>
      <w:spacing w:before="120" w:after="120"/>
      <w:ind w:left="1418" w:hanging="709"/>
    </w:pPr>
    <w:rPr>
      <w:rFonts w:ascii="Arial" w:eastAsia="Times New Roman" w:hAnsi="Arial"/>
      <w:sz w:val="24"/>
      <w:szCs w:val="24"/>
      <w:lang w:eastAsia="en-GB"/>
    </w:rPr>
  </w:style>
  <w:style w:type="paragraph" w:customStyle="1" w:styleId="1111">
    <w:name w:val="1.1.1.1"/>
    <w:basedOn w:val="ListParagraph"/>
    <w:qFormat/>
    <w:rsid w:val="00E036EA"/>
    <w:pPr>
      <w:shd w:val="clear" w:color="auto" w:fill="FFFFFF" w:themeFill="background1"/>
      <w:tabs>
        <w:tab w:val="num" w:pos="1559"/>
      </w:tabs>
      <w:spacing w:before="120" w:after="120"/>
      <w:ind w:left="2268" w:hanging="850"/>
    </w:pPr>
    <w:rPr>
      <w:rFonts w:ascii="Arial" w:hAnsi="Arial" w:cs="Times New Roman"/>
      <w:sz w:val="24"/>
      <w:szCs w:val="24"/>
    </w:rPr>
  </w:style>
  <w:style w:type="numbering" w:customStyle="1" w:styleId="NumberedList">
    <w:name w:val="Numbered List"/>
    <w:uiPriority w:val="99"/>
    <w:rsid w:val="00E036EA"/>
    <w:pPr>
      <w:numPr>
        <w:numId w:val="6"/>
      </w:numPr>
    </w:pPr>
  </w:style>
  <w:style w:type="character" w:customStyle="1" w:styleId="A2">
    <w:name w:val="A2"/>
    <w:uiPriority w:val="99"/>
    <w:rsid w:val="00FF011A"/>
    <w:rPr>
      <w:rFonts w:cs="Gotham Bold"/>
      <w:b/>
      <w:bCs/>
      <w:color w:val="000000"/>
      <w:sz w:val="20"/>
      <w:szCs w:val="20"/>
    </w:rPr>
  </w:style>
  <w:style w:type="character" w:styleId="UnresolvedMention">
    <w:name w:val="Unresolved Mention"/>
    <w:basedOn w:val="DefaultParagraphFont"/>
    <w:uiPriority w:val="99"/>
    <w:semiHidden/>
    <w:unhideWhenUsed/>
    <w:rsid w:val="00041B5D"/>
    <w:rPr>
      <w:color w:val="808080"/>
      <w:shd w:val="clear" w:color="auto" w:fill="E6E6E6"/>
    </w:rPr>
  </w:style>
  <w:style w:type="paragraph" w:styleId="Revision">
    <w:name w:val="Revision"/>
    <w:hidden/>
    <w:uiPriority w:val="99"/>
    <w:semiHidden/>
    <w:rsid w:val="003471F7"/>
    <w:rPr>
      <w:sz w:val="22"/>
      <w:szCs w:val="22"/>
      <w:lang w:eastAsia="en-US"/>
    </w:rPr>
  </w:style>
  <w:style w:type="paragraph" w:styleId="CommentSubject">
    <w:name w:val="annotation subject"/>
    <w:basedOn w:val="CommentText"/>
    <w:next w:val="CommentText"/>
    <w:link w:val="CommentSubjectChar"/>
    <w:uiPriority w:val="99"/>
    <w:semiHidden/>
    <w:unhideWhenUsed/>
    <w:rsid w:val="00884233"/>
    <w:pPr>
      <w:spacing w:before="0" w:after="200" w:line="240" w:lineRule="auto"/>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884233"/>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6682">
      <w:bodyDiv w:val="1"/>
      <w:marLeft w:val="0"/>
      <w:marRight w:val="0"/>
      <w:marTop w:val="0"/>
      <w:marBottom w:val="0"/>
      <w:divBdr>
        <w:top w:val="none" w:sz="0" w:space="0" w:color="auto"/>
        <w:left w:val="none" w:sz="0" w:space="0" w:color="auto"/>
        <w:bottom w:val="none" w:sz="0" w:space="0" w:color="auto"/>
        <w:right w:val="none" w:sz="0" w:space="0" w:color="auto"/>
      </w:divBdr>
    </w:div>
    <w:div w:id="287784842">
      <w:bodyDiv w:val="1"/>
      <w:marLeft w:val="0"/>
      <w:marRight w:val="0"/>
      <w:marTop w:val="0"/>
      <w:marBottom w:val="0"/>
      <w:divBdr>
        <w:top w:val="none" w:sz="0" w:space="0" w:color="auto"/>
        <w:left w:val="none" w:sz="0" w:space="0" w:color="auto"/>
        <w:bottom w:val="none" w:sz="0" w:space="0" w:color="auto"/>
        <w:right w:val="none" w:sz="0" w:space="0" w:color="auto"/>
      </w:divBdr>
    </w:div>
    <w:div w:id="506406547">
      <w:bodyDiv w:val="1"/>
      <w:marLeft w:val="0"/>
      <w:marRight w:val="0"/>
      <w:marTop w:val="0"/>
      <w:marBottom w:val="0"/>
      <w:divBdr>
        <w:top w:val="none" w:sz="0" w:space="0" w:color="auto"/>
        <w:left w:val="none" w:sz="0" w:space="0" w:color="auto"/>
        <w:bottom w:val="none" w:sz="0" w:space="0" w:color="auto"/>
        <w:right w:val="none" w:sz="0" w:space="0" w:color="auto"/>
      </w:divBdr>
    </w:div>
    <w:div w:id="506484021">
      <w:bodyDiv w:val="1"/>
      <w:marLeft w:val="0"/>
      <w:marRight w:val="0"/>
      <w:marTop w:val="0"/>
      <w:marBottom w:val="0"/>
      <w:divBdr>
        <w:top w:val="none" w:sz="0" w:space="0" w:color="auto"/>
        <w:left w:val="none" w:sz="0" w:space="0" w:color="auto"/>
        <w:bottom w:val="none" w:sz="0" w:space="0" w:color="auto"/>
        <w:right w:val="none" w:sz="0" w:space="0" w:color="auto"/>
      </w:divBdr>
    </w:div>
    <w:div w:id="820193576">
      <w:bodyDiv w:val="1"/>
      <w:marLeft w:val="0"/>
      <w:marRight w:val="0"/>
      <w:marTop w:val="0"/>
      <w:marBottom w:val="0"/>
      <w:divBdr>
        <w:top w:val="none" w:sz="0" w:space="0" w:color="auto"/>
        <w:left w:val="none" w:sz="0" w:space="0" w:color="auto"/>
        <w:bottom w:val="none" w:sz="0" w:space="0" w:color="auto"/>
        <w:right w:val="none" w:sz="0" w:space="0" w:color="auto"/>
      </w:divBdr>
    </w:div>
    <w:div w:id="1072049210">
      <w:bodyDiv w:val="1"/>
      <w:marLeft w:val="0"/>
      <w:marRight w:val="0"/>
      <w:marTop w:val="0"/>
      <w:marBottom w:val="0"/>
      <w:divBdr>
        <w:top w:val="none" w:sz="0" w:space="0" w:color="auto"/>
        <w:left w:val="none" w:sz="0" w:space="0" w:color="auto"/>
        <w:bottom w:val="none" w:sz="0" w:space="0" w:color="auto"/>
        <w:right w:val="none" w:sz="0" w:space="0" w:color="auto"/>
      </w:divBdr>
    </w:div>
    <w:div w:id="1123691662">
      <w:bodyDiv w:val="1"/>
      <w:marLeft w:val="0"/>
      <w:marRight w:val="0"/>
      <w:marTop w:val="0"/>
      <w:marBottom w:val="0"/>
      <w:divBdr>
        <w:top w:val="none" w:sz="0" w:space="0" w:color="auto"/>
        <w:left w:val="none" w:sz="0" w:space="0" w:color="auto"/>
        <w:bottom w:val="none" w:sz="0" w:space="0" w:color="auto"/>
        <w:right w:val="none" w:sz="0" w:space="0" w:color="auto"/>
      </w:divBdr>
      <w:divsChild>
        <w:div w:id="830752428">
          <w:marLeft w:val="0"/>
          <w:marRight w:val="0"/>
          <w:marTop w:val="0"/>
          <w:marBottom w:val="0"/>
          <w:divBdr>
            <w:top w:val="none" w:sz="0" w:space="0" w:color="auto"/>
            <w:left w:val="none" w:sz="0" w:space="0" w:color="auto"/>
            <w:bottom w:val="none" w:sz="0" w:space="0" w:color="auto"/>
            <w:right w:val="none" w:sz="0" w:space="0" w:color="auto"/>
          </w:divBdr>
          <w:divsChild>
            <w:div w:id="1287198579">
              <w:marLeft w:val="0"/>
              <w:marRight w:val="0"/>
              <w:marTop w:val="0"/>
              <w:marBottom w:val="0"/>
              <w:divBdr>
                <w:top w:val="none" w:sz="0" w:space="0" w:color="auto"/>
                <w:left w:val="none" w:sz="0" w:space="0" w:color="auto"/>
                <w:bottom w:val="none" w:sz="0" w:space="0" w:color="auto"/>
                <w:right w:val="none" w:sz="0" w:space="0" w:color="auto"/>
              </w:divBdr>
              <w:divsChild>
                <w:div w:id="683675541">
                  <w:marLeft w:val="2970"/>
                  <w:marRight w:val="0"/>
                  <w:marTop w:val="0"/>
                  <w:marBottom w:val="0"/>
                  <w:divBdr>
                    <w:top w:val="none" w:sz="0" w:space="0" w:color="auto"/>
                    <w:left w:val="none" w:sz="0" w:space="0" w:color="auto"/>
                    <w:bottom w:val="none" w:sz="0" w:space="0" w:color="auto"/>
                    <w:right w:val="none" w:sz="0" w:space="0" w:color="auto"/>
                  </w:divBdr>
                  <w:divsChild>
                    <w:div w:id="483200252">
                      <w:marLeft w:val="0"/>
                      <w:marRight w:val="0"/>
                      <w:marTop w:val="0"/>
                      <w:marBottom w:val="264"/>
                      <w:divBdr>
                        <w:top w:val="none" w:sz="0" w:space="0" w:color="auto"/>
                        <w:left w:val="none" w:sz="0" w:space="0" w:color="auto"/>
                        <w:bottom w:val="none" w:sz="0" w:space="0" w:color="auto"/>
                        <w:right w:val="none" w:sz="0" w:space="0" w:color="auto"/>
                      </w:divBdr>
                      <w:divsChild>
                        <w:div w:id="917132838">
                          <w:marLeft w:val="0"/>
                          <w:marRight w:val="0"/>
                          <w:marTop w:val="0"/>
                          <w:marBottom w:val="0"/>
                          <w:divBdr>
                            <w:top w:val="none" w:sz="0" w:space="0" w:color="auto"/>
                            <w:left w:val="none" w:sz="0" w:space="0" w:color="auto"/>
                            <w:bottom w:val="none" w:sz="0" w:space="0" w:color="auto"/>
                            <w:right w:val="none" w:sz="0" w:space="0" w:color="auto"/>
                          </w:divBdr>
                          <w:divsChild>
                            <w:div w:id="20571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984971">
      <w:bodyDiv w:val="1"/>
      <w:marLeft w:val="0"/>
      <w:marRight w:val="0"/>
      <w:marTop w:val="0"/>
      <w:marBottom w:val="0"/>
      <w:divBdr>
        <w:top w:val="none" w:sz="0" w:space="0" w:color="auto"/>
        <w:left w:val="none" w:sz="0" w:space="0" w:color="auto"/>
        <w:bottom w:val="none" w:sz="0" w:space="0" w:color="auto"/>
        <w:right w:val="none" w:sz="0" w:space="0" w:color="auto"/>
      </w:divBdr>
    </w:div>
    <w:div w:id="1405688820">
      <w:bodyDiv w:val="1"/>
      <w:marLeft w:val="0"/>
      <w:marRight w:val="0"/>
      <w:marTop w:val="0"/>
      <w:marBottom w:val="0"/>
      <w:divBdr>
        <w:top w:val="none" w:sz="0" w:space="0" w:color="auto"/>
        <w:left w:val="none" w:sz="0" w:space="0" w:color="auto"/>
        <w:bottom w:val="none" w:sz="0" w:space="0" w:color="auto"/>
        <w:right w:val="none" w:sz="0" w:space="0" w:color="auto"/>
      </w:divBdr>
    </w:div>
    <w:div w:id="1585339230">
      <w:bodyDiv w:val="1"/>
      <w:marLeft w:val="0"/>
      <w:marRight w:val="0"/>
      <w:marTop w:val="0"/>
      <w:marBottom w:val="0"/>
      <w:divBdr>
        <w:top w:val="none" w:sz="0" w:space="0" w:color="auto"/>
        <w:left w:val="none" w:sz="0" w:space="0" w:color="auto"/>
        <w:bottom w:val="none" w:sz="0" w:space="0" w:color="auto"/>
        <w:right w:val="none" w:sz="0" w:space="0" w:color="auto"/>
      </w:divBdr>
    </w:div>
    <w:div w:id="1616599305">
      <w:bodyDiv w:val="1"/>
      <w:marLeft w:val="0"/>
      <w:marRight w:val="0"/>
      <w:marTop w:val="0"/>
      <w:marBottom w:val="0"/>
      <w:divBdr>
        <w:top w:val="none" w:sz="0" w:space="0" w:color="auto"/>
        <w:left w:val="none" w:sz="0" w:space="0" w:color="auto"/>
        <w:bottom w:val="none" w:sz="0" w:space="0" w:color="auto"/>
        <w:right w:val="none" w:sz="0" w:space="0" w:color="auto"/>
      </w:divBdr>
    </w:div>
    <w:div w:id="1770275798">
      <w:bodyDiv w:val="1"/>
      <w:marLeft w:val="0"/>
      <w:marRight w:val="0"/>
      <w:marTop w:val="0"/>
      <w:marBottom w:val="0"/>
      <w:divBdr>
        <w:top w:val="none" w:sz="0" w:space="0" w:color="auto"/>
        <w:left w:val="none" w:sz="0" w:space="0" w:color="auto"/>
        <w:bottom w:val="none" w:sz="0" w:space="0" w:color="auto"/>
        <w:right w:val="none" w:sz="0" w:space="0" w:color="auto"/>
      </w:divBdr>
    </w:div>
    <w:div w:id="1932202057">
      <w:bodyDiv w:val="1"/>
      <w:marLeft w:val="0"/>
      <w:marRight w:val="0"/>
      <w:marTop w:val="0"/>
      <w:marBottom w:val="0"/>
      <w:divBdr>
        <w:top w:val="none" w:sz="0" w:space="0" w:color="auto"/>
        <w:left w:val="none" w:sz="0" w:space="0" w:color="auto"/>
        <w:bottom w:val="none" w:sz="0" w:space="0" w:color="auto"/>
        <w:right w:val="none" w:sz="0" w:space="0" w:color="auto"/>
      </w:divBdr>
    </w:div>
    <w:div w:id="1948661428">
      <w:bodyDiv w:val="1"/>
      <w:marLeft w:val="0"/>
      <w:marRight w:val="0"/>
      <w:marTop w:val="0"/>
      <w:marBottom w:val="0"/>
      <w:divBdr>
        <w:top w:val="none" w:sz="0" w:space="0" w:color="auto"/>
        <w:left w:val="none" w:sz="0" w:space="0" w:color="auto"/>
        <w:bottom w:val="none" w:sz="0" w:space="0" w:color="auto"/>
        <w:right w:val="none" w:sz="0" w:space="0" w:color="auto"/>
      </w:divBdr>
    </w:div>
    <w:div w:id="2032217441">
      <w:bodyDiv w:val="1"/>
      <w:marLeft w:val="0"/>
      <w:marRight w:val="0"/>
      <w:marTop w:val="0"/>
      <w:marBottom w:val="0"/>
      <w:divBdr>
        <w:top w:val="none" w:sz="0" w:space="0" w:color="auto"/>
        <w:left w:val="none" w:sz="0" w:space="0" w:color="auto"/>
        <w:bottom w:val="none" w:sz="0" w:space="0" w:color="auto"/>
        <w:right w:val="none" w:sz="0" w:space="0" w:color="auto"/>
      </w:divBdr>
    </w:div>
    <w:div w:id="2046296765">
      <w:bodyDiv w:val="1"/>
      <w:marLeft w:val="0"/>
      <w:marRight w:val="0"/>
      <w:marTop w:val="0"/>
      <w:marBottom w:val="0"/>
      <w:divBdr>
        <w:top w:val="none" w:sz="0" w:space="0" w:color="auto"/>
        <w:left w:val="none" w:sz="0" w:space="0" w:color="auto"/>
        <w:bottom w:val="none" w:sz="0" w:space="0" w:color="auto"/>
        <w:right w:val="none" w:sz="0" w:space="0" w:color="auto"/>
      </w:divBdr>
    </w:div>
    <w:div w:id="2105760433">
      <w:bodyDiv w:val="1"/>
      <w:marLeft w:val="0"/>
      <w:marRight w:val="0"/>
      <w:marTop w:val="0"/>
      <w:marBottom w:val="0"/>
      <w:divBdr>
        <w:top w:val="none" w:sz="0" w:space="0" w:color="auto"/>
        <w:left w:val="none" w:sz="0" w:space="0" w:color="auto"/>
        <w:bottom w:val="none" w:sz="0" w:space="0" w:color="auto"/>
        <w:right w:val="none" w:sz="0" w:space="0" w:color="auto"/>
      </w:divBdr>
    </w:div>
    <w:div w:id="2131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inburgh.gov.uk/downloads/file/34494/delivering-actions-for-parking-controlled-parking-z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inburgh.gov.uk/downloads/file/34496/delivering-actions-for-parking-residents-parking-permi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nburgh.gov.uk/downloads/file/34495/delivering-actions-for-parking-pricing-strateg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inburgh.gov.uk/downloads/download/15923/budget-proposals-20252026-integrated-impact-assessments" TargetMode="External"/><Relationship Id="rId4" Type="http://schemas.openxmlformats.org/officeDocument/2006/relationships/settings" Target="settings.xml"/><Relationship Id="rId9" Type="http://schemas.openxmlformats.org/officeDocument/2006/relationships/image" Target="cid:image001.png@01D958EE.07D60EB0" TargetMode="External"/><Relationship Id="rId14" Type="http://schemas.openxmlformats.org/officeDocument/2006/relationships/hyperlink" Target="https://www.edinburgh.gov.uk/downloads/file/36334/parking-charges-final-i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A40A2-185C-4BFB-89D9-FCB56585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Szymczak</dc:creator>
  <cp:keywords/>
  <dc:description/>
  <cp:lastModifiedBy>Fraser Rowson</cp:lastModifiedBy>
  <cp:revision>4</cp:revision>
  <cp:lastPrinted>2019-08-06T14:45:00Z</cp:lastPrinted>
  <dcterms:created xsi:type="dcterms:W3CDTF">2025-02-11T08:47:00Z</dcterms:created>
  <dcterms:modified xsi:type="dcterms:W3CDTF">2025-02-11T10:43:00Z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